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Toronto-Dominion Bank v. Jones, [2001] B.C.J. No. 1864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and Duncan,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Satanove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27 - 30,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C995010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Duncan Registry No. S-7555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1864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1297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1050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Toronto-Dominion Bank, plaintiff, and Dwight Gilbert Jones, Marsha Olenka Jones and ITI Magen Technologies Inc., defendants (Vancouver Registry No. C995010) And between Dwight Gilbert Jones and Marsha Olenka Jones, plaintiffs, and Bank of Montreal and Bank of Montreal of Montreal Mortgage Corporation, defendants (Duncan Registry No. S-7555)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Banks and banking — Liability of banks to customers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 handling of accounts.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Toronto-Dominion Bank against the client, Jones, for damages on the grounds that Jones had defrauded it by depositing the cheque to his credit when he knew it was payable to a third party. Jones operated a computer business called Imagen Communications Inc. and operated a software development business through Communications and through a proprietorship known as Imagen Technologies. In May 1999, Jones sold Communications' shares to Vanderspek. However, the software development division was excluded from the sale. Jones entered into a second agreement with Vanderspek where he agreed to purchase a Paymaster Source Code for a price equal to the tax refund that Communications was expecting to receive from Revenue Canada. In June 1999, Jones incorporated ITI Imagen Technologies Inc. to carry on their software development business. When he incorporated ITI, Jones opened a bank account at the Granville branch of the TD, where Communications also held an account. Jones also held an account at the Bank of Montreal. The bank documentation with respect to the new ownership and signing authority of Communications was not placed in the Granville branch file and it was not informed of the sale. Neither Jones nor Vanderspek advised Revenue Canada of the change of ownership of Communications. In August 1999, Revenue Canada sent out a cheque payable to Communications for $87,000 to Jones at his home address. Jones deposited the cheque in his ITI account despite the fact that it had been made out to Communications as the payee. TD authorized the deposit without inquiry since the clerk was aware that Jones had conducted business under Communications and Imagen Technologies. Jones subsequently transferred the funds from ITI's account to his personal account with the BOM. Vanderspek contacted the TD bank and insisted that it credit the cheque to Communications and put the BOM on notice that the funds had been wrongfully deposited and asked that they be frozen. Jones refused to repay the amount and the TD bank sent a letter to the BOM to hold the funds until the dispute was resolved. The BOM agreed to monitor Jones account and decided to freeze part of a GIC in order to let him continue to operate his chequing account. On September 28 1999, Jones demanded payment of his GIC. The BOM froze the GIC until the following day, when the TD bank obtained a court order for payment into court of the funds. An ex parte order was obtained the following day whereby the BOM was ordered to pay into court all the monies that remained on deposit or held to Jones' credit, to $84,000. Eventually Jones and Vanderspek settled their dispute and the funds in court were paid out to Jones. Jones instituted proceedings against the BOM for damages on the basis that it was part of a conspiracy to withhold funds from withdrawal, that it had broken its unconditional promise to pay out the GIC on demand and that it was fraudulent, negligent and in breach of contract in failing to allow him to withdraw his GIC. The TD bank instituted proceedings against Jones for damages on the grounds that Jones and ITI defrauded it by depositing the cheque to his credit when he knew it was payable to Communications.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Jones was not liable to the TD bank. Jones did not defraud the TD Bank by fraudulently depositing the cheque to ITI's account and transferring the funds to his personal account at the BOM. Although the circumstances surrounding the transactions were suspicious, fraud was not to be found lightly and suspicions did not meet the burden of proof imposed on the TD Bank. The BOM was not fraudulent, negligent or in breach of contract when it froze the GIC for 24 hours. Since Jones had converted the cheque, TD's request to freeze the funds was reasonable and prudent. However, TD's initial request was to hold the funds and it was not unreasonable for the BOM to accede to the request until the court could sort things out. Although Jones was deprived of the GIC funds for 24 hours, according to the applicable case law, Jones was not entitled to the immediate return of his funds. The BOM was entitled to 24 hours within which to remit the sum to Jones. The BOM was not fraudulent, negligent or in breach of contract when it paid $84,000 into court. Jones brought the delay in obtaining his money upon himself by converting, mixing and disbursing funds. He did not have any concept of the havoc caused and did not accept any responsibility for the events that transpired. The issue with respect to Jones' alleged conspiracy was dismissed on the grounds that it had no basis for being made.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Counsel"/>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J.L. Carpick and K.H. Beck, for the Toronto-Dominion Bank and Bank of Montreal. The Jones and ITI Imagen Technologies Inc. appeared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7" style="position:absolute;z-index:2517606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SATANOVE J."/>
            <w:bookmarkEnd w:id="5"/>
            <w:r>
              <w:rPr>
                <w:rFonts w:ascii="arial" w:eastAsia="arial" w:hAnsi="arial" w:cs="arial"/>
                <w:b/>
                <w:color w:val="000000"/>
                <w:sz w:val="30"/>
                <w:lang w:val="en-US" w:eastAsia="en-US" w:bidi="ar-SA"/>
              </w:rPr>
              <w:t>SATANOVE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two actions were heard together as a result of a series of banking transactions. In a lighter vein, one might refer to the entire incident as a comedy of errors. However, for Mr. and Mrs. Jones and the banking personnel involved, there was little humour in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and Mrs. Jones, who were the plaintiffs in the Bank of Montreal action, and the defendants in the Toronto-Dominion Bank action, were in the computer business. In 1999 they lived on Salt Spring Island and operated a company called Imagen Communications Inc. ("Communications"). Communications had brought an internet service provider to Salt Spring Island where there previously was none. The Jones also operated a software development business, partly through Communications and partly through a proprietorship known as Imagen Technologies.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April 1999, the Jones, for the sum of $40,000, granted an option to purchase the shares of Communications to a Vancouver businessman by the name of Carl Vanderspek. The purchase price was to be about $850,000 and the sale was to include all the assets and operations of Communications. The agreement was renegotiated effective May 15, 1999 whereby one of Mr. Vanderspek's companies agreed to pay $550,000 for 100% of the shares of Communications (the "Share Agreement"), but the software development division at Communications was excluded from the sale. Under the Share Agreement the purchase price was to be paid by the $40,000 deposit previously paid by Mr. Vanderspek, $410,000 on the closing date and a further $100,000 on June 30, less any set-off for unpaid liabilities of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Jones, doing business as Imagen Technologies, entered into a second agreement with Mr. Vanderspek also dated May 15, 1999 whereby another of Mr. Vanderspek's companies agreed to purchase from the Jones the NT Paymaster Source Code for a price equal to the tax refund which Communications was expecting to receive from Revenue Canada in the near future, less any unpaid payables attending the sale of Communications (the "Code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June 1999, the Jones incorporated a company called ITI Imagen Technologies Inc. ("ITI") to carry on their software development business which had been excluded from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Jones incorporated ITI they opened an account in its name at the Granville Street branch of Toronto-Dominion Bank in Vancouver where Communications also held an account. The Jones held a joint account at Bank of Montreal on Salt Spring Island and Mrs. Jones held two accounts there in her name doing business as Imagen Technologies.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From the documentary evidence, the first error appeared to have been made when the bank documentation showing new ownership and signing authority of Communications was signed in the Burnaby branch of Toronto-Dominion Bank and never placed in the Granville branch file. No one informed the Granville branch about the sale and as far as the personnel there knew, the Jones still owned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Neither the Jones nor Mr. Vanderspek advised Revenue Canada of the change of ownership of Communications. Thus a second error was made, this time by Revenue Canada, when some time between August 19 and August 23 it sent out a cheque payable to Communications in the sum of $87,615.27 (the "Cheque") to the Jones at their home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Mr. and Mrs. received the cheque they were in the process of negotiating with Mr. Vanderspek the release of the holdback under the Share Agreement. The indication at this time was that Mr. Vanderspek was claiming a set-off in the entire amount and was refusing to pay the Jones any further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23, 1999 the Jones deposited the Cheque in the account of ITI at the Toronto-Dominion Bank. Mrs. Jones did this by inserting the number of ITI's account on the signature line of the back of the Cheque and filling out a deposit slip on ITI's account. Mr. Jones admitted at trial that he and his wife knowingly and intentionally deposited the Cheque to the credit of ITI when they knew it had been made out to Communications as the payee.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third error occurred when Lisa Richardson at the Toronto-Dominion Bank, who had known the Jones for some years and was aware they did business under the names of Imagen Communications and Imagen Technologies, routinely authorized the deposit without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way of three cheques written on August 27 and August 30 the Jones proceeded to transfer funds from the Toronto-Dominion ITI account to their personal accounts with the Bank of Montreal in a total amount approximating the amount of the Cheque ($84,390.00). Subsequently they used about $47,000 of these funds to pay for their ongoing house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evidence was unclear but it appeared that at some point, either towards the end of August or mid September, the Jones advised Mr. Vanderspek that they had received the Cheque but would not release it to him until their dispute was resolved. Mr. Vanderspek pursued the matter with Revenue Canada and learned of the deposit of the cheque into the account of ITI. On September 20 Mr. Vanderspek contacted the Toronto-Dominion Bank and insisted that they credit the amount of the Cheque to Communications. On the same day Toronto-Dominion Bank put the Bank of Montreal on notice that the funds had been wrongfully deposited and asked that they be frozen.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Toronto-Dominion Bank demanded of the Jones, orally and by letter, that they repay the amount of the Cheque but they refused. On September 22 Toronto-Dominion Bank sent a letter to the Bank of Montreal requesting they hold the funds until the dispute was resolved and agreeing to indemnify it. Bank of Montreal agreed to monitor the Jones'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at this point that the fourth error was allegedly made. Only $40,000 or so remained from the funds which could be traced from Toronto-Dominion Bank. The Bank of Montreal officer, Ms. Green, thought it less inconvenient to the Jones to freeze part of a guaranteed investment certificate (the "GIC") which they held at Bank of Montreal and let them continue to operate their chequing accounts which they were using to pay for their house construction and other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afternoon of September 28 the Jones orally demanded payment out of their entire GIC from the Bank of Montreal manager, Mr. Mackay. The Toronto-Dominion Bank was notified and it advised that it would get a court order for payment into court of the funds on the following day, September 29. Mr. Mackay, on the advice of his superior Mr. Donald, agreed to freeze $84,390 of the GIC until noon on September 29, much to the Jones' displeasure.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morning of September 29, an ex-parte order was obtained from Mr. Justice Low. As the effect of the order was in dispute, I have set out the material parts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The Bank of Montreal, Ganges, Salt Spring Island branch, pay into court, to the credit of this proceeding, all monies remaining on deposit or held to the credit of the defendants, to the maximum amount of $84,390, as a result of the defendants having negotiated the three cheques totalling $84,390 referred to in paragraph 13 of, and exhibit "E" to the affidavit of Lisa Richardson sworn September 29, 1999,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the defendants are enjoined from disposing of any monies, not currently on deposit or held to their credit at the Bank of Montreal, Ganges, Salt Spring Island branch, which have come to them, or companies in they [sic] control, as a result of having negotiated the Three Cheques, to the maximum amount of $84,390.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Ms. Green at the Bank of Montreal received the order she withdrew $84,390 from the GIC and paid it into court. The monies stayed in court until Mr. Vanderspek and Mr. Jones settled their litigation on December 15, 1999. The Jones had commenced an action against Mr. Vanderspek on October 27, 1999 claiming, inter alia, that Mr. Vanderspek had repudiated the Code Agreement and was indebted to them in the amount of the tax refund. The settlement resulted in the exchange of promissory notes between Communications and ITI, and the funds in court were paid out to the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Jones commenced their action against the Bank of Montreal on February 9, 2000. They pleaded that the Bank of Montreal:</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part of a conspiracy amongst banks to withhold funds from withdrawal;</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broken its unconditional promise to pay out the GIC on demand;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failing to allow the Jones to withdraw their GIC funds which they alleged were not covered by Low, J.'s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Jones claimed damages for:</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delay of ITI business;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reputation;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a key employee;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house construction;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distress;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less advantageous settlement with Mr. Vanderspek;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accounting and legal fees;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refinancing of the construction mortgage loan at a higher interest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Bank of Montreal defended this action by pleading that Mr. Jones fraudulently attempted to convert the Cheque, had no colour of right to the proceeds of the Cheque, had mixed their own funds with the fraudulently acquired funds from Toronto-Dominion Bank, and had never validly demanded the GIC funds. Bank of Montreal also pleaded that it was a stakeholder and entitled to either interplead the funds or pay them into court pursuant to Low, J.'s order, either as the order was made or as it should be rectified by me. Finally, Bank of Montreal pleaded that the Jones should be estopped from asserting any cause of action against the Bank of Montreal because they never queried or moved to set aside Low, J.'s order and they never abided by the order requiring them to refrain from dispensing the funds remaining in their accounts at the Bank of Montreal which could be traced back to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Toronto-Dominion Bank action which was commenced at the time the Low, J.'s order was sought involved claims by Toronto-Dominion Bank that the Jones and ITI defrauded Toronto-Dominion Bank by depositing the cheque to their credit when they knew it was payable to Communications. Toronto-Dominion Bank alleged the payment into court was authorized by Low, J.'s order or alternatively the order should be varied retroactively to authorize this. Toronto-Dominion Bank sought punitive damages and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Jones defended the Toronto-Dominion Bank action by alleging Toronto-Dominion Bank was negligent, in breach of contract, induced a breach of contract between Bank of Montreal and themselves, unlawfully interfered in business relations between Bank of Montreal and the Jones, and disrupted settlement negotiations between the Jones and Mr. Vanderspek. The Jones pleaded that they had suffered damages from the actions of Toronto-Dominion Bank which damages they were entitled to set off against any liability to Toronto-Dominion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will not dignify the conspiracy plea, which had no basis for being made, by any form of analysis other than to dismiss it outright. The only issues which I need to decide are: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Jones defraud Toronto-Dominion Bank by fraudulently depositing the cheque to ITI's account and transferring the funds to their personal accounts at the Bank of Montreal?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Bank of Montreal at all fraudulent, negligent or in breach of contract when it: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froze the GIC for 24 hours?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paid the sum of $84,390 from the GIC into court?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were the Jones'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Fraud by the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their closing submissions, the Jones argued that Mr. Vanderspek had repudiated the Code Agreement by making it clear to the Jones that he would not "return" the tax refund pursuant to the Code Agreement, and therefore the title to the tax refund remained with the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argument was fallacious. The Code Agreement clearly stated that the purchase price of the code was to be equal to the value of the refund less any unpaid payables arising out of the sale of the shares. The Code Agreement also stated that it was irrevocable after signing and that the purchase shall occur and the code shall be delivered within five working days of the receipt by Mr. Vanderspek's company or Communications of the tax refund.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Title to the Cheque was always held by Communications. The shares of Communications had been sold and transferred to Mr. Vanderspek's company in May, 1999. Neither the Jones nor ITI had any propriety interest in the Cheque or in Communications. By depositing the Cheque and receiving the benefit of the funds, the Jones were liable in conversion to Communications. However the Jones were not sued by Communications or Mr. Vanderspek, with whom they have settled. The Toronto-Dominion Bank had no cause of action in conversion against the Jones because at the time of the conversion, only Communications had the right to possession of the funds. (Crossley Vaines on Personal Property, 5th Ed., Butterworths, 1973, p.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it came to proving fraud, intention of the allegedly fraudulent party was paramount. The onus was on the Toronto-Dominion Bank to prove, on a standard of proof commensurate with the seriousness of the allegation, that the Jones intended to deprive the bank of its funds. (Sopinka and Lederman, Evidence in Civil Cases, Butterworth &amp; Co. 1974, pp. 390-394)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Jones' evidence in this regard was that he thought he had a right to keep the funds. Mr. Vanderspek had sent him a ridiculous accounting of the holdback monies which showed that Mr. Jones owed Mr. Vanderspek over $400,000. Mr. Vanderspek refused to particularize what he called his "damages" claim, refused to pay another penny under the Share Agreement and would likely refuse to pay for the code. My assessment of the situation, after having heard Mr. Vanderspek's testimony, was that Mr. Jones was probably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Jones testified that as far as he was concerned, Mr. Vanderspek had repudiated the Share Agreement which somehow meant the Jones were entitled to keep the Cheque, the shares of Communications and the proceeds of sale which he had received to date. This position may not have been sound in law, but the Jones were not lawyers. They represented themselves at trial and they exhibited peculiar notions of the law and our legal system, despite having received some legal advice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were clearly some suspicious circumstances here, such as the manner in which the deposit to the Toronto-Dominion Bank was made, and Mr. Jones' testimony about retaining a bargaining position with Mr. Vanderspek. However, fraud was not to be found lightly and my suspicions did not meet the burden of proof imposed on Toronto-Dominion Bank. The Toronto-Dominion Bank action must be dismissed against the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Although I did not find the Jones liable to Toronto-Dominion Bank, I did find their conduct towards both banks to have been arrogant and high-handed. This finding will be reflected in any order I may make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Fraud,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Bank of Montreal</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found that the Cheque had been converted by the Jones. Therefore the request from Toronto-Dominion Bank to Bank of Montreal to freeze funds of the Jones was reasonable and prudent in the circumstances. The difficulty which arose was that the funds from the Cheque could be traced only from Toronto-Dominion Bank to the Jones' joint account at the Bank of Montreal and not to their GIC which had been purchased some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However, the initial request from the Toronto-Dominion Bank was simply to hold funds of the Jones in a certain amount and it was not unreasonable of the Bank of Montreal to accede to this request until the court could sort things out. The Jones were deprived of their GIC funds for less than 24 hours before the court order was obtained. In the written submissions prepared by the Jones' former counsel and submitted by them at trial, it was conceded that the conduct of the Bank of Montreal before receiving the court order might have been appropriate, given the competing claims for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any event, the law was clear that the Jones were not entitled to the immediate return of their GIC funds, as they seemed to think (Foley v. Hill (1848), 9 E.R. 1002 (H.L.); Guaranty Trust v. CIBC </w:t>
      </w:r>
      <w:hyperlink r:id="rId11" w:history="1">
        <w:r>
          <w:rPr>
            <w:rFonts w:ascii="arial" w:eastAsia="arial" w:hAnsi="arial" w:cs="arial"/>
            <w:i/>
            <w:color w:val="0077CC"/>
            <w:sz w:val="20"/>
            <w:u w:val="single"/>
            <w:shd w:val="clear" w:color="auto" w:fill="FFFFFF"/>
            <w:lang w:val="en-US" w:eastAsia="en-US" w:bidi="ar-SA"/>
          </w:rPr>
          <w:t>(1988), 38 B.L.R. 113</w:t>
        </w:r>
      </w:hyperlink>
      <w:r>
        <w:rPr>
          <w:rFonts w:ascii="arial" w:eastAsia="arial" w:hAnsi="arial" w:cs="arial"/>
          <w:color w:val="000000"/>
          <w:sz w:val="20"/>
          <w:lang w:val="en-US" w:eastAsia="en-US" w:bidi="ar-SA"/>
        </w:rPr>
        <w:t xml:space="preserve"> (B.C.C.A.); Skelhorn v. Toronto-Dominion Bank, </w:t>
      </w:r>
      <w:hyperlink r:id="rId12" w:history="1">
        <w:r>
          <w:rPr>
            <w:rFonts w:ascii="arial" w:eastAsia="arial" w:hAnsi="arial" w:cs="arial"/>
            <w:i/>
            <w:color w:val="0077CC"/>
            <w:sz w:val="20"/>
            <w:u w:val="single"/>
            <w:shd w:val="clear" w:color="auto" w:fill="FFFFFF"/>
            <w:lang w:val="en-US" w:eastAsia="en-US" w:bidi="ar-SA"/>
          </w:rPr>
          <w:t>[1966] 2 O.R. 594</w:t>
        </w:r>
      </w:hyperlink>
      <w:r>
        <w:rPr>
          <w:rFonts w:ascii="arial" w:eastAsia="arial" w:hAnsi="arial" w:cs="arial"/>
          <w:color w:val="000000"/>
          <w:sz w:val="20"/>
          <w:lang w:val="en-US" w:eastAsia="en-US" w:bidi="ar-SA"/>
        </w:rPr>
        <w:t xml:space="preserve"> (H.C.)). Their relationship with the bank was one of creditor and debtor (Foley v. Hill, supra). If their haranguing of Mr. Mackay without presentation of a withdrawal slip or cheque constituted a proper demand, then the Bank of Montreal was indebted to them in the amount remaining in their GIC. The Bank of Montreal was entitled to 24 hours within which to pay the sum.</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Jones submitted in writing that Mr. Justice Low's order was a tracing order, not a mareva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the order was unfortunately worded. Ms. Green construed it as a direction to pay all monies of the Jones on deposit with the Bank of Montreal up to $84,390 into court because ("as a result of") they had negotiated three cheques totalling this amount. Her interpretation was further supported by the different wording used in the second part of the order against by the Jones to refrain from disposing of any monies "which have come to them, or companies they control, as a result of having negotiated the three cheques...". This latter wording clearly traced and defined which funds the Jones were enjoined from dispensing, but the wording in the first paragraph of that order did not clearly trace and define which funds were to be paid into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was no evidence before me of the material before Mr. Justice Low or the submissions made to him. It was not clear on the face of the order whether it was purely a tracing order or a partial mareva injunction. The onus was on the Jones to prove on a balance of probabilities that the Bank of Montreal breached the court order, or did something not authorized by the order, and they did not meet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further found that the Jones should be estopped from asserting that the order did not apply to the GIC. At no time, either before or after the court order was obtained and, even though they had retained counsel, did the Jones ever complain that the order was not effective against the GIC. If they had brought an application to set aside or vary the order, the Toronto-Dominion Bank could have sought other orders imposing conditions on the release of any money to the Jones, or the posting or security, or the replacement of the funds with other funds, etc. The bank was deprived of that opportunity because the Jones lay in the weeds and did not assert their legal rights until the money had been paid out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Furthermore, the Jones brought onto their own heads the entire delay in obtaining their money by converting, mixing and disbursing funds in the first place. They seemed to have no concept of the havoc they caused, and they did not accept any responsibility for this comedy of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did not find the Bank of Montreal liable to the Jones and I did not need to consider the damages claim. However, I noted that the evidence was sadly lacking in all aspects of damages. Early in the trial I asked the Jones to quantify their damages and the best they could do was refer me to the pleadings. The little evidence that pertained to damages was superficial and insufficient to meet the burden of proof both with respect to quantum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Jones told me they had brought the action "on principle" because the Bank of Montreal had mistreated them. The only principle exemplified by this trial was that the courts should not be used as the forum for debates about principles where there has been no grounding in the evidence or in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SATANOVE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shd w:val="clear" w:color="auto" w:fill="FFFFFF"/>
            <w:lang w:val="en-US" w:eastAsia="en-US" w:bidi="ar-SA"/>
          </w:rPr>
          <w:t>Traynor v. Degroot, [2002] B.C.J. No. 1179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Curtis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15 - 19, 22 - 25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17 - 19,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B965167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1179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441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1103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Eileen Edith Traynor, plaintiff, and Willy Degroot and Yellow Cab Company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 Pedestrians and bicyclists — Street or highway crossing, intersection — Damage awards — Injury and death — Head injuries — Brain damage — Leg injuries — Fibula or tibia — Body injuries — Clavicle and sternum — General damage awards — Loss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Traynor for damages for personal injuries suffered when she was struck by a taxicab driven by Degroot. Traynor was a 22-year-old university student at the time of the collision. She was jogging home from rugby practice and cars in two of three lanes stopped at an intersection to allow her to cross. She looked both ways and as she jogged through the intersection, Degroot pulled out of one of the lanes and passed on the left, striking Traynor. She suffered a traumatic brain injury, a broken clavicle and a broken fibula. Her school work was seriously affected by her injuries, but in the ensuing years she completed her degree, married, and was expecting a child. She now worked in the United States, but her earning capacity was compromised by the fact that she was somewhat slow to process and remember information, withdrawn, and often tired. As well, she still suffered dizziness and headaches, although she had become active again in sports. She sought from $175,00 to $200,000 in general damages and over $3 million for lost earning capacity. Degroot and his employer denied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 w:name="Holdings of Court_0"/>
            <w:bookmarkEnd w:id="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Traynor was awarded $120,000 in general damages, special damages of $159, $37,200 for a year's worth of lost wages, and $500,000 in U.S. funds for lost earning capacity. Traynor was there to be seen had Degroot looked. He probably was accelerating to pass, and acted negligently. At the time of the collision Traynor demonstrated a marked potential for future success. However, the court had to take account of life's contingencies. Traynor certainly was entitled to significant damages for lost earning capacity. The brain injury foreclosed a career at the management level for her, but there was a real possibility that she would lead a full life and pursue a master's degree.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 w:name="Legislation Cited"/>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0" w:history="1">
        <w:r>
          <w:rPr>
            <w:rFonts w:ascii="arial" w:eastAsia="arial" w:hAnsi="arial" w:cs="arial"/>
            <w:i/>
            <w:color w:val="0077CC"/>
            <w:sz w:val="20"/>
            <w:u w:val="single"/>
            <w:shd w:val="clear" w:color="auto" w:fill="FFFFFF"/>
            <w:lang w:val="en-US" w:eastAsia="en-US" w:bidi="ar-SA"/>
          </w:rPr>
          <w:t>R.S.B.C. 1996, c. 318, s. 179</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 w:name="Counsel_0"/>
      <w:bookmarkEnd w:id="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Brian Webster and D.F. Corrin,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Scott B. Stewart and J. Joudrey,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2" style="position:absolute;z-index:2518128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 w:name="CURTIS J."/>
            <w:bookmarkEnd w:id="12"/>
            <w:r>
              <w:rPr>
                <w:rFonts w:ascii="arial" w:eastAsia="arial" w:hAnsi="arial" w:cs="arial"/>
                <w:b/>
                <w:color w:val="000000"/>
                <w:sz w:val="30"/>
                <w:lang w:val="en-US" w:eastAsia="en-US" w:bidi="ar-SA"/>
              </w:rPr>
              <w:t>CURTIS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Eileen Traynor claims damages for personal injuries she suffered when a Yellow Cab driven by Willy Degroot struck her while she was a pedestrian crossing Broadway Avenue at its intersection with Stephens in Vancouver on the 19th of June 1996. Willy Degroot alleges that he exercised reasonable care in the circumstances and denies liability for the accident. The amount of damages claimed for pain and suffering, past and future wage loss and cost of future care is also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Many of the circumstances of what occurred on the evening of June 19th, 1996 are not in issue. It was a warm and sunny summer evening about 8:30 p.m. The roads were clear and dry. Eileen Traynor, who was 22 years old, had just finished her second year as a student at UBC studying for a Bachelor of Science degree with a major in geophysics. She was returning home from a rugby practice on foot. Willy Degroot, a Vancouver taxi driver with 30 years experience was heading east on Broadway Avenue as Eileen Traynor was crossing Broadway from the southwest corner of its intersection with Stephens Street. At that intersection, Broadway Avenue has two lanes for eastbound traffic plus a parking lane by the curb and two lanes for westbound traffic. There was no marked crosswalk at the time although the intersection now has one. Lee-Anne Purcell was a passenger in a vehicle driven by her husband which had pulled into the eastbound parking lane, about to turn right onto Stephens Street. Tina Currie was driving a Nissan pickup in the eastbound lane next to the parking lane. Both the Purcell and Currie vehicles stopped to let Eileen Traynor cross. Mr. Degroot passed these stopped vehicles on their left in the inside eastbound lane and collided with Ms. Traynor. Mr. Mark Zagerman who also witnessed the accident was stopped in the inside westbound lane waiting for traffic to clear so he could turn south onto Stephens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Eileen Traynor, who suffered head injuries in the collision testified that she remembered going to rugby practice, and that she was jogging back home, but she had no recollection of being on Stephens, her last memory was of running out along 10th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Willy Degroot testified at trial that he was travelling at 40-50 kilometres per hour in the inside eastbound lane, and had not changed lanes in the block before the accident. He said his foot was over the brake as he entered the intersection, which was his habit, and that he saw Eileen Traynor a split second before she ran into the side of his cab, hitting the cab just in front of the passenger side window where a dent was later visible. He described her as running, looking up and smiling. He said he hit the brakes and swerved to his left. Mr. Degroot said he just didn't have time to stop, and that she ran into him so hard she made the dent in the car. On the 29th of June, 1996, Mr. Degroot was served with a Violation Ticket alleging that he had passed vehicles stopped for a pedestrian in a crosswalk, contrary to section 181(3) of the Motor Vehicle Act. He testified that it wasn't worth his time and effort to dispute the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Under cross-examination, Mr. Degroot agreed that he had given the police a statement the evening of the accident in which he had said he had been going the speed limit, and that a car was stopped in the second eastbound lane. He said he was in shock when he gave the statement, but agreed those parts of the statement were correct. He said the car that was stopped looked like it was going to make a turn. When asked why he was passing the car he said, "I don't think I had time to stop. I just know I didn't have time to stop." Asked if he had accelerated prior to the collision he said, "Not that I can remember." In answer to a suggestion he had changed lanes to pass the cars which were slowing down he said, "I would say .... I would say not." It was then suggested to him that it was possible he did so and he said, "That's possible .... that's possible." I did not hear that testimony as a firm denial based upon a clear recollection of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Police measurements and photographs taken at the scene show that Mr. Degroot's taxi came to rest in the middle of the intersection straddling the centre line, about one-half a car length past where the eastern edge of a marked crosswalk would be, had there been one. Eileen Traynor was lying about six feet south of the passenger door of the taxi also in the middle of the intersection. The tires of the taxi left skid marks on the road which start about a car length back from the crosswalk area. As Mr. Degroot testified, he braked immediately upon seeing Ms. Traynor, it appears he did not see her until he was only a car length or so from her intended path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Lee-Anne Purcell, the passenger in the vehicle in the eastbound parking lane testified she and her husband were driving very slowly discussing what they were going to do for dinner. She said she saw a blond woman jogging on the spot on the street corner. The woman crossed in front of their car and a vehicle in the lane to their left, then she heard a screech and saw a taxi hit the woman who flipped up in the air. She said that when the woman crossed, her pace was a walk, but with a bounce to it. She saw the impact and said the right front corner of the taxi hit the woman. Mrs. Purcell gave a statement to the police on July 5th in which she said the jogger was standing in the middle area of Stephens Street, not on the sidewalk, and had proceeded with a trot-type jog through the middle of the intersection. She agreed her memory was probably better on the 5th of July and adopted as true the portions of evidence referred to. She also said she didn't see the taxi until she heard the screech just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Tina Currie was driving a small Nissan pickup home from work at the West Side Gym on West Broadway. She was going east on Broadway, approaching the intersection with Stephens Street. She testified she saw the plaintiff on the sidewalk on the southwest corner looking to cross the street and stopped for her. She said she saw her just standing there 10 - 15 seconds before she stopped. She said, "I made eye contact with her and motioned her that I was stopped she could go forward." She recalls three or four cars being stopped behind her and said when she looked in her rear view mirror after motioning the plaintiff to cross she saw the taxi coming up in the lane to her left. The lane had been clear when she had waved her to cross. She said the "taxi in my recollection it was going over 50 - going quite fast." She testified that she saw the impact and that the initial contact was to the right side of the cab by the right mirror. Tina Currie gave a statement to the police at the scene that: "the pedestrian was waiting on the street until I came to a full stop." Ms. Currie said her recollection at trial was that the pedestrian was on the sidewalk but she would adopt what she said about her being on the street in her statement. She also accepted as her evidence her statement that the pedestrian had run across the street. She agreed her statement also said that the pedestrian had walked across the street which was contradictory. She also said the pedestrian looked both ways before she proceeded to cross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Mark Zagerman was heading home from dropping off a client and going westbound on Broadway. He had stopped at the intersection of Broadway and Stephens, waiting for the traffic to clear to turn south onto Stephens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Zagerman testified he saw the plaintiff poised to cross north on Stephens. He said he had seen a pedestrian hit a few years before so he paid close attention. He testified he saw a Yellow Cab accelerate from a parked position at the curb and skip across the lanes. He said, "I remember thinking she doesn't see him, he's gonna hit her." He said she was hit by the right front end of the taxi. To the best of Mr. Zagerman's recollection, he saw her on the sidewalk close to the corner. He said she crossed probably at a trot, didn't seem to be bolting but wasn't taking her time either. Mr. Zagerman said in terms of an imaginary crosswalk, Ms. Traynor was just where she was supposed to be 3/4 between the two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Zagerman gave a statement dated August 22nd, 1996. He agreed that he had not made any mention of the taxi changing lanes in his statement, but when asked about that he said, "You can recall something after the fact." He agreed that in his statement he said, "A second after the pedestrian left the curb, I noticed an oncoming eastbound cab," but in court he went on to say that didn't mean he hadn't seen it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Evidence concerning the collision was also given by Mr. West, an accident reconstruction engineer called on behalf of the plaintiff who testified that it was likely the right front bumper of the taxi struck and broke Ms. Traynor's left leg, and by Keith Godfrey of Godfrey Engineering Services Ltd., also an accident reconstruction engineer, whose report was filed by the defence. Mr. Godfrey testified that if she had been hit by the front of the car, he would have expected her body to have gone more over top of the hood, and contacted the cab more into the centre of the windshield, but he agreed he did not have any photographs of the front of the car or, of Ms. Traynor's injuries. He agreed that the photographic evidence of the injury to Ms. Traynor's left leg was consistent with impact by the front bumper which he said was certainly a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Both engineers agreed that at the instant of impact the pedestrian had likely slowed or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evidence before me, I find the accident probably occurred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Eileen Traynor was jogging home from her rugby practice. She came to the corner of Stephens Street and Broadway and was jogging on the spot on the sidewalk waiting for the traffic to stop or clear so she could cross. The Purcell vehicle stopped in the curb lane, and Tina Currie stopped her vehicle in the inside eastbound lane and motioned Ms. Traynor to cross. Ms. Traynor looked both ways and proceeded to jog across the intersection in the "imaginary crosswalk." Mr. Degroot was either at the curb or three or four cars behind Tina Currie so that when Eileen Traynor looked west, all the cars to her left were stopped or slowing, but almost immediately after she had looked and Tina Currie motioned her across, Mr. Degroot, for some reason, pulled out and accelerated to pass the slowing and stopped cars. Eileen Traynor having looked and been motioned across did not look again, and thus did not see the taxi until at the last moment she slowed or stopped and was hit by it just as it reached her path of travel. Mr. Degroot did not see Ms. Traynor until as he said, it was too late to stop 3/4 which judging from the beginning of the skid marks was about one car length back. She was hit by the right front of the taxi in the crosswalk, flipped up into the air and came to rest in the middle of the intersection as did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Eileen Traynor was there to be seen by Mr. Degroot had he looked for her, but he did not do so, the probable explanation being that as he said in his evidence, he thought the car ahead was going to make a turn, such that he proceeded on the assumption he was passing a turning car 3/4 not cars stopped for a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accept that Ms. Traynor was jogging across the street because Lee-Anne Purcell adopted her July 5th statement that she was, Mr. Zagerman said she was as did Tina Currie, (although her statement was contradictory). It also seems likely in the circumstances because Ms. Traynor was very athletic and her last recollection prior to the collision was of jogging home from rugby practice on 10th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that Mr. Degroot probably changed lanes at the last minute. I find his unconvincing denial of doing so strongly supports Mr. Zagerman's evidence of the taxi skipping across the lanes, and fits with Tina Currie's evidence of traffic being clear when she motioned Eileen Traynor across but seeing the taxi in her rear view mirror immediately afterward. It also tends to explain why Ms. Traynor would not have noticed the danger the taxi presented when she looked to her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find Ms. Traynor was hit by the right front of the taxi because that is most consistent with her left leg injury and that is what Lee-Anne Purcell and Mr. Zagerman said they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Ms. Traynor was hit in the crosswalk after crossing the street from the sidewalk because the evidence of Mr. Zagerman and Mr. Degroot suggests that was so and it is consistent with her being struck in that area and coming to rest where her body was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not proven that Mr. Degroot was going over the speed limit, but probable that he was accelerating to pass the cars until he saw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Rights of way between vehicle and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179</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slowing down or stopped at a crosswalk or at an intersection to permit a pedestrian to cross the highway, the driver of a vehicle approaching from the rear must not overtake and pass the vehicle that is slowing down or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Degroot was clearly negligent when he chose to accelerate past cars which were stopped for a pedestrian crossing in a crosswalk at an intersection. There was a pedestrian there to be seen that he did not see until it was too late to stop, probably because he was proceeding on the assumption the cars had stopped for a car about to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Was Eileen Traynor contributorily negligent? Did she fail to take reasonable care for her own safety? Mr. Zagerman's impression of an impending collision seems to suggest she may have failed to look carefully, but he was observing the scene from a different vantage point. When Ms. Traynor looked left, all the cars in the eastbound lane closest to her were slowing or stopped and the other eastbound lane was empty. Tina Currie made eye contact with her and motioned her to cross. She started to jog across with every reason to believe that in the brief time she would be crossing the eastbound lanes she could do so in safety. What changed that was that Mr. Degroot changed lanes and accelerated when it was not reasonable or prudent for him to do so or for her to expect that he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Eileen Traynor stepped off the curb and into the crosswalk she did not walk or run into the path of a vehicle that was so close it was impractical for the driver to yield the right of way. She had waited on the curb until she saw that it was safe for her to cross; the collision occurred because after she left her place of safety, Mr. Degroot negligently accelerated past cars which had slowed or stopped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the circumstances, I find Eileen Traynor took reasonable care for her own safety and that it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Degroot that was the sole cause of the collision and her ensuing injuries. Running across an intersection is not, in and of itself,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Eileen Traynor was admitted to the Vancouver General Hospital at 8:35 p.m. The ambulance attendants at the scene recorded her Glasgow Coma Scale at 3, however, on arrival at hospital, all her vital signs were stable and she improved rapidly, her Glasgow Coma Scale being recorded at 11. When Ms. Traynor was first admitted, she had no identification, and her identity was unknown. She was sedated for agitation and remained markedly confused until about 6:00 p.m. on the 22nd of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Vancouver General Hospital Discharge Summary provides the following information: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Glasgow Coma Scale at the scene was recorded as 3 however she rapidly improved. On arrival at the Vancouver Hospital, all her vital signs were stable. Glasgow Coma Scale was 11 and she was localizing briskly to pain. She had a left frontal scalp laceration and subgaleal hematoma in the right and left parietal region. There was blood in the left external auditory canal. Neurological examination was completely normal. She had tenderness in the region of the left clavicle as well as in the left lower leg.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X-rays revealed a minimally displaced fracture of the left clavicle and an undisplaced fracture of the proximal one-third of the left fibula. CT scan revealed a left petrous temporal basal skull fracture with fluid in the left mastoid sphenoid sinus. She had a small right posterior temporal contusion. However, there was no evidence of raised intracranial pressure or cerebral edema. She had a CT scan of the abdomen and pelvis which revealed no abnormalities. Cervical spine x-rays were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admitted to the neurosurgery ward. The following day, she was obeying commands, opening her eyes to voice, and was able to tell us her first name but still otherwise confused. She made quite a rapid improvement in her level of consciousness. There was no evidence of CSF leak. She was noted to have a mild left facial weakness which was improving. She also noted decreased hearing on the left side. Neurological examination otherwise was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discharged to the care of her family on June 24, 1996. She will be followed up in the orthopedic clinic for application of a walking cast once her leg swelling improves. The follow-up as well will be arranged by myself and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DISCHARGE DIAGNOSIS: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Closed head injury with basal skull fracture and right temporal contusion.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OTHER DIAGNOSES:</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Fractured left clavicle,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fractured left fibula.</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COMPLICATIONS: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Mild left facial weakness which was improving.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OPERATIONS:</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DISCHARGE MEDICATIONS:</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Tylenol No. 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Traynor was discharged to the care of her parents at 10:30 a.m. on June 24th on crutches with a prescription for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Dean Foti, the neurologist, who provided three reports on Eileen Traynor and testified at trial provides the following summary and analysis of Ms. Traynor's hospital stay, at page 3 of his report of January 11,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initial Glasgow Coma Scale (GCS) was apparently 3/15, which is the lowest score possible and indicates someone who is clearly unconscious. However, I did not have the ambulance crew report in the records. Thus, I am uncertain of the elapsed time between the accident and ER assessment at 20:35. It is noted that the ambulance crew was concerned about impending respiratory arrest, but she woke up with stimulation. Her GCS improve rapidly to 12/15, and blood was noted in the left ear canal suggesting potential skull fracture. There was a big hematoma (bruise) on the scalp in the left parietal and occipital regions. The rest of her assessment indicated an undisplaced fracture of the left fibula. The chest x-ray indicated a left clavicle fracture. The neurosurgical assessment indicates the car was traveling about 30 to 40 km per hour and the windshield was not cracked. Her GCS at this point was 11/15, as she did not follow commands and was incomprehensible. It was noted that Ms. Traynor was shouting, screaming and combative (behavior which is fairly common following head injury). The C.T. head scan is interpreted as showing a left petrous temporal basal skull fracture with a small right posterior temporal contusion with mild generalized swelling. (The official C.T. head report is very similar, indicating hemorrhagic contusions in the right posterior temporal lobe, with the largest measuring 1 cm.) It was felt she had a mild moderate closed head injury. On June 20th, her GCS was 10, and she had received a small dose of tranquilizers four hours earlier. Later in the day she was obeying commands and opening her eyes more reliably, and was able to say her first name but not her last name. It was felt she had a moderate closed head injury by the attending neurosurgeon, Dr. Zwimpfer. On June 23, left facial weakness was noted to be improving and it is remarked that she had reduced hearing on a left side. She was discharged on June 24th.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 of the nursing notes indicate an extremely combative, agitated patient in the first six hours, requiring Haldol 10 mg, Versed (another tranquilizer) on three occasions, and some Morphine and Gravol. However, after Ms. Traynor arrived on the neurosurgical ward in the early morning of June 20th, she required very few sedative or pain medications over the next few days. She received only a very small dose of Nozinan, Morphine 2 mg (a very small dose), and 60 mg of codeine on June 21st. (The small amount of medication is unlikely to result in a persistent confusional state, which is much more likely due to a head injury). The nursing record from June 20th at 10 a.m. indicated some difficulty in moving the right side to command, as she only obeyed commands with the left hand. Spontaneous movements on both sides appeared intact. This asymmetry is not noted again. Her behavior settles down and she follows commands reliably later in the day. On the morning of June 22nd, she is incontinent of a large amount of urine (as she was not restrained, was reasonably mobile and was not sedated by medications, this loss of bladder control likely reflects frontal lobe dysfunction). Nausea and headache are persisting on June 23rd. She is able to hop on one leg on June 24th, the day she is discharged. The nursing flow charts indicate the GCS did not return to 15/15 (normal score) until the middle of the afternoon on June 22nd, two and a half days post-MVA.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During the summer of 1996, following the accident, Eileen Traynor lived with her mother in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 report of August 15th, 1996, Dr. Zwimpfer, the neurosurgeon, who had treated Ms. Traynor in hospital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this girl is two months after a moderate closed head injury with a small shear hemorrhage whose location I cannot remember. It is very possible that this may be in the region of her speech centre and it may explain her speech symptoms, although objectively she really has no dysphasia that I can detect. I think most of her complaints such as a shortened attention span and mood swings are all part of a post-concussion syndrome, which should eventually completely recover given her young age and significant recovery to this date. I have told her that she may very well find that her concentration and ability to do school work may not be 100 percent when she returns to school but that it eventually will recover. I suspect she will be able to function at school reasonably well. If she finds that she has very significant trouble in doing her school work I have asked her to get back in touch with me, and we will arrange for her to have neuropsychological testing although this most likely will not be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previously played an extensive amount of rugby but she is not planning to return to this as there is an absolute rule in the league that any previously significant head injury prevents a person from playing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fall of 1996, Eileen Traynor enrolled in four courses at UBC to continue toward her degree in geophysics. She had to drop three of these courses on account of problems she encountered - she had to sleep a great deal, felt tired all the time, had difficulty concentrating and took much more time to learn, her mental processing seeming to be much slower.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5th, 6th and 7th of November, 1996, Ms. Traynor was assessed by Dr. James Schmidt, a neuropsychologist. In his report of November 13, 1996, Dr. Schmidt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it should be noted that in such accidents, the majority of individuals involved go on to have an uneventful and complete recovery. However, a few do not, going on instead to present with complaints similar to those reported by Ms. Traynor.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Schmidt's conclusions in his November 13, 1996 report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evaluation of the above documents, interview findings, and test results, then, I would make the following conclusions: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of the medical records demonstrated that Ms. Traynor suffered a significant traumatic brain injury in the accident in question. She had a significantly lowered Glasgow Coma Scale, a positive CT scan, and a prolonged period of posttraumatic amnesia.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my assessment, Ms. Traynor showed cognitive deficits consistent with the nature of her traumatic brain injury. These included difficulty focusing her attention, particularly on more complex information over sustained periods of time. She also showed deficits in mental efficiency, particularly on more complex tasks. Finally, she showed a specific deficit in visual perceptual functioning. Other possible deficits existed in learning and memory as well as language functioning and psychomotor speed, although these deficits may well be secondary to the problems with attention and mental efficiency. It is my opinion that these various cognitive problems are a direct result of traumatic brain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emotional level, Ms. Traynor showed some disruption in the form of decreased sense of control over her feelings, as well as some feelings of alienation from her own emotions. She also complained of loss of energy. The Rorschach and the MMPI-2 converged to indicate that these findings are a reaction to her other problems rather than reflections of long-standing psychological problems. I did not find any evidence of significant levels of depression, anxiety, or thought disturbance.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then, Ms. Traynor's traumatic brain injury is still having a significant impact on her functioning. It appears that her emotional disruption is secondary to the brain injury and the impact of the accident on her life. I believe that the impact of the accident on her life has yet to be fully appreciated by her, and view her return to school with a near-full course load last September as having been premature. Indeed, she has already had to drop two courses and may drop a third one. These facts, as well as her inability to return to athletic activities, which were a mainstay of her leisure activities, self image and sense of self esteem, are creating a great deal of emotional distress for her, distress she has added difficulty coping with because of disruption of brain centers associated with emotional control.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light of the above, Ms. Traynor would benefit from receiving an integrated intervention package at this time. This should consist of several components. First, she should be provided counseling or psychotherapy by someone who is experienced with treating individuals with traumatic brain injury. This should include an educational component, helping her to understand the impact of her injury on her life, and a supportive component focused on helping her to deal with such issues as altered self image and self esteem. Second, she would benefit from modifications to her educational program. These might include a reduced course load (which she is already initiating). However, this alone may not be sufficient. Instead, she may also benefit from modifications of her existing courses (such as modifications of examination procedures), tutoring, study skills support (taking into account her newly-acquired difficulties with attention and mental efficiency) or selection of alternate courses. Thus, she would benefit from receiving support in helping her to structure her leisure time, in a way that will allow her to find alternative rewarding activities, and methods she can use to systemically yet gradually reactivate herself. This becomes especially critical as her academic demands are diminished.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provide a prognosis at this early time. On the one hand, Ms. Traynor did suffer a substantial injury and does still show significant disruption. One the other hand, she is still early in her recovery process and, fortunately, the types of deficits that she shows are ones that generally show a significant level of improvement over time. She is very fortunate in that she appears to have escaped many of the types of damage (including frontal lobe injury) that are the most devastating from a psychosocial standpoint. In addition, she is a very motivated individual and this will certainly contribute to her recovery. One danger that must be guarded against is the risk that she will become increasingly frustrated, discouraged, and depressed as she tries to return to her normal lifestyle and runs into the barriers and difficulties that her injuries will cause her. Hence, her ultimate prognosis will, in my opinion, be heavily dependent upon the sort of treatment she receives. If a course is followed, as described above, her prognosis is much better than if she is simply left to her own devices and resources, as currently appears to be the case. She is receiving some supportive counseling at this point, but in my opinion this is not sufficient to her needs. It is my opinion that Ms. Traynor's injury will undoubtedly prolong the amount of time it will take her to ultimately complete her bachelor's degree, although I have a fair degree of confidence that she will ultimately be able to do this. It would appear that this year she will have to take a reduced course load, and this is something that should be discussed with her in order to help her to see it as a therapeutic step, rather than a reflection of failure on her part.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view of the still very dynamic nature of her recovery process, Ms. Traynor should be monitored over time. In that regard, I would recommend that she be reevaluated in approximately six to eight month's time. Following that, further evaluations would be appropriate until such time as her condition plateaus, both in terms of her neuropsychological status and in terms of her psychological adjustment to her various injuries.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closing, it should be noted that neuropsychological testing obtains an estimate of the individual's optimal rather than worst, or even typical level of functioning. This is because such testing is done in a quiet environment that is free from distraction, and in a way that minimizes the impact of such factors as fatigue, stress, frustration, and pain. Because of this, the impact of deficits on the individual's everyday functioning is often greater than might be expected, given their scores on tests administered under these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Traynor's university credits for the winter session 1996-97 in fourth year were: Geophysics Lab 71% - B-(6 credits) and ADV-PHY EARTH 67% C+ (3 credits). In a summer course in 1997, she obtained a mark of 75% (B) in Spanish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Traynor began seeing Dr. Martin Shoemaker, a consulting psychologist, specializing in patients recovering from brain injuries in the fall of 1996, and continued to consult him until December 17th, 1998, at which point Dr. Shoemaker felt he had nothing further to offer her unless she felt need of his help which she has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fall of 1997, Ms. Traynor took three courses and four in the 1998 spring term, graduating successfully May 20th, 1998 with a Bachelor of Science Major Geophysics. Her marks for the 1997, 1998 term were A-, A-, B+, B+, B-, B-, and a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Traynor had her initial consultation with Dr. Dean Foti, the neurologist, January 9, 1998 for a clinical assessment of problems she was having with vertigo.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Eileen Traynor was hired March 12, 1998, to begin May 1, 1998 as a Junior geophysicist by Geco-Prakla, a Division of Schlumberger at a monthly salary of $3,100 USD to work with a crew operation in West Texas interpreting and processing drill logs. In March of 1999, she was laid off due to lack of work. Effective August 16, 1999, she was transferred to the data processing department in Houston, Texas and sent for training for one week to Gatwick, England, then four weeks to Hanover, Germany to take the DP Stat Program. She achieved an overall average of 85.1 in Technical Skills (course high 85.5), and in Practical Skills an Average Practical score Tasks Completed 87.87 (where the course average was 86.33 and course high 93.78). The assessment of her performance in the course was as follows: (Theoretical knowledge) "Her test results were high across most subjects, indicating a sound understanding of material covered in the course" and, (Practical Skills), "Eileen was able to work with minimum supervision producing good results. It was noted that she sometimes took longer than others to reach solutions." The course ended September 24, 1999, following which she took up her position as a junior geophysicist in Houston working initially on seismic data processing. She noticed a difficulty remembering numbers and a slowness in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Dean Foti provided an opinion dated January 11,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page 5 of that report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agree with Dr. Schmidt that the subtle weaknesses in cognitive function persist, particularly in mental efficiency or processing speed. I would agree that this deficiency will fatigue her excessively, and may reduce her energy for other activities such as interpersonal relationships. I would concur that Ms. Traynor appears to have sacrificed a rich athletic life and leisure activities in order that she could channel all needed energies into her vocational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page 7 of his report, Dr. Foti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Eileen Traynor is a twenty-five year old woman who was involved in a serious pedestrian-car MVA on June 19th, 1996. Based on my clinical examination, the reports of Drs. Schmidt and Anderson, and direct hospital records, it is apparent that Ms. Traynor suffered a severe traumatic brain injury but has recovered in a remarkable fashion to continue with her schooling and vocational pursuits. I believe this recovery is based on her premorbid high intellect, drive, motivation, and stable psychosocial situation. From a pure brain injury perspective, she meets criteria for severe traumatic brain injury with an initial Glasgow Coma score of three, although this rapidly improved to 11 or 12. However she still did not return to a normal Glasgow Coma Scale until two and half days later, which cannot be accounted for on the basis of sedative medications. Another important measure of brain injury is post-traumatic amnesia (the time from trauma until the next continuous memories), and Ms. Traynor appears to have at least seven days and possibly up to one month of discontinuous memories. (A severe traumatic brain injury is defined as PTA of seven or more days). It is certain that she also suffered a loss of consciousness, although the duration is uncertain, likely less than 30 minutes. She showed significant agitation and confusion during her initial hospitalization, with no evidence of the use of alcohol or recreational drugs to produce this behaviour. Her course in hospital is consistent with a severe traumatic brain injury, although she seemed to recover somewhat more rapidly than a typical severe TBI. Her actual hospital course with a discharge after five days is more typically seen in moderate brain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Traynor has suffered fairly typical emotional, cognitive, and physical symptoms associated with traumatic brain injury. Emotionally, she did experience a period of depression, which was helped substantially by sessions with Dr. Shoemaker. She does continue to experience periods of irritability when she is fatigued or had excessive demands placed upon her. Although when I examined her for symptoms of vertigo in 1998 I initially felt that she appeared to have organic disinhibition as a result of orbital-frontal lobe injury, I am reluctant to make such a statement currently based on further records and collateral information. I do not believe there is enough of a personality change or evidence of impulsive behavior to indicate definite injury to orbital-frontal lobes. Her agitation initially often does reflect frontal lobe injury, but it settled very rapidly with minimal intervention. Patients with more severe orbital-frontal lobe injury usually have prolonged behavioral disturbances. However, I believe the other personality changes as documented by Dr. Anderson are consistent with traumatic brain injury and are unlikely to have occurred in the absence of the MVA. Her personality changes are unlikely to result in failure to achieve interpersonal relationships or maintain employment, but will result in a reduced capacity to advance in her employment and to attain personal satisfaction that she most probably would have in the absence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prognosis Dr. Foti gave in that report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Traynor is now over three years following the MVA, and it is unlikely that she will have any further recovery of cognitive or motor skills. She is clearly competitively employable, and has been able to maintain employment reasonably well. It is probable that she would have been very successful in her field, likely advancing to management positions. I believe her ability to move up in her field, which is filled with bright, young, and talented individuals, is limited based on her slowness in processing information relative to her peers. Situations involving meetings and multiple tasks will remain a problem, and I doubt she would be an effective leader due to her injuries as a result of the MVA. The vertigo seems to be persistent despite my attempt to dislodge a crystal in 1998, and if there is injury to the inner ear then she will be left with persisting vertigo. The headaches are likely to be an ongoing problem in specific demanding environments.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Traynor's interpersonal skills remain reasonable, and she fortunately does not have a major personality disorder. She will likely be able to maintain work and personal relationships, although I believe will be less satisfied with them than she would have in the absence of the MVA. She may have trouble coping with other stresses such as marriage and children, and will be prone to self-doubt.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May 16, 2000, Eileen Traynor was promoted from Junior Geophysicist to Geophysicist and her salary raised to $3,200 USD per month. She was going to the gym occasionally, playing soccer, and occasionally surfing.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summer of 2000, Eileen Traynor began dating Sylvestre Charles whom she later married. Mr. Charles, who is from Paris, France, has a doctorate in geophysics and is employed with the same company in the research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Foti, in his report of June 7th, 2000, wrote, "... She has shown a remarkable recovery which in large part is due to her higher cognitive reserve as well as premorbid personality characteristics with excellent work habits and a strong motivation to succeed." Dr. Foti stated that his opinion given in his January 11th, 2000 report had not changed and stated: "The cognitive, emotional, physical problems she has experienced are typical of traumatic brain injury, and I believe they will limit her career advancement. In particular, she will be limited in her ability to advance to senior management positions, which I suspect would have occurred based on her premorbid personality traits and intellectual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Eileen Traynor began living with Sylvestre Charles in late summer 2000 and married him on the 10th of June 2001. At the time of trial, she was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Foti interviewed Ms. Traynor for an hour on June 7, 2001 and in his report of July 9th, 2001 provided the following comments at page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the passage of time, it remains apparent that Ms. Traynor continues to have the same deficits that were noted previously. There has been no improvement of significance in her cognitive skills, although she does perform slightly better on some of the cognitive tests given today, which is almost certainly a result of practice, as my assessment occurred following a few other assessments earlier in the week where she had just performed identical tasks. Formal neuropsychological testing to more accurately assess cognitive level has been performed by Dr. Schmidt, with the report pending.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collateral information obtain in this assessment is extremely consistent with previous assessments of Ms. Traynor, and further solidifies an understanding of the nature of the problems that she is experiencing. Interview with Ms. Traynor's mother and her brother, Michael, indicate considerable changes from her functioning prior to the MVA. It is evident that Ms. Traynor compensates in her daily functioning, often using lists and routine to help her function better. However, there are changes in her speed of information processing and ability to handle novel situations, suggesting a loss of executive control. She was previously a bright, alert, interactive, sociable, and intellectually stimulating young woman who enjoyed a debate and was confident in her position, although willing to look at a problem from multiple angles. Consistent reports of Ms. Traynor's personality indicate that she has lost the ability to converse at a higher intellectual level, shuns social situations with more than a few people, is unable to take the viewpoint of others, and she simply retreats from a situation when controversy develops. These problems arise due to personality changes and the loss of the ability to analyze a problem from multiple angles, as well as her inability to comprehend information at a very high level when multiple individuals are involved in a conversation. These changes in her functioning are as a result of severe traumatic brain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information obtain in this recent reassessment does not alter the opinions offered in my previous reports. This review of Ms. Traynor's condition continues to emphasize the persistent and pervasive nature of the changes in Ms. Traynor's personality, and the methods by which she copes in order to maintain a reasonable level of functioning. The passage of time indicates that she is able to work at a full-time level in a competitive environment, and she has become engaged and was recently married. Although Sylvestre does not know Ms. Traynor from prior to the MVA, it is apparent to him that she has difficulty handling conversations at a higher level and tends to retreat from confrontation. However, he also finds considerable enjoyment in her presence. They must modify their social life as a result of her fatigue and headaches. As noted previously, Ms. Traynor is able to compensate for a period of time, but she pays a price by restricting her social activities. The headaches continue at a similar level as noted previously, and are fairly typical of post-traumatic headaches in that they are only present when she pushes herself or is exposed to an environment with excess information or visual/auditory stimulation.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the time of trial, Mrs. Charles and her husband were planning to move from Houston, where she has not been particularly happy. It is not certain where they will move, possibilities include England, Norway, United States, Canada and others. They have agreed that he will endeavour to find employment where she can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Eileen Traynor grew up in Duncan, with her parents, her older brothers, Michael (now a doctor in Montreal), Sam (now a field engineer) and her twin brother Ben. Eileen's mother taught early childhood education at Malaspina College. Her father worked as an architect. Her parents later separated when she was in first year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Eileen Traynor was an exceptional child excelling in her school work, athletics and having many friends. Her grade two teacher, who has not been in contact with her since teaching her in 1981-1982 still retains a memory of her as a delightful young girl who was mentally and physically quick. Her grade 12 physics teacher and basketball coach said he would place her in the top 3 per cent of students he has taught over the last 30 years and went on to say, "I wouldn't hesitate to say she was the best single all round student I've ever taught."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Traynor took her school in French until switching to English in grade 12 to get more sciences, and is now fluent in the language. Academically, she was consistently at the top of her class from elementary school on. She took up orienteering in grade 6 and went on to be Canadian Champion for her age group five times, including her first year at university. She was also involved in track and field, triathlons, soccer, field hockey and other sports in addition to basketball in which she excelled. She graduated from Grade 12 at Cowichan Senior Secondary School, tied for top academic honours and as top scorer, MVP and captain of her basketball team and athlete of the year. In addition to all of this she also achieved Grade 6 in piano lessons.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Traynor was known for having many friends and an easy going nature. Witnesses described her as an inclusive, cohesive force on teams and with groups of people and said that any group with her in it performed better. Witnesses also commented upon her organizational skills and the seemingly effortless way she combined her many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Eileen Traynor had an interest in geophysics that started before she left high school. In the fall of 1992, she enrolled in first year Science at UBC and lived in residence. She played on the UBC basketball team as a "Red Shirt" practising three hours a day with the team and playing all but the league games. Her marks at the end of first year were A-, A-, A-, B, B, B- and two C+ in Calculus.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summer after her first year she worked as a tree planter averaging $150 per day and meeting a young man named Terry who would become a long term 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Ms. Traynor returned to UBC for her second year, she elected not to continue with basketball and played intramural rugby, in which one of her team mates described her as a phenomenal athlete. She also played men's intramural basketball. Her grades for second year were A-, B+, B, C+, C, C- and F, the latter three grades being in elementary differential equations, Economics 100 (56%) Electrical 283 (47%). She testified she had been required to take the course she got the F in, although she did not have the prerequisite course. She testified she did not enjoy second year university all that much. She found everything theoretical and wasn't particularly enjoying her courses. In addition, she developed colitis in her second term which required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Following her second year, Ms. Traynor decided to take a year off and travel. She tree planted during the summer, then went to Australia, Thailand and Singapore coming back for the next tree planting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Starting her third year of university in the fall of 1995, Ms. Traynor lived with friends in a house in Kitsilano. Her boyfriend Terry was living on unemployment insurance in downtown Vancouver and she spent a lot of time with him. Her marks for her third year were B+, B, B, B-, B-, C+, C-, D, D. Her lowest three marks were C- (58%) in geophysics 322, D (52%) in differential equations 2 and D (50%) in calculus IV. When asked about her D in calculus, she said she didn't attend classes very often, she was more interested in applied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spring of 1996, Ms. Traynor tree planted again and had obtained a job with a Professor of Atmospheric Science that was to start the day after she was hit. She said her long term plan at that time was to work after graduation to pay off her student loans, then take a Masters or a Ph.D.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time of trial, Eileen and Sylvestre Charles were living in Houston and expecting their first child. He was employed in the Research and Development department of Western Geophysical, (a related company to Schlumberger where Eileen was working) in depth imaging, earning $75,000 USD/year and she in processing seismic data as a geophysicist at $3,200 USD per month. They both wanted to leave Houston - Mr. Charles said he has been in depth imaging for four years and has been looking for something new to do since March 2001, either a new area or more responsibility. Eileen Charles has often expressed her desire to leave Houston. Possible places of relocation for them include London, England, Norway, Australia and possibly Calgary, Alberta. Mr. Charles plans to obtain employment where Eileen can also obtain work, but it is possible that work would not be available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Eileen Charles' immediate supervisor, Michael O'Brian, gave evidence at the trial. He is a work friend of Sylvestre Charles. He said Eileen Charles is now working alone, the last employee working on her project in processing seismic data. He described her as quiet, unassertive, seeming to lack confidence in groups and, at times, appearing to be physically tired, particularly in the last few months. He said she is ideally qualified for her job, works better on her own and gives the impression of having difficulty concentrating and not being well organized. He says he frequently sees her slouched over her desk and she seems more forgetful than he would like. He says that he sees very few leadership traits in her. On the other hand, he says Mrs. Charles has a nice personality, she gets along well with co-workers and, as a geophysicist, seems to pick up things and get the overall picture very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O'Brian testified that training is one of his issues with Mrs. Charles. As a geophysicist, she is required to complete the Summit Program within three years. She completed Summit I in May 2001 about as expected, but has not progressed with Summit II and onto Summit III on the usual time line. The Summit Program involves home study and examinations. One of the witnesses described it as being equivalent to a masters degree. When asked about her progress in the Summit Program, Eileen Charles said she had done a little bit of Summit II but was planning on leaving Houston and needed to get a life and so stated surfing, beer league soccer and meeting people. She said she was not aware she had to complete Summit III in three years until the week before testifying. She said she thinks she will be able to complete the Summit Program but will have to ask for more time. What will actually happen, of course, will depend upon if and when the Charles family moves and how much time she takes for maternity leave - for which they were considering six months to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Eileen Charles still plans to get her masters degree, if possible, and currently plans to pursue work in the technical rather than management field in view of her present limitations. She said it is common to move frequently in the industry. At work, she feels she functions at the level of her co-workers but not up to her own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Sylvestre Charles and Eileen agree they are happily married. Interestingly, he tends to speak to her in French and she to him in English. Her brother, Michael, spoke highly of Mr. Charles and his great care and respect for his sister which is quite evident. They are happy about the coming child and would like to have three children if things work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Charles said he was attracted to Eileen because she was good looking, very honest and displayed a great strength of character. He said they have fun together, and before her advanced pregnancy, enjoyed surfing, (she was told to stop when 5 1/2 months pregnant), bicycling (often he would bicycle and she being the more active, would run) and going to the gym. He said his wife is very good at the start of the day but suffers from memory problems, particularly visual memory problems, headaches, and clumsiness. He said she can be quite slow at things. Sometimes he sees her at work with her head down and she is prone to make mistakes. He said she avoids noisy situations and is compromised by fatigue. He is concerned what will happen when the child arrives.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Eileen Charles testified that at present she does not do well with big groups and networking is a big effort. She finds herself slower at work and has trouble remembering numbers. She said she typed ridiculously slowly. Fatigue is a problem, she says if she gets 11 hours sleep, she is fine, but if not, she is irritable and her performance is compromised. Solving problems takes longer and she makes a few more mistakes. She is concerned about loss of sleep when the baby arrives.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She still suffers from headaches which come and go, for which she takes extra strength Tylenol, and motion sickness and dizziness which, like the headaches, can come and go. She finds it "brutal" trying to remember faces, particularly out of context and thinks she may have a problem with depth perception.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Eileen Charles suffered a significant traumatic brain injury, which is the most serious of the injuries she suffered when struck by Mr. Degroot's taxi on the 19th of June 1996. While in medical terms her injury is perhaps accurately described as a severe traumatic brain injury, the word "severe" is misleading in respect to damage assessment in the sense that Mrs. Charles is in most ways as functional as a normal person. Following her injury, she completed her university degree with above average marks, as good or better than her previous university grades, she obtained employment in a competitive industry and promotion in that industry and met and married Sylvestre Charles with whom she will now have had a child. She has enjoyed athletic activities since her injury, including surfing, beer league soccer, running and going to the gym. She has had many successes since her injury, but that is not to say she has not been permanently affected by it. As commented upon in the medical opinions and in the evidence of friends and relatives, including her husband who is now closest to her on a daily basis, her permanent injury is subtle, something that would not be noticed by a person who met her casually, and yet it restricts or prevents her functioning at the higher level she was once capable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her thought process and judgement is as accurate as it once was, her processing speed is much slower. Whereas she was once able to handle many activities with ease, multi-tasking is now much more challenging. Where she was once a leader who made any group she was in function better, she now avoids the company of many people and is much less likely to succeed in a leadership role. She suffers from cognitive fatigue; she can start a day well, but is prone to use up all her energy at work, such that her social activities are not what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Plaintiff's counsel has argued for general damages in the range of $175,000 - $200,000, the defence position is that $75,000 would be an appropriate award. In the cases of West v. Cotton, </w:t>
      </w:r>
      <w:hyperlink r:id="rId21" w:history="1">
        <w:r>
          <w:rPr>
            <w:rFonts w:ascii="arial" w:eastAsia="arial" w:hAnsi="arial" w:cs="arial"/>
            <w:i/>
            <w:color w:val="0077CC"/>
            <w:sz w:val="20"/>
            <w:u w:val="single"/>
            <w:shd w:val="clear" w:color="auto" w:fill="FFFFFF"/>
            <w:lang w:val="en-US" w:eastAsia="en-US" w:bidi="ar-SA"/>
          </w:rPr>
          <w:t>[1993] B.C.J. No. 394</w:t>
        </w:r>
      </w:hyperlink>
      <w:r>
        <w:rPr>
          <w:rFonts w:ascii="arial" w:eastAsia="arial" w:hAnsi="arial" w:cs="arial"/>
          <w:color w:val="000000"/>
          <w:sz w:val="20"/>
          <w:lang w:val="en-US" w:eastAsia="en-US" w:bidi="ar-SA"/>
        </w:rPr>
        <w:t xml:space="preserve">, (B.C.S.C.) and Reilly v. Lynn, </w:t>
      </w:r>
      <w:hyperlink r:id="rId22" w:history="1">
        <w:r>
          <w:rPr>
            <w:rFonts w:ascii="arial" w:eastAsia="arial" w:hAnsi="arial" w:cs="arial"/>
            <w:i/>
            <w:color w:val="0077CC"/>
            <w:sz w:val="20"/>
            <w:u w:val="single"/>
            <w:shd w:val="clear" w:color="auto" w:fill="FFFFFF"/>
            <w:lang w:val="en-US" w:eastAsia="en-US" w:bidi="ar-SA"/>
          </w:rPr>
          <w:t>[2000] B.C.J. No. 411</w:t>
        </w:r>
      </w:hyperlink>
      <w:r>
        <w:rPr>
          <w:rFonts w:ascii="arial" w:eastAsia="arial" w:hAnsi="arial" w:cs="arial"/>
          <w:color w:val="000000"/>
          <w:sz w:val="20"/>
          <w:lang w:val="en-US" w:eastAsia="en-US" w:bidi="ar-SA"/>
        </w:rPr>
        <w:t>, both cited by the plaintiff, $150,000 was awarded for general damages. In the West case (page 17), Mr. West no longer had the necessary skills to pursue his career in art in any meaningful way and his "deficits have left him unable to secure or maintain employment". In the Reilly case, the plaintiff's situation was described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nearly six years ago and the plaintiff's life has been fraught with debilitating cognitive, emotional and psychological difficulties which will continue to plague him in the future. It is a personal tragedy for an intelligent hardworking and ambitious young man who had a bright future. He has lost independence and any sense of accomplishment. Where before he sought out and mastered challenges, his life since the accident has been empty. Madam Justice Sinclair Prowse spoke of the factor of loss of independence in West v. Cotton,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Eileen Charles' situation cannot be fairly described in such discouraging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my opinion, a reasonable assessment of Mrs. Charles' claim for general damages for the pain, suffering and the loss of amenities of life she has suffered to date, and will suffer in the future is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claim for special damages in the sum of $158.73 is not in dispute and is allowed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Mrs. Charles has suffered a loss of income to the date of trial as a result of her injury. She graduated from university a year later in May 1998, rather than in May 1997 and she missed her work in the remainder of the summer of 1996 with the Professor of Atmospheric Science. The evidence does not establish what she would have made in the summer of 1996, but I think $1,800 would be a reasonable estimate. Having missed a year's employment in her field, she lost a year's income which it is reasonable to assess at the annual rate of pay which she earned in the subsequent year, namely, $3,100 U.S./per month or $37,200 U.S. for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Claims are made for future care costs. It is suggested that an award ought to be made for psychological counselling. Eileen Charles took psychological counselling with Dr. Shoemaker and is well aware of what it has to offer. She testified that the counselling had helped her at the time she took it, however, knowing what it had to offer she chose to terminate it in December 1998, and has not sought any counselling since, despite many significant life changes, such as competition in employment, moving, marriage and pregnancy. The evidence suggests that Eileen Charles does not need further psychological counselling to function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 claim is also made for the cost of housekeeping and a nanny. Mrs. Charles plans to take six months to a year off work after the child is born. If she puts the energy she has into work, into childcare and homemaking at that time, she has no need of these services beyond what young couples in the financial position of the Charles family normally obtain. Once she returns to work, I would expect Mrs. Charles and her husband would purchase the same amount of housekeeping and nanny services two professionally employed people in their position usually do. I find no basis for any award of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Eileen Charles is certainly entitled to a significant award for loss of earning capacity because her capacity to earn income has definitely been permanently impaired by her brain injury. She testified that her original plan before her injury was to work in the field for several years to pay off her debt and then take a masters degree. She is now competitively employed and on the evidence still capable of taking a masters degree if she chooses. She testified because of her injury she plans to pursue employment in the technical side of her field (as Mr. Charles currently does) rather than management, but her potential to earn income is not necessarily limited by such a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Eileen Charles' academic and athletic achievements in school demonstrated a marked potential for future success, however life has many times proven to be a great leveller and high school achievement does not guarantee future financial success. In her university courses, Mrs. Charles' academic performance was closer to average than in high school, and she chose to take a year off to go travelling. With respect to the Summit Program at work, she wisely decided to "get a life" instead of putting all her efforts into work. It would be wrong to equate success only with work and financial reward 3/4 many highly intelligent people do not choose to make work and financial success their major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Mrs. Charles' counsel has submitted that a reasonable award for loss of future earning capacity would be $1,032,932 to $3,225,000 based on various scenarios put forward in the economist's report. Defence counsel suggest a range of $125,000 to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law is clear that in assessing future losses substantial possibilities must be considered by estimating the chance of the event occurring. (Steenblok v. Funk </w:t>
      </w:r>
      <w:hyperlink r:id="rId2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Future events need not be proven on a balance of probabilities, instead, they are simply given weight according to their relative likelihood. (Athey v. Leonati,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It is also clear that an award for reduced earning capacity is not solely a matter of mathematical calculation but of assessment. Even a plaintiff that is apparently going to earn as much as she could have, but for the accident, is entitled to an award because for the rest of her life some opportunities will be closed to her and it is impossible to say that the impairment will not harm her earnings. (Palmer v. Goodall </w:t>
      </w:r>
      <w:hyperlink r:id="rId25"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find there was a real possibility, but by no means close to a certainty, that Eileen Charles could have advanced to a senior management level in her chosen field, a possibility that is now probably closed to her by the limitations imposed by her brain injury. I also find that there is a real possibility that Eileen Charles for many reasons, including a desire to do other things, travel or raise children would not have devoted her entire working life to career pursuits. Furthermore, I find there is a real possibility that Eileen Charles will pursue a masters degree as she originally planned and obtain advancement in her chosen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Having considered the various scenarios put forth in Mr. Carson's report, in light of the real possibilities Eileen Charles faces in the future, I find the sum of $500,000 to be appropriate compensation for her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Mrs. Charles' counsel submits that the award should be in US dollars to reflect the fact that in the international world of geophysics US dollars are the most common method of payment. I find this to be reasonable in the circumstances, and applying the conversion factor of 1.29, which, according to the evidence and submission of counsel is appropriate, arrive at the figure of $645,000 CDN for Mrs. Charles reduced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dismiss the "in trust" claim for Eileen Charles' mother. She and other relatives and friends did provide much needed care when Mrs. Charles was released from hospital. However, they did so in the manner relatives and friends usually would, not in the expectation of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Counsel may address any issues concerning the effect of taxes and, in particular, the application of section 52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and the claim for management fees if they are unable to resolve them, as well as any issues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CURTIS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 w:history="1">
        <w:r>
          <w:rPr>
            <w:rFonts w:ascii="arial" w:eastAsia="arial" w:hAnsi="arial" w:cs="arial"/>
            <w:b/>
            <w:bCs/>
            <w:i/>
            <w:color w:val="0077CC"/>
            <w:kern w:val="32"/>
            <w:sz w:val="28"/>
            <w:szCs w:val="32"/>
            <w:u w:val="single"/>
            <w:shd w:val="clear" w:color="auto" w:fill="FFFFFF"/>
            <w:lang w:val="en-US" w:eastAsia="en-US" w:bidi="ar-SA"/>
          </w:rPr>
          <w:t>Versfelt v. Insurance Corp. of British Columbia, [2002] B.C.J. No. 2812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Maczko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25 - 28, March 1, 4, 5, 11 - 15,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22 - 26 and November 13,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Nos. S033007, S051449,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S71711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2812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1720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118 A.C.W.S. (3d) 599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Dale Wesley Versfelt, plaintiff, and Insurance Corporation of British Columbia, defendant (New Westminster Registry No. S033007) And between Dale Versfelt, plaintiff, and Iris Elaine Weber, defendant (New Westminster Registry No. S051449) And between Dale Versfelt, plaintiff, and Brenda Wadella and Daniel Wadella, defendants (New Westminster Registry No. S71711)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 w:name="Keywords_1"/>
      <w:bookmarkEnd w:id="1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evidence and burden of proof.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 w:name="Case Summary_1"/>
            <w:bookmarkEnd w:id="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by Versfelt arising from three motor vehicle accidents. In the first accident, Versfelt claimed that he was forced off the road by an oncoming vehicle driven by an unidentified driver. He claimed that he sustained soft tissue injuries, a brain injury, tinnitus and depression. In the second accident, Versfelt cut off another driver. In the third accident, liability was admitted by the defendant. Versfelt suffered minor aggravations of previous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 w:name="Holdings of Court_1"/>
            <w:bookmarkEnd w:id="15"/>
            <w:r>
              <w:rPr>
                <w:rFonts w:ascii="arial" w:eastAsia="arial" w:hAnsi="arial" w:cs="arial"/>
                <w:color w:val="000000"/>
                <w:sz w:val="20"/>
                <w:lang w:val="en-US" w:eastAsia="en-US" w:bidi="ar-SA"/>
              </w:rPr>
              <w:t>HELD: The first two actions were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third action was allowed. Versfelt did not establish that an unidentified driver caused the first accident. His version of events was not credible. Further, his claimed injuries were not tied to the accident. He was liable for the second accident. He was awarded $2,000 in general damages arising from the third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 w:name="Counsel_1"/>
      <w:bookmarkEnd w:id="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5"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E.P. Good, for the plaintiff. S.B. Stewart and B.A. McIntosh,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1"/>
      <w:bookmarkEnd w:id="17"/>
      <w:r>
        <w:pict>
          <v:line id="_x0000_s1036" style="position:absolute;z-index:2517626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MACZKO J."/>
            <w:bookmarkEnd w:id="18"/>
            <w:r>
              <w:rPr>
                <w:rFonts w:ascii="arial" w:eastAsia="arial" w:hAnsi="arial" w:cs="arial"/>
                <w:b/>
                <w:color w:val="000000"/>
                <w:sz w:val="30"/>
                <w:lang w:val="en-US" w:eastAsia="en-US" w:bidi="ar-SA"/>
              </w:rPr>
              <w:t>MACZKO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involves three motor vehicle accidents: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20, 1995 was a single vehicle accident in which the plaintiff claims he was driven off the road by an oncoming vehicle driven by an unidentified driver.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11, 1998 was a two vehicle accident in which liability is admitted by the defendant, Ms. Weber.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24, 2001 involves a two vehicle collision in which the defendant, Ms. Wadella, denies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NOVEMBER 20, 1995 MVA - Versfelt v.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main issues in this case arise from the 1995 accident in which the plaintiff claims he suffered a brain injury which causes him depression and a host of other health problems. ICBC, as the nominal defendant, denies liability and denies that the plaintiff suffered a brain injury in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on November 20, 1995 he was working in Nanaimo and caught the 5:30 p.m. ferry from Nanaimo to Tsawwassen. He said he left the ferry in his automobile and drove along No. 10 Highway, intending to go to his sister's home. He said that two vehicles approached him in the westbound lane, one behind the other. The second vehicle pulled into his lane as if to pass and the plaintiff said that he pulled to the right, anticipating that there was room for the three vehicles to pass one another on the pavement. The second vehicle pulled back behind the first vehicle but then again pulled out to pass the first vehicle, occupying the plaintiff's lane. The plaintiff said he pulled to the right, hit the shoulder and went off the road, striking a pole. He said he was dazed and does not remember striking the pole. He said he had a lump on the top of his head and concluded that he had struck his head on the roof of the vehicle. He got out and saw that his right front wheel had been torn off (in fact photos show that the right front wheel had not been torn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five minutes or so, a passing vehicle stopped and a person asked the plaintiff if he was all right and agreed to call the police. The plaintiff said the police arrived after 30 minutes or so and asked him if he had been drinking, to which he responded, "no". They offered to drive him to the hospital but he declined and the police drove him home. Two days later he went to see his doctor and reported the accident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says that as a result of that accident he suffered soft tissue injuries to his neck and back, a brain injury, tinnitus (ringing in the ears), and depression. The plaintiff says that the tinnitus and the depression persist to this day and show no signs of abatement.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case turns entirely on the credibility of the plaintiff. The defendant, ICBC, attacks his credibility both as to the liability for the accident and the extent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have concluded that the plaintiff has not proven his case with respect to the November 20, 1995 accident. This was a single vehicle collision. There is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 where there is a single vehicle collision with no explanation. The plaintiff has offered an explanation which, if accepted, would transfer liability to an unidentified driver. However, I find I cannot accept the plaintiff's explanation, on account of the numerous inconsistencies in the plaintiff's evidence, starting with his version of the events surrounding the November 20, 1995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Two days after the accident, the plaintiff made a statement to an ICBC adjustor in which he said he drove off the ferry and was driving to his sister's when the accident happened. In 1997, when he was under oath at his discovery, he repeated that he had driven off the ferry and was heading towards his sister's. At the scene of the accident, the police asked the plaintiff if he had had anything to drink and he said no. The plaintiff also denied he had been drinking to the insurance adjustor and at his discovery. I find that his evidence is simply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Mr. and Mrs. Bitton met the plaintiff on the ferry. Mr. Bitton was a co-worker of the plaintiff. On the ferry, the plaintiff had told the Bittons that he had flown to Nanaimo from the Boundary Bay Airport and that he had left his vehicle there. They offered to drive him there, which he accepted. They took him to his vehicle but were concerned about his ability to drive because he had been drinking. Mr. Bitton noticed the smell of alcohol on the plaintiff and observed that he stumbled when he got out of the vehicle. The plaintiff admitted that he had had a couple of drinks but said he was okay to drive. Mrs. Bitton also said that she noticed the smell of alcohol. Mr. Bitton suggested twice that he drive the plaintiff home but the plaintiff said he was okay and he got into his vehicle and drove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evidence of Mr. Bitton came out late in these proceedings and only by accident. Defence counsel was interviewing co-workers of the plaintiff with regard to his health and work performance. During those interviews, Mr. Bitton found out that the accident on which the plaintiff was suing was the one which happened when he left the ferry. This stimulated a memory in Mr. Bitton and he checked his records and found that he had receipts for the ferry on that day and that reminded him of the events of the day, which he told to defence counsel. After the Bittons gave evidence, the plaintiff was called in rebuttal and he said that he does not recall seeing the Bittons or being driven to the airport to get his vehicle. The plaintiff said that he did not recall flying to Nanaimo and that his continuing recollection was that he had driven off the ferry.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simply not credible that the plaintiff would have remembered the details of what happened seconds before the accident but would not have remembered flying to Nanaimo and being driven by the Bittons to the airport, which was 20 minutes from the ferry. It is more probable that he did not want to disclose what really happened because it would come out that he had been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Mr. Holloway was also called in rebuttal by the plaintiff. He said he recalled meeting the plaintiff in Nanaimo before catching the ferry and he remembered that he and the plaintiff went to a pub and had dinner. He remembered that the plaintiff had only one beer. I do not suggest that Mr. Holloway is being purposefully untruthful, but it is improbable that he would remember such a detail some seven years after the incident, particularly when he did not remember for sure what he himself ate. He said he probably had a steak because that is what he usually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clearly had been drinking before the accident and his denials to the police, the insurance adjustor and discovery under oath are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Plaintiff's counsel attempted to explain away the denials by saying that the plaintiff had received a bump on his head and had forgotten that he had been drinking and meeting the Bittons on the ferry. This is improbable considering the detail he remembered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Unexplained gaps in the plaintiff's evidence also serve to weaken his credibility. The ferry left Nanaimo between 5:30 and 5:45 and the crossing takes two hours. Disembarkation probably took five to ten minutes and the drive to Boundary Bay is about 20 minutes. The accident occurred less than a mile from the airport. Even if I accepted the plaintiff's version of events, the total time from departure to the accident is about two and a half hours which would have put the accident between 8:00 and 8:15. The police were called at 9:17 and arrived at the scene four minutes later. There was approximately 45 minutes to an hour unaccounted for. Plaintiff's counsel suggests the possibility that the plaintiff may have first gone home but has forgotten, or that the ferry was later than normal. These are possibilities but there is no evidence to support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These inconsistencies and gaps in the plaintiff's evidence would be sufficient to convince me that the plaintiff has not proven his case on liability. However, other serious questions about the plaintiff's credibility arose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claims that he struck his head on the roof of the vehicle which resulted in a bump on his head. He claims that this blow to the head caused brain damage, and that he continues to suffer from tinnitus and depression. He went to see his family doctor, Dr. Davidson, two days after the accident and he reported tenderness to the top of his head. Dr. Davidson said that if the plaintiff had reported tenderness he would have looked at the spot and recorded anything he saw. There is nothing in his notes regarding a bump on the head, which indicates to me that he saw nothing. The plaintiff reported pains to his neck and back and Dr. Davidson put this down to soft tissue injury. There was no suggestion of brain injury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first record of any depression in the notes of any doctor is on June 28, 1997, when Dr. Davidson recorded that the plaintiff was "Depressed all day, suicidal idea [two months ago] walked out onto the Lions Gate Bridge." This was some 19 months after the accident. The plaintiff claims he was depressed and attributes that depression to the November 20, 1995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there is no proximity between the accident and the onset of depression. It is far more probable that if the plaintiff was becoming depressed at that point in his life, it was for reasons other than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the period between the accident and the onset of the depression, the plaintiff was suffering from bleeding from the rectum. The plaintiff was worried about a low sperm count and a possible pituitary tumour. The plaintiff had a colonoscopy on August 8, 1997, and he had a polyp removed. He suffered from constant bowel problems moving from diarrhoea to constipation. On February 28, 1998, he was still reporting to Dr. Davidson that he was bleeding from the rectum, and these problems persisted at least until August, 1999. It would not be surprising that the plaintiff might suffer anxiety and depression as a result of these health problems. Considering the coincidence of these events with the reported depression, it is much more likely that the depression was connected to his health problems rather than the motor vehicle accident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I am convinced that the plaintiff, even if depressed, was exaggerating that depression far beyond its real effects. In court, he was in the witness stand for some four days. His posture was slumped. He spoke so softly that he could hardly be heard, and his emotions stayed flat throughout. Having seen many profoundly depressed people in court, I cannot imagine how a person that appeared to be as profoundly depressed as the plaintiff could function in any context, let alone perform well at work which is what the plaintiff appears to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My findings with relation to the plaintiff's depression are confirmed by the medical reports. Dr. Nelken is the plaintiff's treating psychiatrist. He was having little luck in treating the plaintiff's depression and he therefore referred the plaintiff to Dr. Solomon at the University of British Columbia Mood Clinic for an opinion on diagnosis and treatment for depression. Dr. Solomon has a special interest in mood disorders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Solomon concluded that Dr. Nelken had misdiagnosed the plaintiff and that the plaintiff suffered from a personality disorder and not from a biological depression. He thought part of the plaintiff's personality disorder could involve "secondary gain." In this context "secondary gain" means that the plaintiff was hoping to get money. He gave four reasons for 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First, the plaintiff's physical presence was dramatic. His head was down and he looked profoundly depressed. However, he walked normally. Dr. Solomon said that, typically, severely depressed people suffer psychomotor retardation (i.e. walking and moving slowly). Dr. Solomon said someone with the plaintiff's posture on assessment would probably demonstrate features of psychomotor retardation, but in the plaintiff's case there were no signs of physical slowing.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Second, Dr. Solomon said that the plaintiff reported symptoms of depression so severe that he would have been unable to function at work and in his family life. He noted the plaintiff had continued to work, had gotten married and had recently started a new family. According to Dr. Solomon, this is inconsistent with the degree of depression the plaintiff was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Third, Dr. Solomon said the plaintiff had difficulty describing his depressive symptoms. When prompted with a list of symptoms, he endorsed all of them but on his own he could only volunteer four or five symptoms. Dr. Solomon said people who are really depressed tend to be very articulate and can usually describe their symptoms spontaneously. This was not the case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Fourth, Dr. Solomon said the plaintiff demonstrated a lack of emotionality during his interview. He was consistently flat regardless of the subject. Dr. Solomon referred to two specific examples. The plaintiff reported that he had had a long series of superficial relationships but showed no emotional reaction to the positive development of his marriage in August 1998. Second, the plaintiff told Dr. Solomon about the birth of his daughter, which occurred a few weeks before his interview with Dr. Solomon. The plaintiff showed no positive emotion regarding the birth of his only child. The plaintiff's daughter had developed some spontaneous seizures around this time, and according to Dr. Solomon, most parents would demonstrate some concern regarding this condition. The plaintiff was completely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Solomon said it was possible for people to be that depressed but if they were that depressed, they would be incapable of going about their daily business. The plaintiff's ability to carry out his daily life was inconsistent, in Dr. Solomon's opinion, with the degree of depression that the plaintiff tried to portray.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conclusion, Dr. Solomon thought the plaintiff had been misdiagnosed by Dr. Nelken and concluded that the plaintiff was not suffering from a biological depression. He thought that part of the plaintiff's personality disorder could involve secondary gain issues resulting from the motor vehicle accident. Dr. Solomon based his opinion in part on how the plaintiff was preoccupied in going through his assessment with Dr. Solomon as if it was a court ordered forensic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also based his opinion on the fact that the plaintiff's response to medication was inconsistent with biological depression. According to Dr. Solomon, any type of biological or chemical depression would respond to anti-depressant medications the plaintiff had taken, even in depression caused by brain injury, as seen in the case of a stroke. The plaintiff's lack of response to the anti-depressant medication indicates that he is suffering from a personality disorder and a variety of life's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profound affect of depression displayed by the plaintiff in court and before Dr. Solomon must be contrasted with his performance outside the courtroom. The plaintiff said he thought his work performance was poor and he merely pulled himself together so that no one in the office would notice because he was concerned about his job. He was off work for only one and a half days after the accident and he missed little work on account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was employed by the Construction Labour Relations Association ("CLRA"). His job was to service member construction companies in disputes with the Workers' Compensation Board ("WCB"). The disputes were primarily appeals with regard to industrial accidents and increases in insurance premiums. The CLRA employed the plaintiff and made his services available to member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Morrison, the Chief Executive Officer ("CEO") of CLRA, testified that the plaintiff was an excellent employee and he was keeping the members of CLRA happy. He had an excellent reputation in the industry and that reputation had not been damaged at any time. In 2001, the plaintiff was being recruited by a construction firm and the membership of the CLRA thought so highly of the plaintiff that they gave him a 19 percent raise so that he would stay with CLRA. The plaintiff received no raises for a four year period from 1996 to 2002, but Mr. Morrison attributed this to a downturn in the construction industry during that period, and not to the plaintiff's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Britton and Mr. McDevitt, both co-workers of the plaintiff during the relevant period, saw no change in the plaintiff. He was described as expert, competent and confident.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Roberta Ellis, Vice President of the WCB, testified that the plaintiff competently represented employers before the WCB. She described how she chaired a lively and fierce debate with the plaintiff before the Electrical Contractors' Association at the end of 1999. That debate was unstructured and the plaintiff presented himself as very knowledgeable, professional, and competent. She had no trouble hearing the plaintiff at the meeting or when he represented employers before the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Dale Bekar is a contractor who suffered a death of an employee on one of his jobs in 1999 or 2000. The consequences of that accident could have been disastrous to Mr. Bekar and his company. He retained the plaintiff and said that he had the utmost confidence in the plaintiff's handling of the situation. He would hire the plaintiff again. Mr. Bekar has known the plaintiff for 10 years and saw no change in him or his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evidence of these witnesses is in such stark contrast to the plaintiff's presentation in court and his presentation to Dr. Solomon that I can only conclude that he is vastly exaggerating his symptoms. This reflects on his credibility and reflects on his description of how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claim that he was trying to keep his depression secret because he did not want it to affect his job also strains credibility because it is inconsistent with how he conducted himself after his divorce from his first wife in the early 1990's. The plaintiff took this divorce very hard and became despondent as a result. It took him a few years to get over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1993, he called a staff meeting to announce that his wife had left him and that the break-up was hard on him. He asked the staff to bear with him while he was going through this difficult period. It seems incongruous that he would call a staff meeting in such a situation, but then attempt to hide his health problems resulting from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also find that the plaintiff was not being truthful about his driving activity after the accident. The plaintiff said that after the accident when the depression set in, he was having blackouts, greyouts, and migraines with the result that he began to limit his driving. He said that his wife did most of the driving when they were out together. However, a surveillance tape showed the plaintiff driving the vehicle during the day when his wife and child were in it. There is also other evidence to show that he was probably driving just as much after the accident as he was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 six year period from 1991 to 1997, the plaintiff received nine speeding tickets. In the four year period from September 1997 to July 2001, the plaintiff received six more speeding tickets. Prior to the motor vehicle accident of November 20, 1995, the plaintiff had been involved in six motor vehicle accidents. He had the accident in 1995 and then was involved in four more accidents after that. These accidents and his speeding tickets indicate that the plaintiff was driving much more after the 1995 accident then he tried to portray in his evidence. This also affects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alleges that he began to suffer migraine headaches after the 1995 motor vehicle accident and attributes them to that accident. At trial the plaintiff said that he did not have a history of migraines. Dr. Krywaniuk, a psychologist who assessed the plaintiff in 1998, recorded that the plaintiff had a history of migraine headaches and some level of aura prior to the 1995 accident. The plaintiff denies this but admits he was having headaches and dizzy spells but not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February 1995, prior to the November 1995 accident, the plaintiff was going to a physiotherapist, Vicki McGovern. Her notes record, "History of migraines." The plaintiff said at trial he may have used the word migraine to describe his history but that was before he knew what a migraine was. However, he told Dr. Solomon on July 11, 2001, that he had a history of migraines which were, "much more excruciating than the migraines he experienced after 1995." The plaintiff denies he used the word migraine to describe his pre-1995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Laura Gabriel, a massage therapist, treated the plaintiff from 1987 through October 1995 for neck and back problems. From September 1994 to October 1995, the records show at least five separate complaints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Jones, a neurologist, opined that migraines are hereditary and noted that the plaintiff's sister suffers from migraines. It is improbable that the plaintiff's migraines after November 1995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Finally, the plaintiff alleges that he suffered brain damage as a result of the bump to the top of his head. In my view, it is improbable that such a minor bump would result in brain damage. There was no loss of consciousness, and he went home right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Two days after the accident his doctor could find no physical evidence of a bump or bruise on the plaintiff's head. Three neurologists opined that there was no evidence of brain damage. The only diagnosis of brain damage comes from the plaintiff's psychiatrist, a general practitioner and a psychologist who base their opinions on what the plaintiff told them many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Michael Jones, a neurologist, testified that a long latency of months between the injury and the onset of symptoms is inconsistent with traumatic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a balance of probabilities, I conclude the plaintiff suffered no brain damage in the 1995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light of the inconsistencies in the plaintiff's evidence about the November 20, 1995 accident, and the questions of credibility raised by the medical evidence, I can only conclude that the plaintiff has not proven his case on liability against ICBC in regard to this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MAY 24, 2001 MVA - Versfelt v. Wadella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testified that he was travelling east on Steveston Highway near the Ironwood strip mall. The plaintiff said he was driving in the middle of three eastbound lanes. The right eastbound lane turned into the strip mall. The plaintiff said that he saw the defendant's vehicle stop at a stop sign exiting the strip mall. He said that when he was about one and a half vehicle lengths from the defendant's vehicle, it moved forward and turned into his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testified he could not move his vehicle into the left eastbound lane because there was another vehicle there. He testified that the front passenger side of his vehicle struck the front left bumper corner of the defendant's vehicle. He said the impact occurred when the defendant's vehicle was still at an angle attempting to make its right turn into his lane. After the impact, the plaintiff said his vehicle pushed the defendant's vehicle out of the way and ended up in front of her. Both vehicles stopped parallel to the curb in the right eastbound lane. The plaintiff's vehicle was stopped ahead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testified that she stopped at the stop sign and looked to her left. She saw three eastbound lanes. The right eastbound lane, which turned into the shopping mall, was clear. The defendant assumed that the right eastbound lane continued past the entrance of the shopping mall. However, the lane that turned into the shopping mall ended there so that when the defendant started her right-hand turn she was actually turning into what had been the middle eastbound lane, which was occupied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testified she completed her right-hand turn and was fully established in the right eastbound lane when she heard honking behind her. She immediately realized that she had cut the plaintiff off. She tried to accelerate to get out of the way. The plaintiff went past her in the left eastbound lane but then cut into her lane catching the front passenger side of his vehicle on her left front bumper. Both vehicles continued in the right-hand lane eastbound until they came to a stop, parallel to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If I were faced with nothing but these two stories, I would probably have found for the plaintiff. However, an independent witness observed the accident. Andrew Lund testified that he was sitting in a McDonald's drive-thru a short distance from the exit of the strip mall from which the defendant was departing. He said he had a clear view of the accident scene. He heard the screech of tires and saw the plaintiff's vehicle in the left eastbound lane. At the same time he saw the defendant's vehicle fully parallel in the right eastbound lane. He saw the plaintiff's vehicle pass the defendant's vehicle and cut into the right eastbound lane and saw the plaintiff's vehicle strike the defendant's vehicle on its left front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Based on this independent evidence, it is clear that the plaintiff was at fault for that accident and I dismiss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DECEMBER 11, 1998 MVA - Versfelt v. Weber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this accident, the defendant turned left in front of the plaintiff's vehicle and the front of Ms. Weber's vehicle collided with the driver's side of the plaintiff's vehicle.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a result of this accident, the plaintiff suffered minor aggravations of previous injuries and missed one week of work. He was treated for soft tissue injuries and there were no doctors' visits related to this accident after the second week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assess non-pecuniary damages at $2,000 and special damages (towing charge) at $78.11.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November 20, 1995 MVA - Versfelt v. ICBC - S033007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dismiss the plaintiff's claim for the November 20, 1995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May 24, 2001 MVA - Versfelt v. Wadella - S71711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dismiss the plaintiff's claim for the May 24, 2001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December 11, 1998 MVA - Versfelt v. Weber - S051449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For the December 11, 1998 accident, I award the plaintiff $2,000 in general damages for pain and suffering and $78.11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MACZKO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813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Arce (Guardian ad litem of) v. Simon Fraser Health Region, [2003] B.C.J. No. 1516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24 - 27, March 3 - 5,</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and March 11 - 14,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26,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S021268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1516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998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 C.C.L.T. (3d) 97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123 A.C.W.S. (3d) 1047</w:t>
      </w:r>
    </w:p>
    <w:p>
      <w:pPr>
        <w:spacing w:before="120" w:line="260" w:lineRule="atLeast"/>
        <w:rPr>
          <w:lang w:val="en-US" w:eastAsia="en-US" w:bidi="ar-SA"/>
        </w:rPr>
      </w:pPr>
      <w:r>
        <w:rPr>
          <w:rFonts w:ascii="arial" w:eastAsia="arial" w:hAnsi="arial" w:cs="arial"/>
          <w:color w:val="000000"/>
          <w:sz w:val="20"/>
          <w:lang w:val="en-US" w:eastAsia="en-US" w:bidi="ar-SA"/>
        </w:rPr>
        <w:t>Between Achilles Asanza Arce, By his guardian ad litem, Arnold Arce, plaintiff, and Simon Fraser Health Region, operating Public Hospitals under the names of Royal Columbian Hospital, Eagle Ridge Hospital and Burnaby General Hospital, and the said Royal Columbian Hospital, Eagle Ridge Hospital and Burnaby General Hospital, Dr. Andrew Lee, Dr. Raymond Muller, Dr. Paul Huang, Dr. John Doe, Dr. Richard Doe, Dr. Jane Doe, Nurse Jane Doe #1, Nurse Jane Doe #2, Nurse Jane Doe #3,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(265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38" style="position:absolute;z-index:2516613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9" w:name="Keywords_2"/>
      <w:bookmarkEnd w:id="19"/>
      <w:r>
        <w:rPr>
          <w:rFonts w:ascii="arial" w:eastAsia="arial" w:hAnsi="arial" w:cs="arial"/>
          <w:b/>
          <w:color w:val="000000"/>
          <w:sz w:val="20"/>
          <w:lang w:val="en-US" w:eastAsia="en-US" w:bidi="ar-SA"/>
        </w:rPr>
        <w:t>Damages — Evidence and proof — General damages — Pain and suffering, loss of amenities and other nonpecuniary damages — Calculation and method of assessment, life expectancy — Future care and treatment.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 w:name="Case Summary_2"/>
            <w:bookmarkEnd w:id="2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Assessment of damages in an action by Arce against the Simon Fraser Health Region and several doctors and nurses for damages for personal injuries. Arce had been injured in a motor vehicle accident. He was 79 years old. Arce was negligently treated by the defendants and became a ventilator-dependent quadriplegic. Arce resided at an extended care facility. His family argued that damages for future care costs should be assessed on the basis of his care at home rather than in the facility. They argued that Arce expressed a wish to return home. Arce required 24-hour care. He was also mentally incompetent. </w:t>
            </w:r>
            <w:r>
              <w:rPr>
                <w:lang w:val="en-US" w:eastAsia="en-US" w:bidi="ar-SA"/>
              </w:rPr>
              <w:cr/>
            </w:r>
          </w:p>
          <w:p>
            <w:pPr>
              <w:spacing w:before="120" w:line="260" w:lineRule="atLeast"/>
              <w:ind w:left="240"/>
              <w:jc w:val="both"/>
              <w:rPr>
                <w:lang w:val="en-US" w:eastAsia="en-US" w:bidi="ar-SA"/>
              </w:rPr>
            </w:pPr>
            <w:bookmarkStart w:id="21" w:name="Holdings of Court_2"/>
            <w:bookmarkEnd w:id="21"/>
            <w:r>
              <w:rPr>
                <w:rFonts w:ascii="arial" w:eastAsia="arial" w:hAnsi="arial" w:cs="arial"/>
                <w:color w:val="000000"/>
                <w:sz w:val="20"/>
                <w:lang w:val="en-US" w:eastAsia="en-US" w:bidi="ar-SA"/>
              </w:rPr>
              <w:t>HELD: The defendants were ordered to pay damages to Arce of $200,000, plus damages for the cost of his future care to be assessed on the basis of institutional care.</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Arce's life expectancy was three years. The medical experts did not recommend that Arce be cared for at home. The evidence did not show that Arce would function more independently if he was in a home setting. It was unlikely that the family would choose to move Arce to a home setting given the medical risks. Arce's statements to his family as to his wishes were admissible, but had limited probative value because of his incompetence. Arce was not capable of fully appreciating the nature of the decision. </w:t>
            </w:r>
            <w:r>
              <w:rPr>
                <w:lang w:val="en-US" w:eastAsia="en-US" w:bidi="ar-SA"/>
              </w:rPr>
              <w:cr/>
            </w:r>
          </w:p>
          <w:p>
            <w:pPr>
              <w:rPr>
                <w:lang w:val="en-US" w:eastAsia="en-US" w:bidi="ar-SA"/>
              </w:rPr>
            </w:pPr>
          </w:p>
        </w:tc>
      </w:tr>
    </w:tbl>
    <w:p>
      <w:pPr>
        <w:jc w:val="both"/>
        <w:rPr>
          <w:lang w:val="en-US" w:eastAsia="en-US" w:bidi="ar-SA"/>
        </w:rPr>
      </w:pPr>
      <w:bookmarkStart w:id="22" w:name="Counsel_2"/>
      <w:bookmarkEnd w:id="2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9" style="position:absolute;z-index:2517125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J.E. Murphy, Q.C. and D. Holubitsky, for the plaintiff. L.N. Bakan and D.J. Bell, for defendant, Simon Fraser Health Region. B.J. Norell and S.M. Forestell, for defendant, Dr. Andrew Lee.</w:t>
      </w:r>
      <w:r>
        <w:rPr>
          <w:lang w:val="en-US" w:eastAsia="en-US" w:bidi="ar-SA"/>
        </w:rPr>
        <w:cr/>
      </w:r>
    </w:p>
    <w:p>
      <w:pPr>
        <w:spacing w:after="240"/>
        <w:rPr>
          <w:lang w:val="en-US" w:eastAsia="en-US" w:bidi="ar-SA"/>
        </w:rPr>
      </w:pPr>
      <w:bookmarkStart w:id="23" w:name="Judgment_2"/>
      <w:bookmarkEnd w:id="23"/>
      <w:r>
        <w:pict>
          <v:line id="_x0000_s1040" style="position:absolute;z-index:25176371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 w:name="SIGURDSON J."/>
            <w:bookmarkEnd w:id="24"/>
            <w:r>
              <w:rPr>
                <w:rFonts w:ascii="arial" w:eastAsia="arial" w:hAnsi="arial" w:cs="arial"/>
                <w:b/>
                <w:color w:val="000000"/>
                <w:sz w:val="30"/>
                <w:lang w:val="en-US" w:eastAsia="en-US" w:bidi="ar-SA"/>
              </w:rPr>
              <w:t>SIGURDSON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August, 2001 the plaintiff, Achilles (Les) Arce, now 80 years of age, was in a motor vehicle accident and suffered a cervical fracture.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a result of the negligent treatment by the defendants, Mr. Arce, while a patient at Royal Columbian Hospital, became a ventilator-dependent quadriplegic. He presently resides at George Pearson, an extended care facility.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in the trial include: non pecuniary damages; whether damages for future care should be awarded on the basis of home care rather than institutional care; Mr. Arce's life expectancy; and, what future care costs should be awarded. The final issue concerns the type of medical support and equipment, and other anticipated expenses, including real estate acquisition, that are reasonably necessary if Mr. Arce is cared for in a home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family has not advanced an "in trust" claim, nor is there any claim for special damages. The parties have agreed to a reduction from the award of $50,000 for the risk that his condition might have materialized in any event.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1982, Mr. Arce and his wife Alice moved to Canada from the Philippines with their six children. In the Philippines Mr. Arce worked as a distributor for an oil company. In Canada he managed a townhouse complex for about ten years until he retired in the early 1990's.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August, 2001, prior to his accident, Mr. Arce was a retired 79 year old man. Although he had certain ailments, he did not complain. He was a reserved man with a good sense of humour.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Arce was relatively active and enjoyed time with his family. He enjoyed exercise. He walked on a treadmill and walked outside. He enjoyed watching sports on television and listening to music. Travel also gave him pleasure and shortly before the accident he had travelled back to the Philippines, as he had done frequently.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Arce and his wife lived in a townhouse in Port Moody with two of their sons. The Arces are a close family who regularly got together.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the motor vehicle accident Mr. Arce was suffering from coronary artery disease, prostate cancer, and ankylosing spondylitis. He also had hypertension and gout.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16, 2001, after he suffered a cervical fracture in the accident, Mr. Arce was taken to Burnaby Hospital. He was discharged and several days later presented with a C5 fracture at Royal Columbian Hospital. He was put in traction and suffered a neurological deficit rendering him quadriplegic.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defendants admit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causation for his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Until November, 2001, Mr. Arce remained in intensive care at Royal Columbian when he was transferred to the spinal cord unit at Vancouver General Hospital ("VGH"), where he stayed until March, 2002. He was then transferred to Pearson. He currently resides on Ward 2 at Pearson.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His spinal cord injury is permanent. His most significant medical condition is ASIA A C4 Tetraplegia. For practical purposes, he is required to be on a ventilator twenty-four hours per day because he is unable to breathe on his own. He has almost complete absence of movement in his arms and legs. He has respiratory insufficiency, loss of sensation in his arms and legs and spasticity. His bladder and bowel do not function normally due to his spinal cord injury. He has pressure sores.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To put my description of the evidence in context, I will mention some of the witnesses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called Dr. Hugh Anton, a specialist in physical medicine and rehabilitation, to testify about Mr. Arce's medical condition, the risks facing him and the nature of care that is required to be provided for him if he is transferred to a home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also called Janice Landy, a nurse and rehabilitation consultant, who testified about the equipment, supply needs, and the costing of attendant, including nursing, care for Mr. Arce in a home setting. This was referred to by the plaintiff's counsel as the Anton/Landy care plan.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the plaintiff called Dr. Keith Chambers, a certified family physician with a masters degree in Science in clinical epidemiology. He gave expert opinion evidence on the issue of life expectancy.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called several family members, including Mr. Arce's wife of 42 years, Alice.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Robert Dunfield, a man who is a ventilator-dependent quadriplegic, gave evidence of life on a ward. He lived in a different ward at Pearson between 1978 and 1985.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Rosemary Trethewey, a nurse, described the planning process to provide 24-hour nursing care in the home for a ventilator-dependent quadriplegic.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Richard Galan, a mechanical engineer testified about the design of wheelchair-accessible housing. Steven Marshall, a real estate agent, demonstrated the difference in cost between acquiring a house close to Vancouver General Hospital and the Arce's present home in Port Moody.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called Mr. Arce's treating internist, Dr. James Vincent Dunne. He is the physician Mr. Arce sees most frequently at Pearson. He testified about his medical condition, his care in Pearson and his opinion on Mr. Arce moving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called expert witnesses to give opinion evidence on life expectancy: Dr. Brian Conway, a specialist in internal medicine and infectious diseases, and Dr. Paul Kordish, a physician and insurance medicine expert.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Cecil Hershler, a physiatrist, commented on Mr. Arce's future care needs and possible risks if he was moved from Pearson to a home setting. Lila Quastal, an occupational therapist, physiotherapist and case manager and the owner/operator of Northwest Rehabilitation Services commented on the Anton/Landy care plan.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also called Colette Martin, the resident services coordinator or head nurse for Ward 2. She was qualified to give opinion evidence on nursing and medical complications for ventilator-dependent quadriplegics and on their care requirements from a nursing perspective.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also called Claire Normandin, a respiratory therapist at Pearson, to comment on the logistics of staffing Mr. Arce's required care in a home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Let me return to 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Arce is, what various witnesses called, medically fragile or medically very fragile. Dr. Anton said that Mr. Arce's "risk for medical complications from his spinal cord injury is greater than usual because of his medical fragility due to his age and other medical conditions", which include coronary artery disease.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Since he has been hospitalized he has developed some medical complications. These include pneumonia, gastro-intestinal bleeding, congestive heart failure with pulmonary oedema, and a pressure sore on his left buttock. Certain of these conditions, aspirational pneumonia, a heart attack and congestive heart failure, and a gastro-intestinal bleed, have required him to be taken to the acute care unit at VGH.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Arce was last taken to VGH for medical complications in April, 2002, the third trip from Pearson to an acute care facility. His condition, although medically fragile, has since then remained stable.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Arce is not competent. This proceeding is brought by his guardian ad litem. According to Dr. Anton, he "has significant cognitive impairment". The extent of this impairment, whether it improves when he was with his family, and whether he wishes to leave Pearson and go home were issues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basic care the Mr. Arce requires in the future is essentially not in dispute.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noted by Dr. Dunne and Dr. Anton, because Mr. Arce is at high risk for medical complications, he requires 24-hour care. He is ventilator-dependent and has a tracheostomy cuff, which is deflated during the day to allow him to speak. He requires care for turning, bathing, dressing, and transferring out his bed into his wheelchair. He requires toileting support and has a catheter. He is fed by a tube because he has difficulty swallowing and is at risk of aspirating.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requires suctioning because he has no cough. He must have his ventilator checked regularly and his cuff tracheostomy put down because he cannot speak with it. He is lifted by a lifting apparatus and put into a wheelchair. He usually stays up for five or six hours each day and this process is then reversed. He has dressings changed and a bowel routine every three days. At night, the cuff is inflated to decrease the risk of pneumonia.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was shown a videotape that shows some of the care that he receives at Pearson Centre. Mr. Arce is one of twenty-two residents on Ward 2. He is in one of the beds in an open ward, and does not have a private room.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Registered nurses and licensed practical nurses provide his care. He is seen on the ward almost each weekday by Dr. Dunne. He is also seen daily by a respiratory therapist. He is seen by an occupational therapist, a physiotherapist and a wound care nurse for his bed sores.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Other specialists are available at Pearson to see him: a podiatrist once per month; a urologist once every two weeks; a dentist every second day; an ophthalmologist once per month; a psychiatrist twice per week; a physiatrist once per week; and, a dermatologist once per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Mrs. Arce visits Mr. Arce at Pearson every day, except Thursdays. She stays with him until he is asleep. She has a small apartment near Pearson where she sleeps four nights each week. The children in the Arce family take turns visiting their father so that there is a family member there each day until he falls asleep.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Arce home in Port Moody cannot be adapted to accommodate Mr. Arce's care at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Except when he had to be moved to VGH for acute care, Mr. Arce has not been off Ward 2.</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MEDICAL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question of the proper award of damages and whether it should reflect care at home or at Pearson begins with an understanding of his medical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Arce is an elderly man. His most significant medical condition is that he is a ventilator-dependent quadriplegic. Because of this, he requires 24-hour care and continuous support with a ventilator. The experts agree, and I accept, that the most serious risk facing quadriplegics, and leading cause of death among quadriplegics, is pneumonia.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Arce is considered medically fragile because of his age and the number of medical conditions that he suffers from. He presently has coronary artery disease, associated with congestive heart failure and pulmonary oedema (fluid in the lungs). He has ischemic cardiomyopathy, which is difficulty pumping on the left side of the heart because of muscle damage. He had a serious episode of congestive heart failure in April of 2002. Ankylosing spondylitis, from which he suffers, is inflammatory arthritis of the spine and sacroiliac joints that causes stiffness and fusion of the spine and chest wall. Because of this condition, Mr. Arce cannot move his head from side to side. Mr. Arce has had ulcers and various gastro-intestinal bleeds for which he is on long-term treatment. He has prostate cancer, which appears to be asymptomatic.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is not competent. He has low-grade dementia and suffers from delirium.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is MSRA positive which is resistant to many antibiotics.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PARTIES' POSITIONS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plaintiff's counsel, Mr. Holubitsky and Mr. Murphy, say that this case is on all fours with the trilogy: Andrews v. Grand &amp; Toy Alberta Ltd., </w:t>
      </w:r>
      <w:hyperlink r:id="rId4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Thornton et al. v. Board of School Trustees of School District No. 57 (Prince George) et al., </w:t>
      </w:r>
      <w:hyperlink r:id="rId41"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and Arnold v. Teno, </w:t>
      </w:r>
      <w:hyperlink r:id="rId42"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They submit that the plaintiff should be cared for in a home setting, as they contend both he and his family wish, rather than at Pearson. Their position is that all they need show at trial is that home care is better having regard to all factors. The plaintiff's counsel submits that the medical evidence supports care in a home setting. Although the plaintiff's counsel says that Mr. Arce was not able to give evidence on his own behalf, there is, his counsel submits, admissible evidence of his, and the family's, desire for home care. The family's clearly preferred choice is one that they say will maximize his quality of life in his remaining years and restore some of his loss from the defendants'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say that the question is whether private home care or care at Pearson is in Mr. Arce's interests in terms of his medical needs and quality of life. They contend that it is not medically advisable to discharge Mr. Arce to home care, and that such a transfer is unlikely to happen, and the costs claimed for his future care will not be incurred in whole, or, at least, in part.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HOME CARE OR CARE AT PEARSON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trial, there was some debate over the care that should be provided if home care is appropriate. The main issue however was whether Mr. Arce should be, or will be, when funds are available, transferred to a home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Let me review the evidence on the medical risks and whether it was medically advisable that Mr. Arce be moved to a home in the community.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Dr. Anton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Anton specializes in physical medicine and rehabilitation. He has worked on the spinal cord service at GF Strong Rehab Centre.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examined Mr. Arce for one and a half hours about seven months before trial and found him fragile and stable with no specific problems that require acute management, but found that he was slightly confused. Dr. Anton wrote that he had significant cognitive impairment. He said that this was probably due to episodic delirium (acute deterioration of brain function due to a medical condition) arising from multiple medical problems superimposed on generalized deterioration of organic brain function. He said that Mr. Arce was not competent in the sense that he would be unable to make decisions about his own care or his financial matters.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Anton noted that Mr. Arce would be in worse shape than the average ventilator-dependent quadriplegic who does not have ankylosing spondilitis. Given that he has congestive heart failure, he said Mr. Arce's situation is worse than the average ventilator-dependent quadriplegic.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Anton said that, in his opinion, Mr. Arce is medically fragile and at high risk for medical complications "whether he continues to reside in ... Pearson ... or is discharged to the care of his family". He said that his risk for medical complications is greater than usual because of his medical fragility due to his age and other medical conditions. A discharge home would be a challenge but, with adequate planning and resources, he said it would be possible. Dr. Anton's view was that, even in the best case for his discharge, Mr. Arce's biggest barrier is his precarious medical status. He agreed that it was important that he have early detection for any complication given that he has fluctuating cognition.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Anton was of the opinion that the discharge planning process for Mr. Arce would be complex, but he said it was not impossible or impractical. He said that with adequate resources the services that are available at Pearson can be duplicated at home; he said he believed strongly that Mr. Arce could be managed safely in a home setting. He indicated that the question of the best living arrangement should be based not just on medical factors, but also on how to maximize Mr. Arce's quality of life. He thought that the patient should be within easy access of VGH because that is the hospital most familiar with Mr. Arce's medical history and the complexity of his care needs. He said that if Mr. Arce has a medical complication he had to be moved to VGH anyway.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written reports, Dr. Anton expressed the opinion that if Mr. Arce is discharged, he would need care by a registered nurse on a 24-hour basis, a need that will likely not change, but should be reassessed in six months. He described in his report that he would need a team of paid caregivers to provide home care support, medical care, respiratory care and skilled nursing support, particularly 24 hour registered nursing care. He also described the equipment and care that Mr. Arce will require.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Janice Landy, a nurse and rehabilitation consultant, reviewed Dr. Anton's report and, in devising a home care plan for Mr. Arce, said this about the care that he required: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 Arce is dependant upon assistive technology in the care of others for maintenance of sufficient respiratory capacity (ventilator-dependant). He is unable to participate in or direct his own care because of his multiple levels of impairment. He is reliant upon others for not only maintenance of respiratory capacity 24 hours/day but also for all aspects of his physical care (bathing, dressing, undressing, transferring, positioning, assisted coughing, suctioning), maintenance of enteral feeding program, administration of medication, maintenance of skin integrity (treatment of areas of interruption), maintenance of range of motion exercises, maintenance of bowel and bladder program, maintenance of home environment, transportation and accompaniment to all activities of community integration and recreation. He is reliant upon a wheelchair for mobilization at home and in the community. He requires total assistance in all aspects of daily living.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Landy suggested that Mr. Arce live in a home in Greater Vancouver with timely access to emergency medical treatment and that the residence be made wheelchair-accessible. She proposed registered nursing for his care given the level of invasive procedures, suctioning every 1-2 hours, dressing treatment, changing tracheostomy dressing and catheterization. Ms. Landy proposed, among other things, a primary and a back-up portable ventilator, a humidifier, bedside suction apparatus, wheelchair-mounted suction apparatus, portable suction unit for the van, a tracheostomy tube with cuff, a ceiling-mounted track system for bathing and personal care, a power wheelchair, a manual back-up wheelchair, a postural control system, electric bed, a kangaroo feeding pump, infusion bags and a portable feeding pump.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will not go through all the equipment and supplies Ms. Landy proposes, as the defendants agree that, if home care is appropriate in the circumstances, many of the items Ms. Landy recommends are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Landy also recommends the acquisition of a van for transportation, a driver to operate the adapted van, funding for community-based physiotherapy services, funding for occupational therapy services, funding for respiratory therapy specialist, a nutritional consultant, and a rehabilitation case manager to ensure coordination of therapies, monitor the implementation of therapeutic modalities and to ensure efficient service delivery.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Anton thought that Ms. Landy's plan was appropriate and safe.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Anton, however, said that he would feel discomfort discharging Mr. Arce given the risks, even though he is in a high risk situation anyhow. Although Dr. Anton thought that Mr. Arce was already in a high-risk situation, he said that there is an added risk to doing something new with a medically complicated patient. He agreed that when things go badly they can go badly very quickly.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Anton thought that the biggest risk that Mr. Arce faced was that he was living with ventilator-dependent quadriplegia. Although he said that it is never easy to discharge a ventilator-dependent person, he said that Mr. Arce's age, medical condition and inability to direct his own care makes his situation more complex than patients, who were discharged into Noble House or Creekview, who were younger and able to direct their own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Anton said that he would explain the risks as part of a meeting between the family and the attending physicians at Pearson, those most familiar with his care and those who would be involved in the discharge process. Dr. Anton said that the family doctor must ensure the family understands the risk of discharge. He said that you would have to tell from feedback from the family that they understood what they were told.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Arce family as a whole has not discussed the possibility of Mr. Arce being discharged with Dr. Anton.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Anton expressed the opinion that if Mr. Arce's family fully understands his medical situation and risk for complications and wishes to have him discharged to their care, they should be supported in that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summary, Dr. Anton's opinion was that the discharge of Mr. Arce was a high risk situation, one that was complex but not impossible or impractical if there were adequate resources to hire and train and provide ongoing monitoring.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concluded that Dr. Anton's evidence as a whole was that he felt that the family's informed decision to transfer Mr. Arce should be supported, from an ethical perspective, notwithstanding that from a medical perspective he felt discomfort about the discharge because it was a high risk situation.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Dr. Dunne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Dunne is the practitioner who is most familiar with Mr. Arce and his medical condition. He is an internist who sees Mr. Arce frequently, in fact each day during the week, and is the medical manager on Ward 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Dunne also described Mr. Arce as medically fragile. He described he had three major complications: aspirational pneumonia, a heart attack involving congestive heart failure with pulmonary oedema, which he said was a major problem and a major gastro-intestinal bleed.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Dunne said that Mr. Arce was not competent to direct his care or carry over instructions, and that he did not usually recall events day to day. He said that Mr. Arce is usually confused, does not know where he is, thinks he is somewhere else, or it is a different time of day. Mr. Arce, he said, believes that he is in the Philippines sixty percent of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Dunne indicated that transferring Mr. Arce would increase his risk of complications. The common complications he described were ventilation and infection.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two risks that he described were whether the group of care providers in the home setting was adequately trained and the period of time during the transfer when the individual is more at risk. In his written summary of his opinion it was put this way: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major risks of discharge are the first, in the short term, the likely decline in condition that Mr. Arce will experience upon transfer to a new environment and to new caregivers. ...</w:t>
      </w:r>
    </w:p>
    <w:p>
      <w:pPr>
        <w:spacing w:before="120" w:line="260" w:lineRule="atLeast"/>
        <w:ind w:left="720"/>
        <w:rPr>
          <w:lang w:val="en-US" w:eastAsia="en-US" w:bidi="ar-SA"/>
        </w:rPr>
      </w:pPr>
      <w:r>
        <w:rPr>
          <w:rFonts w:ascii="arial" w:eastAsia="arial" w:hAnsi="arial" w:cs="arial"/>
          <w:color w:val="000000"/>
          <w:sz w:val="20"/>
          <w:lang w:val="en-US" w:eastAsia="en-US" w:bidi="ar-SA"/>
        </w:rPr>
        <w:t>The second major risk in the short and long term is the change of care that Mr. Arce will receive outside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Dunne indicated that the Arce family has never discussed the possibility of Mr. Arce being discharged, but they had discussed how to deal with his attendance outside the facility at a Christmas party. In that case, it was Dr. Dunne's preference that the party be held in the facility at Pearson, and the party was held in the facility.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terms of a discharge, Dr. Dunne says that he has not initiated or advised it, but that he would provide support if the family wanted it. When asked if he would recommend the discharge of Mr. Arce, he said he would not "rush into it", because "he's at a high level, extended care level support and it would be a complex and difficult transfer". Although Dr. Dunne has transferred medically complex patients into the community, he has not transferred anyone as old and medically complex as Mr. Arce, as opposed to people at Creekview, who can organize their own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However, Dr. Dunne said that he would support the family's decision to go home if they were realistic about it, knew what they were getting themselves into, and started looking for support mechanisms. He said normally the limitations you find in discharge planning are financial. He agreed that there were competing interests in terms of discharge and that they include the quality of life as opposed to purely the length of life. He would have to ethically explain the risks, and he said that there are real risks, but said that he has not attempted to explain the real risks to Mr. Arce.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summary, Dr. Dunne's evidence was that Mr. Arce was at a high level of extended care level support and that if he were transferred that it would be a complex and difficult transfer and that the complications he faced are complications of ventilation and infection. In the summary of his evidence, he noted these risks to be "a moderate to high increased risk of pneumonia, congestive heart failure, aspiration and infection, and problems with his feeding tube and catheter". He also pointed out the risk that the team which takes over Mr. Arce's care is not adequately trained.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Dr. Dunne's opinion, although Mr. Arce has survived serious complications such as a heart attack, aspirational pneumonia and a gastro-intestinal bleed, if he received another significant event, such as pneumonia or a significant cardiac event, his risk of mortality would be about fifty per cent.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Neither Dr. Anton or Dr. Dunne specifically recommended the discharge of Mr. Arce to a home care setting. Both, from an ethical perspective I find, would support the family if that was their informed decision after understanding the risks in relocating Mr. Arce to a home setting and the medical people had inquired to see if the support mechanisms were there for Mr. Arce.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Dr. Hershler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Hershler is a physical medicine and rehabilitation doctor in private practice. As a physiatrist, he has some familiarity with Pearson.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was qualified to express opinions on Mr. Arce's condition where he is cared for and his life expectancy from a clinical perspective. However, he did not have Dr. Anton's or Dr. Dunne's expertise in the care of high-level ventilator-dependent quadriplegics and essentially had no experience caring for ventilator-dependent spinal cord patients in the community.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His opinion was that a continual passage of people at Pearson - nurses, physiotherapists, occupational therapists, respiratory physiotherapists, and family members - created the situation that was best for Mr. Arce. He said that the plaintiff was at a very high risk of getting into trouble from pneumonia or respiratory difficulties, skin breakdown, and infections. He thought that he was best cared for in a setting where, in his view, there was a better chance of people detecting early potentially life-threatening complications. He thought Mr. Arce was an ideal candidate for the extended care facility at Pearson and did not concede that a registered nurse sitting next to Mr. Arce in a home setting was a better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Hershler agreed with Dr. Anton's report where it described Mr. Arce's condition, the risks that he faces and that the biggest concern with respect to his discharge was his precarious health. Dr. Hershler described Mr. Arce as medically fragile, by which he meant that he suffered from multiple medical problems that are very serious and potentially fatal.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Hershler thought that there was no way to replicate in a home setting the care that Mr. Arce receives at Pearson. He thought that the quality of his life was enhanced by preventing complications. He felt that there was a much higher chance of medical complications if he went home than if he remained in Pearson. This risk he thought was also increased if he was discharged home where he felt that it was unlikely that there would be the same response to possible complications.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cross-examination, Dr. Hershler said that although the decision to go home is up to the patient, he would express his reservations. Dr. Hershler was asked to assume that it was Dr. Dunne's evidence that if the family understood the risks and wished to bring Mr. Arce home, that he would support that. He indicated that notwithstanding what may be Dr. Dunne's opinion, moving a patient with multiple medical problems out of the environment at Pearson will increase his risks of deteriorating and could lead to premature death. He conceded on cross-examination that hypothetically you could provided equivalent care if you could replicate the same ward and the same care in Mr. Arce's home. However, he maintained that you just can not take a hospital and put it in a home.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Colette Martin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Colette Martin, the resident services coordinator for Ward 2, effectively the head nurse, was tendered as a clinical nurse and registered psychiatric nurse. She gave evidence on the care of ventilator-dependent quadriplegics from that perspective.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Martin hires the staff for Ward 2 and finds recruitment of qualified nursing staff difficult; she recommends one out of four or five that are interviewed for hire. On Ward 2 they have two registered nurses and six licensed practical nurses on day and afternoon shift, and one registered nurse and two licensed practical nurses for the nightshift. There is also a float nurse and if additional nursing is needed at night it is available from other wards.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Licensed practical nurses are a recent upgrade from care aides at Ward 2. The training for this staff transition is now complete. A doctor is at Pearson each day and is on call 24 hours per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Martin sees Mr. Arce every day, although her daily contact with him is only for a few minutes. She described his routine which I have mentioned earlier.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Arce, she said from a nursing perspective, was very fragile, confused, and disoriented as to time and place, but not as to person.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Martin hires the staff on Ward 2 not only for their clinical skills, but also for their critical thinking and problem solving abilities. In her opinion, at Pearson, they have a quick response team and the ability to problem-solve and deal with complex situations. The people on Ward 2 are able to turn to each other to discuss issues and solve problems. As one example of the level of experience on that ward, she described a condition called automanic disreflexia that nurses on Ward 2 are trained to deal with and have become familiar with. It is a condition that results from the fact that the area below the injury still receives sympathetic nervous system stimuli. She said that nurses she interviews for work are not familiar with this condition. She agreed that people are capable of being trained to recognize this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She described discharges from Pearson as very complex and busy. To her knowledge, no one as medically fragile and complex as Mr. Arce has been discharged to a home setting. For these reasons she thought that it was unwise for Mr. Arce to leave Pearson.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If she had the luxury, Ms. Martin would recommend registered nurses, but presently, in addition to registered nurses, they use licensed practical nurses instead of care aides. She agreed on cross-examination that if a care plan was put in place with the same level of care as at Pearson with occupational therapists, nutritional therapists, consulting with physicians, supplemented by 24-hour nursing care, that this would address her concerns. However, she questioned the availability of these professionals for home care at the level provided by Pearson.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Claire Normandin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Claire Normandin has been a respiratory therapist for twenty years. She has worked on Ward 2 for thirteen years, and sees Mr. Arce daily during her work week. She does an assessment of his ventilator and condition, making sure Mr. Arce's oxygen level is satisfactory and his secretions are well maintained. She described his respiratory condition as fragile. Presently, Mr. Arce requires suctioning every two hours. Previously, it was every three to four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If there were to be a possible discharge, she would be part of the team at Pearson that discussed and organized the discharge. That team is normally put together by a social worker. In her opinion, Mr. Arce would be better cared for at Pearson because they have trained staff and proper equipment. She said that the majority of the time he was confused. She said that he often talks about the Philippines as if he is there or on his way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cross-examination, she said that a major part of the problem quadriplegics face is equipment failure and that is covered in training people for care of such patients.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Lila Quastal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Lila Quastal is an occupational therapist. She is an assistant professor of rehabilitation and has concentrated on the psychosocial aspects of disability. She was not tendered to give nursing or medical opinions. Her opinions, to the extent that they touched on the issue of whether it was medically safe or advisable to discharge Mr. Arce for home care, were not admissible.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Quastal is the owner/operator of Northwest Rehabilitation Consulting Management Services. One aspect of her work involves determining rehabilitation needs, organizing treatment to meet those needs and hiring the required service people and related activities. She has not managed the transfer of a ventilator-dependent quadriplegic into the community.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She met Mr. Arce. There were moments when he appeared lucid and moments when she could not make contact with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Quastal thought that staffing would be a problem because the proposed care plan was as complicated as care cases can get and staffing is always a problem. She thought that at home the best care was 24-hour registered nursing, but that registered nurses wanted more of a challenge than that and that there would be logistical problems in staffing.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noted in her file that Mr. Arce indicated that he wanted to be with his wife and family. She said that she would recommend against a transfer home, that there would be great stress on the family and that if there was a decision to move home that it be made with full awareness of the stress that the family is going to be under.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Ward 2 at Pearson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my assessment, the evidence indicates, not surprisingly, that Mr. Arce is getting excellent care from dedicated professionals at Pearson. The medical staff there is well trained and experienced in recognizing potential problems for their quadriplegic patients. While the Arce family does not question the quality of the care that Mr. Arce receives at Pearson, apart from some minor incidents described by Mrs. Arce, the plaintiff's counsel submits that not only can the care be replicated at home once caregivers are secured and fully trained, but that the quality of his life will be improved from Pearson. Dr. Anton shared that 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plaintiff's counsel said that the physical and operational conditions on Ward 2, with the need to care for many patients, creates a far less suitable setting than a home would be for Mr. Arce.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points out the general condition of the ward, the time it takes to answer patient's call bells, the suitability of the ward for children's visits, the noise and lack of privacy and the fact that family visits are difficult because the space at Pearson is small.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Various witnesses were called to testify about what life was like for Mr. Arce on Ward 2. I watched a videotape of Mr. Arce in Pearson.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Arce's bed on Ward 2 at Pearson is located adjacent to the nurses' station and near the dining room. There are windows in the room and there is access to the garden from the dining room, next to Mr. Arce's 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was evidence of the noise of call bells on Ward 2 that were unanswered and evidence of the noise inherent in the activities of nurses on that ward, particularly at the nursing station near Mr. Arce's bed. There was evidence of the smells in the ward, the lack of privacy because of inquiring visitors and what was described as the generally depressing institutional style of Pearson.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Mrs. Arce described a lack of privacy, loud televisions, foul language, and situations of people simply looking in. Mr. Arce's daughter, Arlene Tan, does not attend as frequently at Pearson as she otherwise would because of a concern about airborne viruses. She also did not think it is a proper setting for a child to visit due to noise and her concern about infection, her daughter's viral asthma and her own asthmatic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Dunfield, an artist, motivational speaker and a full-time ventilator-dependent quadriplegic lived on Ward 7 at Pearson from 1978 until 1985. He watched the videotape of Mr. Arce on Ward 2. In his observation, it was pretty much the same as the place where he had lived, a place he described as horrible, with no privacy, lights on, constant noise, music playing and staff talking. Mr. Dunfield moved to Creekview, a community housing setting, in 1991, where he lived for about seven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Several of the defendant's witnesses took issue with the family's perception of the length of time call bells took to be answered, the level of privacy available to patients, whether the noise on the videotape truly reflects the noise on Ward 2, and whether Ward 2 is comparable to Ward 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Martin thought there was a vast difference from Ward 7. Ward 2 was renovated about five years ago. She said that the residents were involved in the design of the new ward. Dr. Dunne did not think that Ward 2 looked like Ward 7, which was an open, L-shaped 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Although Arlene Tan, Mr. Arce's daughter, spoke of bells ringing unanswered for fifteen minutes, and that her mother had to deal with such a situation, Ms. Martin said she had difficulty accepting this. She said that if it had been more than two or three minutes, she would be alarmed. Ms. Martin described the call bell computer system, which indicated recently that the average time was two to three minutes, although she did not testify what the longest time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Normandin agreed that the fabric curtains do not screen out noise and she indicated that the nurses' station was a busy place. However, she thought the videotape of Mr. Arce on Ward 2 did not properly represent the actual noise at the ward. Ms. Martin said she saw no reason why children cannot attend at Pearson.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Arce does not have a great deal of privacy, however his son's evidence suggests that his father is claustrophobic which the defendants suggest may explain why he has not applied for a private room.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connection with the family's concerns about Ward 2, I expect that care in a home setting would be quieter for Mr. Arce and more private, although I find that the staff at Pearson respect the patient's privacy by treating curtains as walls. In terms of privacy, Mr. Arce has not sought a private room. The evidence generally suggests that the present Ward 2 is an improvement in terms of light, design and freshness than the ward where Mr. Dunfield lived before he moved to Creekview. However, it would not be as quiet and comfortable as a home setting. In terms of the call bells, it has not been shown that they are not answered promptly in terms of patient care, although I recognize that from the Arce's perception they appear to take longer to be answered than they should.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Although it was not suggested in the evidence that Mr. Arce's care was not being properly delivered, the plaintiff's counsel points out that in a home setting there might be less chance of infection than in a hospital. I do not find that there is an increased risk of infection at Pearson.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plaintiff's counsel argues that there are possible health benefits of a quieter place with more frequent contact with family members. The plaintiff's argument is that Mr. Arce's quality of life and his longevity improve if he is moved to a home care setting with easier and more frequent contact with his family. The defendants say that if Mr. Arce is discharged home, it will not be to the home that he knew, but to a new and different home because the Port Moody residence is not adaptable for wheelchair access.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At the present time, Mr. Arce's family, not without considerable inconvenience, visits him regularly. Visiting would obviously be easier in a home setting where Mrs. Arce and perhaps her sons would reside.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Emotional and Mental Status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was an issue at trial whether Mr. Arce will be emotionally better or less confused if he is discharged and is cared for in a home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was, as the defendants point out, no medical evidence that specifically indicates that Mr. Arce would be psychologically or emotionally better in a home setting although that was the belief of the family members. Dr. Kordish, one of the defendant's experts on the issue of life expectancy, testified that living in a home setting was one of several factors which would likely increase his life expectancy, which he thought was two years. Dr. Kordish mistakenly thought that Mr. Arce was living in a home setting at the time. Other than this clinical impression, there was no evidence that being in a home setting per se extended life expectancy. The medical evidence indicates that the most serious risks facing Mr. Arce are risks from pneumonia and ventilation problems. On the evidence, I find that optimal care is the most significant factor in ensuring that Mr. Arce's longevity is maximized.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plaintiff's counsel asserts that the plaintiff's mental and emotional status will be better at home. They refer to the evidence of Alice Arce that, although her husband has episodes of confusion, he is always able to recognize her. His daughter said that she could reorient him; his wife said that there were times when he was very clear. Arnold Arce said that his father was confused but that he could redirect him by speaking about family, basketball or work. The family is of the view that Mr. Arce will be happier, do better mentally, and be more content in a home setting with easier and more frequent contact with his family.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Dunne described Mr. Arce as having low grade dementia and delirium bordering on confusion. In Dr. Dunne's assessment his level of confusion does not depend on the time of day. There was no medical evidence that his dementia could be focussed or made less confused by the attention of his family. When Dr. Anton examined him he did not know he was in Pearson.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Dunne described Mr. Arce's demeanour as usually pretty cheerful. There was no medical evidence at trial that Mr. Arce was depressed in Pearson. Although he is happier with frequent family contact, there was no psychological evidence that he would be emotionally better if he were in a home as opposed to an institutional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Overall, I find that, based on the medical evidence, Mr. Arce is not competent, has low-grade dementia, is generally cheerful and that he shows features of delirium about sixty percent of the time when he is confused and disoriented. His cognitive status varies or fluctuates but he usually believes he is in a different place. His underlying dementia is a permanent condition.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Autonomy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authorities that I will discuss shortly indicate that in considering the question of home care, rather than institutional care, the issue that often arises is the patient's desire to be independent and live more autonomously. That was particularly important to Mr. Dunfield, as he expressed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What was the evidence in that respect concerning Mr. Arce? Given Dr. Dunne's evidence of Mr. Arce's mental state and his inability to direct his care, which evidence I accept, and having regard to Dr. Anton's philosophy of maximizing autonomy and independence, I do not think that the evidence shows that Mr. Arce will function more independently or more autonomously or that he will have the perception that he is more independent or autonomous in a residential setting than he is at Pearson.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Replication of Care in a Home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Anton and Dr. Dunne agreed, theoretically, that if the care and services provided at Pearson, with adequate resources, could be replicated at home, then the care in a home setting would be as good.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However, a number of witnesses, such as Dr. Hershler, Ms. Martin, and Ms. Normandin, questioned whether the care available at Pearson could be duplicated in a home setting. Dr. Hershler said that Mr. Arce has a very high risk of getting into trouble from pneumonia, respiratory difficulties, skin breakdown, and infection. He said that exposure to nurses, physiotherapists, occupational therapists, and respiratory physiotherapists, people with expertise in the problems he suffers from, means that he gets a good quality of care that you can not replicate in a home environment.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Dunne described it as a short term and long term risk whether an adequately trained team would be in place to consistently provide the support that Mr. Arce needs.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Martin said that a positive feature of Pearson was that there was a full nursing staff, many specialists on the ward and a wide variety of people to see him and possibly pick up problems. I have earlier described the specialists who are on the 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Although it is a logical conclusion that with sufficient resources the care available at Pearson can be duplicated in a home setting, that is true only to a point. I accept that at Pearson there is certain group expertise in caring for ventilator-dependent patients, who are as fragile as Mr. Arce, that can not easily and consistently be duplicated in a home setting over the short and long term.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Implementation of the Anton/Landy Plan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Although Ms. Landy spoke of the plan and its possible implementation, should I, as the defendants suggest, have serious reservations about the practicability of putting a completely effectively plan into place? Will properly trained personnel be available to provide his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team of registered and licensed practical nurses that sees him on a twenty-four hour a day, seven day a week basis are experienced in treating ventilator-dependent quadriplegics. Although not all of Mr. Arce's care needs are provided for by registered nurses at Pearson, Dr. Anton thought that in a home care setting a registered nurse was a most qualified professional who can provide that sort of ongoing monitoring supervision as well as some direct care. Dr. Anton thought that the biggest challenge would be in finding the physician for home care rather than the required nursing support.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defendants say that as of trial no care provider had committed to providing twenty-four hour nursing care, nor was there any compelling evidence that anyone is currently able to provide this complex care. The defendants say that there is not persuasive evidence that a viable home care plan of the required complexity can be put in place. The defendants suggest that there is no operational and discharge plan because it will not work in this situation. They point out that Ms. Landy has only spoken to representatives of two companies, but no care company has committed to providing the care, nor has Ms. Landy forwarded information on Mr. Arce to these care support companies. Ms. Quastal felt that registered nurses wanted more of a challenge and expected that this might pose staffing challenges. Ms. Martin echoed this concern.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Rose Trethewey of Evergreen Nursing Services provides private nursing care and has about 550 employees including 35 to 40 registered nurses. Her agency, which has the largest component of registered nurses, also provides respiratory therapists, occupational therapists and physiotherapists. According to Ms. Trethewey, providing sufficient cover for Mr. Arce's home care would require hiring or taking from their staff five registered nurses. If she staffed Mr. Arce's care needs, the nurses she would provide would be for three shifts of eight hours each given the intensity of the work. She had not assessed Mr. Arce and only had a brief discussion with Ms. Landy who asked her for hourly rates and whether her firm was GST exempt. Presently Evergreen does not provide nurses for ventilator-dependent patients in the community, but has provided relief work in Creekview and Noble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plaintiff's counsel says that the logistical aspects of organizing home care are not insurmountable. The plaintiff's counsel says that Ms. Trethewey did not say that the staffing for his home care could not be done. Dr. Anton saw the issue as adequate resources to hire, train and then provide ongoing monitoring and re-training as necessary of the people that would be involved in Mr. Arce's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conclude that, consistent with the concerns expressed by Dr. Dunne, locating the nurses to provide the necessary care in a home setting will pose a challenge. The evidence suggests that this difficulty may lead to the possible interruption of the required level of care and some increased risk to Mr. Arce.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Pearson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There was a suggestion in the evidence that the facilities that are presently available for Mr. Arce's care might not be there in the future. This was raised by Dr. Anton more as a possibility than as a specific prediction. Dr. Dunne testified that the services and the budget for Ward 2 are being maintained. Ms. Martin indicated that the budget for Ward 2 had recently been increased to allow for more registered nurses and an upgrading of care attendants.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Based on the evidence at trial it appears that for the foreseeable future and the remainder of Mr. Arce's life the care facilities at Pearson will be in place.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Arce Family's Desire to Move Mr. Arce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defendants assert that they have shown that even if there was an opportunity to move Mr. Arce to a home care setting, the family, because of a concern for Mr. Arce's wellbeing, would not do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This issue is whether the family, because of the risks, would move Mr. Arce into home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defendants suggest that it is unlikely, given the medical risks to Mr. Arce of a discharge, that the family will decide to transfer him into a home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Although the family testified that they want Mr. Arce home notwithstanding the risks, because his quality of life will improve, and some members said that their greatest fear is to tell Mr. Arce that he will not be able to go home, there is a body of evidence that suggests that, if the option were available, the family may not exercise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do not place much weight on the defendants' contention that the family has not yet discussed with the care team the possibility of Mr. Arce going home. While it might suggest that the family feels that the prospect is unrealistic given Mr. Arce's fragile condition, seriously contemplating a move to home care is only practicable once there is a damage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If a discharge were to be considered there would be a meeting between the family and the various care providers at Pearson. The purpose would be to plan the discharge, make sure necessary equipment and trained staff were be in place, and explain the risks to the family. That meeting would include people such as Dr. Dunne, Ms. Martin and Ms. Normandin. There would be a thorough consultation at which those people, at least, would make sure that the family understood the risks involved in a discharge.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There is some evidence of the family's reaction to possible risk to Mr. Arce of a move. Because of Dr. Dunne's concern about Mr. Arce's fragility, the family did not take Mr. Arce across the street to a Christmas party but held the party in a room at Pearson. Mr. Arnold Arce said it was true that the reason they decided not to have the party across the street was because Dr. Dunne had said that Mr. Arce was in a fragile state. According to Arnold Arce, although he was concerned about the roads and weather, the biggest concern was his father catching cold and getting pneumonia.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Not surprisingly, Arnold Arce testified on discovery and confirmed as true that he would not "risk his father's well being for the sake of getting him home". (He added at trial that he thought the bigger risk was if his father finds out he is not going home. Mr. Arnold Arce said he had spoken to his father and that his father is willing to take that risk. Arlene Tan said that she thought a greater risk to her father would be if he is not moved out of Pearson and reunited with his family because he lives for his family. I will discuss the admissibility of that evidence shortly.)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find that the family would consult with the care-givers, and consider the medical risks to their father before deciding whether it was in his best interests to be moved from Pearson to a home setting. After the risks of moving their medically fragile father and husband home were discussed, I find it is unlikely that the family would choose to move him to a home setting, particularly given the risks that Dr. Dunne explained.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Plaintiff's Desire Where To Live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At trial, the plaintiff's counsel argued that, not only is his apparent quality of life at home important, but his right to decide where he wished to live is also important.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Is there Admissible Evidence of Mr. Arce's Wishes - Hearsay?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Although there was a videotape of Mr. Arce on Ward 2, he did not testify by way of videotape deposition or otherwise.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Several witnesses stated that Mr. Arce had said that he wanted to go home. The defendants objected to that evidence as hearsay. Subject to argument on admissibility, I heard the evidence. I will now deal with the question of admissibility.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evidence, in general terms, was as follows. Mr. Arce's son testified that he spoke to his father about the risk of going home and that his father said that he was willing to take that risk. Mrs. Arce testified that her husband was a worrier and that he said that he was afraid that he might not be able to go home. Dr. Chambers testified that Mr. Arce said that he wanted to go home. This was reflected in a note which Dr. Chambers made when he was examining Mr. Arce, which read, "confused, wants me to get car and go home". Arlene Tan said that her father is confused about thirty percent of the time, that her father occasionally thinks he is in the Philippines, and that he wants to go home. She said that medical care is important to her father, but equally important to him is being reunited with his family at home. Ms. Quastel said that Mr. Arce told her he wants to be with his family, wife and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Arce has not told any of the professionals involved in his treatment at Pearson that he wants to go home. For example, Mr. Arce has not told Dr. Dunne, the doctor that he sees regularly at Pearson, that he wants to go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Is any of this evidence admissible? It is objected to as hearsay.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plaintiff's counsel tenders this evidence for essentially two different purposes. First, it is to show that it is Mr. Arce's wish that he leave Pearson and be cared for in his home or that he is unhappy or uncomfortable in Pearson. Second, in the case of the evidence given by his son, and to similar effect by Mr. Arce's wife, the purpose of the evidence is that he is prepared to accept the risks of discharge and go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plaintiff's counsel's main submission was that the evidence was admissible under the principled approach described in cases such as R. v. Kahn, </w:t>
      </w:r>
      <w:hyperlink r:id="rId43" w:history="1">
        <w:r>
          <w:rPr>
            <w:rFonts w:ascii="arial" w:eastAsia="arial" w:hAnsi="arial" w:cs="arial"/>
            <w:i/>
            <w:color w:val="0077CC"/>
            <w:sz w:val="20"/>
            <w:u w:val="single"/>
            <w:shd w:val="clear" w:color="auto" w:fill="FFFFFF"/>
            <w:lang w:val="en-US" w:eastAsia="en-US" w:bidi="ar-SA"/>
          </w:rPr>
          <w:t>[1990] 2 S.C.R. 531</w:t>
        </w:r>
      </w:hyperlink>
      <w:r>
        <w:rPr>
          <w:rFonts w:ascii="arial" w:eastAsia="arial" w:hAnsi="arial" w:cs="arial"/>
          <w:color w:val="000000"/>
          <w:sz w:val="20"/>
          <w:lang w:val="en-US" w:eastAsia="en-US" w:bidi="ar-SA"/>
        </w:rPr>
        <w:t xml:space="preserve"> and R. v. Smith, </w:t>
      </w:r>
      <w:hyperlink r:id="rId44" w:history="1">
        <w:r>
          <w:rPr>
            <w:rFonts w:ascii="arial" w:eastAsia="arial" w:hAnsi="arial" w:cs="arial"/>
            <w:i/>
            <w:color w:val="0077CC"/>
            <w:sz w:val="20"/>
            <w:u w:val="single"/>
            <w:shd w:val="clear" w:color="auto" w:fill="FFFFFF"/>
            <w:lang w:val="en-US" w:eastAsia="en-US" w:bidi="ar-SA"/>
          </w:rPr>
          <w:t>[1992] 2 S.C.R. 915</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plaintiff's secondary submission was that the evidence is admissible merely for the fact that it was said and shows Mr. Arce's state of mind.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hold that the evidence is admissible to show Mr. Arce's state of mind and for the possible inference that he does not want to remain in Pearson: Sopinka, Lederman &amp; Bryant, The Law of Evidence in Canada, 2d ed. (Toronto: Butterworths, 1999) at para 6.225. Mr. Arce's state of mind is a relevant issue on the question of appropriate future care. The fact that he may have said that he wants to leave Pearson is relevant in this case. However, given his mental status and the question of whether the risks of transfer have been explained to him or could be understood by him, the question of the probative value of the evidence and the weight to be attached to the evidence is a different question than admissibility. Given Mr. Arce's mental state, the evidence has some minor probative value as evidence of his wishes but in my view has no probative value as a considered decision to leave Pearson taking into account the risks of a transfer.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Much of the argument focussed on whether the evidence was admissible under the principled exception to the hearsay rule which I will discuss 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Supreme Court of Canada said in R. v. Smith, supra at [paragraph] 45: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hearsay evidence of statements made by persons who are not available to give evidence at trial ought generally to be admissible, where the circumstances under which the statements were made satisfy the criteria of necessity and reliability set out in Khan, and subject to the residual discretion of the trial judge to exclude the evidence when its probative value is slight and undue prejudice might result to the accused.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Holubitsky argues that the twin criteria of necessity and reliability have been met.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plaintiff's argument is that this hearsay evidence is admissible because there is no other way to bring Mr. Arce's evidence forward and the Court ought to admit it even though it comes from family members and others. The plaintiff says that it is sufficiently reliable because even if Mr. Arce is disoriented, he is lucid. They argue for the evidence to be admissible they must only pass the threshold test and show some guarantee of trustworthiness. Ultimate reliability they say is a different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this respect, I note the comments of Iacobucci J. in R. v. Starr, </w:t>
      </w:r>
      <w:hyperlink r:id="rId45" w:history="1">
        <w:r>
          <w:rPr>
            <w:rFonts w:ascii="arial" w:eastAsia="arial" w:hAnsi="arial" w:cs="arial"/>
            <w:i/>
            <w:color w:val="0077CC"/>
            <w:sz w:val="20"/>
            <w:u w:val="single"/>
            <w:shd w:val="clear" w:color="auto" w:fill="FFFFFF"/>
            <w:lang w:val="en-US" w:eastAsia="en-US" w:bidi="ar-SA"/>
          </w:rPr>
          <w:t>[2000] 2 S.C.R. 144</w:t>
        </w:r>
      </w:hyperlink>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2000 SCC 40</w:t>
        </w:r>
      </w:hyperlink>
      <w:r>
        <w:rPr>
          <w:rFonts w:ascii="arial" w:eastAsia="arial" w:hAnsi="arial" w:cs="arial"/>
          <w:color w:val="000000"/>
          <w:sz w:val="20"/>
          <w:lang w:val="en-US" w:eastAsia="en-US" w:bidi="ar-SA"/>
        </w:rPr>
        <w:t xml:space="preserve"> at [paragraph] 215: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Threshold reliability is concerned not with whether the statement is true or not; that is a question of ultimate reliability. Instead, it is concerned with whether or not the circumstances surrounding the statement itself provide circumstantial guarantees of trustworthiness. This could be because the declarant had no motive to lie (see Khan, supra; Smith, supra), or because there were safeguards in place such that a lie could be discovered (see Hawkins, </w:t>
      </w:r>
      <w:hyperlink r:id="rId46" w:history="1">
        <w:r>
          <w:rPr>
            <w:rFonts w:ascii="arial" w:eastAsia="arial" w:hAnsi="arial" w:cs="arial"/>
            <w:i/>
            <w:color w:val="0077CC"/>
            <w:sz w:val="20"/>
            <w:u w:val="single"/>
            <w:shd w:val="clear" w:color="auto" w:fill="FFFFFF"/>
            <w:lang w:val="en-US" w:eastAsia="en-US" w:bidi="ar-SA"/>
          </w:rPr>
          <w:t>[1996] 3 S.C.R. 1043</w:t>
        </w:r>
      </w:hyperlink>
      <w:r>
        <w:rPr>
          <w:rFonts w:ascii="arial" w:eastAsia="arial" w:hAnsi="arial" w:cs="arial"/>
          <w:color w:val="000000"/>
          <w:sz w:val="20"/>
          <w:lang w:val="en-US" w:eastAsia="en-US" w:bidi="ar-SA"/>
        </w:rPr>
        <w:t xml:space="preserve">; U. (F.J.), </w:t>
      </w:r>
      <w:hyperlink r:id="rId47" w:history="1">
        <w:r>
          <w:rPr>
            <w:rFonts w:ascii="arial" w:eastAsia="arial" w:hAnsi="arial" w:cs="arial"/>
            <w:i/>
            <w:color w:val="0077CC"/>
            <w:sz w:val="20"/>
            <w:u w:val="single"/>
            <w:shd w:val="clear" w:color="auto" w:fill="FFFFFF"/>
            <w:lang w:val="en-US" w:eastAsia="en-US" w:bidi="ar-SA"/>
          </w:rPr>
          <w:t>[1995] 3 S.C.R. 764</w:t>
        </w:r>
      </w:hyperlink>
      <w:r>
        <w:rPr>
          <w:rFonts w:ascii="arial" w:eastAsia="arial" w:hAnsi="arial" w:cs="arial"/>
          <w:color w:val="000000"/>
          <w:sz w:val="20"/>
          <w:lang w:val="en-US" w:eastAsia="en-US" w:bidi="ar-SA"/>
        </w:rPr>
        <w:t xml:space="preserve">; B.(K.G.), </w:t>
      </w:r>
      <w:hyperlink r:id="rId48" w:history="1">
        <w:r>
          <w:rPr>
            <w:rFonts w:ascii="arial" w:eastAsia="arial" w:hAnsi="arial" w:cs="arial"/>
            <w:i/>
            <w:color w:val="0077CC"/>
            <w:sz w:val="20"/>
            <w:u w:val="single"/>
            <w:shd w:val="clear" w:color="auto" w:fill="FFFFFF"/>
            <w:lang w:val="en-US" w:eastAsia="en-US" w:bidi="ar-SA"/>
          </w:rPr>
          <w:t>[1993] 1 S.C.R. 740</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defendants argue that necessity has not been shown. They say that there were methods of tendering Mr. Arce's evidence at trial, such as by video or by expert evidence adduced by a psychologist or psychiatrist. If Mr. Arce made the statements to family members, they argue that he presumably could have made the same statements by video deposition.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defendants say that if necessity is established, reliability is not. The defendants say that the important point is that Mr. Arce is not mentally competent or, as some evidence indicates, he has fluctuating cognitive status. He often thinks he is in the Philippines or elsewhere. The defendants argue that the evidence is not reliable because his comments are misinterpreted by his children and family members, which is borne out, they say, by the fact that none of the caregivers, Ms. Martin, Ms. Normandin, or Dr. Dunne, have ever heard him say he wanted to go home or be discharged. The defendants point to his comments to his son and to Ms. Normandin that he speaks of losing his car keys or luggage, something his son interprets as wanting to go home. The defendants say that this is not evidence of a considered decision by Mr. Arce that he wants to undertake the risks inherent in being discharged to live in a home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defendants also say that the evidence is of no probative value for the purposes for which it is sought to be admitted given that the risks of discharge, as I have found, have never been explained to Mr. Arce, nor could he appreciate those risks, in any event, given his mental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turn first to the question of necessity.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plaintiff's counsel argued that necessity is satisfied because Mr. Arce is not competent. He suffers from low grade dementia and has at best fluctuating cognition. The plaintiff's counsel asserts that necessity is met simply because the plaintiff can not testify.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Necessity has been interpreted to mean reasonably necessary: R. v. Khan, supra.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find that the first aspect of the test is met because Mr. Arce, because of his mental condition, is not able to testify.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issue then is whether the evidence satisfies the test of threshold reliability. The possible relevance of this evidence is about whether Mr. Arce's wishes to be cared for in home and the reasons why he might want to be cared for at home. There is no apparent reason for Mr. Arce to lie about his wishes. Accordingly, on the alternative approach on the principled basis, I find that the evidence is admissible.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evidence has some limited probative value in that it may show his wishes, but no probative value that he wishes to leave Pearson notwithstanding the risks. It would be unsafe to draw the inference that he had formed a considered decision to go home or that he wanted to go home regardless of the risks given Mr. Arce's mental status, the fact that the risks of transfer have not been explained to him, nor would he be able to understand the risks. As well, the evidence in my assessment has no probative value on the issue of whether he wants to leave Pearson to have a more independent or autonomous or less institutionalized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Accordingly, I find that Mr. Arce's out of court statements are admissible and have the limited probative value that I have mentioned.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LIFE EXPECTANCY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Arce's life expectancy was a significant issue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Each side called expert witnesses on this issue. Dr. Chambers, an epidemiologist, testified for the plaintiff. Dr. Kordish, a physician and insurance medicine specialist and Dr. Conway, a specialist in internal medicine and infectious diseases, testified for the defendants. Dr. Dunne, Dr. Hershler and Dr. Anton also expressed opinions relevant to this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general terms, Dr. Chambers was of the opinion that Mr. Arce's life expectancy at the time of trial was 4.3 years. Dr. Conway, without providing a specific opinion on life expectancy, thought that Mr. Arce would likely have pneumonia in the next year and the risk of mortality from that was greater than fifty percent. Dr. Kordish revised an earlier opinion and testified that Mr. Arce's life expectancy, in his view, was two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Chambers is currently the assistant director for the Centre for Clinical Epidemiology and Evaluation and he is editor of one of the working groups of a worldwide group that reviews clinical trial evidence. He no longer works as a general practitioner.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addition to reviewing the relevant medical records, Dr. Chambers conducted a medical examination of Mr. Arce. Even though relatively few of his patients were ventilator-dependent quadriplegics, nor does he work clinically with quadriplegics, he is well versed in the literature involving the life expectancy of quadriplegics and ventilator-dependent quadriplegics.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forming his opinion on Mr. Arce's life expectancy, Dr. Chambers, in large part, relied on the work of Dr. Michael Devivo, whose research work he described as being the "gold standard" on the survival past injury of quadriplegics and ventilator-dependent quadriplegics.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His opinion, based on the authoritative Devivo studies, was that an 80 year old who had survived one year past injury (as Mr. Arce has) has a life expectancy of 2.6 years or about thirty-two percent of the normal life expectancy for this age of 8.1 years. Should that person survive a second year, his life expectancy at that time, in Dr. Chambers' opinion, is 5.6 years. He described that in epidemiological terms there was a survivor's bias which is a tendency that people who survive catastrophic injuries and illnesses live longer than the average. In his opinion, at the time of trial, Mr. Arce's life expectancy was 4.3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terms of his overall medical condition, in Dr. Chambers' opinion, Mr. Arce's most significant survival issue is that he is a ventilator-dependent quadriplegic. He was aware that Mr. Arce had ankylosing spondylitis, prostate cancer, a weak heart, coronary artery disease, and was at high risk for skin breakdown. Nevertheless, he felt that many 80 year olds have heart conditions and that fact was included in the statistics in the literature that he relied on. Dr. Devivo's work, particularly his 1995 ventilator-dependent quadriplegic study, Dr. Chambers felt was the best basis for an opinion of life expectancy. He was critical of Dr. Kordish and Dr. Conway's methodology and felt that they used outdated studies that did not indicate that survival rates for ventilator dependent quadriplegics had increased.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Chambers disagreed with Dr. Kordish's calculation of a life expectancy of two years. He thought that such a conclusion was inconsistent with the literature, nor did he agree with Dr. Conway's opinion of mortality being well above fifty percent within the next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 major difference between Dr. Conway's evidence and Dr. Chambers' evidence was the focus on the clinical aspects of a particular patient's history informing an assessment of life expectancy as opposed to reliance on statistical evidence from the literature, particularly the Devivo studies. Mr. Holubitsky challenged whether Dr. Conway or Dr. Kordish had sufficient experience with ventilator-dependent people to form a considered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Conway is an internist and an expert on infectious diseases. He was qualified to opine upon life expectancy on a clinical basis. He did not examine Mr. Arce. He has limited experience treating quadriplegics, the main focus of his practice being hepatitis and HIV, but he treats critically ill patients on ventilators.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Conway was aware, in general terms, of the research data in the 1999 Devivo paper. He shares Dr. Chambers' understanding of the importance of the Devivo project, the largest study of quadriplegics and their survival, although it is not his direct field of research.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He agreed that Devivo's studies are the "gold standard" when one is looking at groups but the statistics, he says, cannot just be taken at face value, they have to be interpreted as guides, particularly as the numbers in the studies are relatively small when you get to the 80 year age group. This highlights the key difference between Dr. Chambers and Dr. Conway.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Dr. Conway's opinion, Mr. Arce's current medical condition can only be expected to deteriorate. The illness that will likely cause his death is an infection of his lungs or pneumonia, particularly given Mr. Arce cannot clear his own lungs as he is unable to sit up and clear his own secretions. That enhances the likelihood of developing pneumonia. Dr. Conway acknowledged that Mr. Arce had survived pneumonia, congestive heart failure, a heart attack, septicaemia and kidney failure.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He did not give a population based figure for Mr. Arce's life expectancy. As an infectious disease specialist, he thought that the likeliest illness was pneumonia, an infection of the lungs, and the mortality would be fifty percent or more. When Mr. Arce's tube is deflated, it allow secretions from the upper respiratory tract to go back into his lungs. Dr. Conway said that pressure sores could serve as a way that bacteria enters the bloodstream. Congestive heart failure he said puts Mr. Arce at risk for developing a more severe and fatal cardiac disease. He said that is possible over time either because of heart disease itself progressing or because of an infection that may occur.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other witness called by the defendants on the issue of life expectancy was Dr. Paul Kordish. He is a physician and insurance medicine specialist. He has a degree in biology, is a certified family physician, and holds a senior administrative position with a major life insurer. He has no training in epidemiology, mathematics or statistics. In that respect, his qualifications were quite different from Dr. Conway's or Dr. Chambers'.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He did not examine Mr. Arce. This may be the only ventilator-dependent spinal cord injury case that he has been involved in. He felt that Mr. Arce's heart condition, particularly his left ventricle, was a major problem and a distinct indicator of heightened mortality.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He was not familiar with the Devivo 1995 ventilator-dependent study at the time that he gave his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His approach was to take the health circumstances of Mr. Arce and adjust his age to a notional age. This he referred to as a rate up or a calculation based on relative risks. This involved a clinical judgment; in that respect he disagreed with Dr. Chambers that quadriplegia overshadowed any risk from heart disease. For example, an 80 year old male with a 21 year age rate up would have the life expectancy of a 101 year old man or 1.74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His initial view was that Mr. Arce's life expectancy was approximately 1.03 years, but because of the clinical picture of comprehensive care, aggressive medical attention, the environment in which an individual exists, one with constant and vigilant care provided and supported by family members and people in immediate contact and not in a ward in the hospital, coupled with every day technology, that his life expectancy was in the range of 2 years. He based that on what he saw as the clinical picture. Dr. Kordish, as I noted earlier, was in error over where Mr. Arce was living at the present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Kordish did not make reference to the most recent literature. He did not appear to be fully conversant with the recent literature by Devivo, particularly the ventilator-dependent article in 1995, at the time he provided his opinion. He agreed on cross-examination that the 1995 Devivo chapter that indicated the life expectancy of an 80 year old with a level of disability of a high quadriplegic injury of 3.1 years, subject to adjustments for the clinical picture, was in the ballpark. (Counsel for the defendants argued that the 1995 chapter overestimated his life expectancy because as being ventilator-dependent he was worse than the average in that group). Dr. Kordish indicated that all the studies have information to offer in terms of guidelines or trends, but he appeared to say that they are simply matters to consider with clinical factors in determining life expectancy.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Dunne testified that if Mr. Arce had another episode of pneumonia or another significant cardiac event, his mortality rate would be high, about fifty percent.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Hershler also testified on life expectancy from a clinical perspective. In his opinion, Mr. Arce's life expectancy, if he were moved outside the extended care facility into a home setting would be probably less than a year. He was of the opinion that if someone is moved to his home, not only will the risks increase, but in Dr. Hershler's opinion he will not have the level of care that he has at Pearson to respond to those risks.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Anton responded that with the right resources in place, Mr. Arce could be safely managed at home, possibly better. He did not accept Dr. Hershler's opinion of less than a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terms of life expectancy, my conclusion is as follows. The literature on the life expectancy of quadriplegics is extremely important and valuable, particularly when dealing with groups of people. However, in determining the life expectancy of an individual, the literature can simply be a guide, particularly where the studies show relatively few people in an age bracket. Dr. DeVivo suggested that studies may be of great use in tracking progress in the overall medical management of spinal cord patients, but that care should be taken when applying figures to individual cases. There is a possible danger in forming a prediction relying to heavily on statistics because of the small number of patients in the study in Mr. Arce's age group and the fact that some of the trends were based on modelled data, not raw data, something which could lead to unrealistic results.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Chambers opinion relied on the study which suggested a sharply rising curve for proportionate life expectancy for 80 year old patients between one and two years following injury. This may not be a reliable predictor for Mr. Arce's life expectancy given the study's small group at that age, the difference between the relative proportionate life expectancies between the elderly and other age groups and the use of modelled data.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have considered all of the opinions and place considerable weight on both Dr. Conway's and Dr. Chamber's opinions. I think that the defendants' argument has merit where they take issue with Dr. Chambers' relatively steadfast reliance on Mr. Devivo's studies, particularly his 1995 ventilator-dependent study. Consideration I think must be given to clinical factors such as Mr. Arce's particular health condition and the small numbers in the study at his age group, i.e. over 80. For example, in the 1995 Devivo study, ventilator dependence is a term that includes partial or total respiratory support on a daily basis and Mr. Arce, given that he is totally ventilator-dependent, is at the poorest end of any small group. Although many 80-year olds would likely have, at least in part, some of the conditions from which Mr. Arce suffers, as Dr. Chambers points out, nevertheless I think it is important to take into consideration that Mr. Arce suffers from a number of medical conditions to the degree that he is considered medically fragile. Not only is he at risk due to pneumonia, but also because of heart disease and the possible complications of ankylosing spondylitis; Dr. Chambers did not review the literature in that area. Although Dr. Chambers says that the risk of infection when there is ankylosing spondylitis is overwhelmed by being an 80 year old ventilator-dependent quadriplegic, in my view, that opinion does not fully take into consideration the clinical aspects of that condition or Mr. Arce's heart condition when determining his life expectancy.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Although I find that a change in Mr. Arce's residence and care may increase the risk to his life expectancy, I must base my conclusion on the basis of the optimal care, which on the evidence is at Pearson.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 conclude, as Mr. Justice Chamberlist did in Dennis v. Gairdner </w:t>
      </w:r>
      <w:hyperlink r:id="rId49" w:history="1">
        <w:r>
          <w:rPr>
            <w:rFonts w:ascii="arial" w:eastAsia="arial" w:hAnsi="arial" w:cs="arial"/>
            <w:i/>
            <w:color w:val="0077CC"/>
            <w:sz w:val="20"/>
            <w:u w:val="single"/>
            <w:shd w:val="clear" w:color="auto" w:fill="FFFFFF"/>
            <w:lang w:val="en-US" w:eastAsia="en-US" w:bidi="ar-SA"/>
          </w:rPr>
          <w:t>(2002), 5 B.C.L.R. (4th) 275</w:t>
        </w:r>
      </w:hyperlink>
      <w:r>
        <w:rPr>
          <w:rFonts w:ascii="arial" w:eastAsia="arial" w:hAnsi="arial" w:cs="arial"/>
          <w:color w:val="000000"/>
          <w:sz w:val="20"/>
          <w:lang w:val="en-US" w:eastAsia="en-US" w:bidi="ar-SA"/>
        </w:rPr>
        <w:t xml:space="preserve"> (S.C.), </w:t>
      </w:r>
      <w:hyperlink r:id="rId49" w:history="1">
        <w:r>
          <w:rPr>
            <w:rFonts w:ascii="arial" w:eastAsia="arial" w:hAnsi="arial" w:cs="arial"/>
            <w:i/>
            <w:color w:val="0077CC"/>
            <w:sz w:val="20"/>
            <w:u w:val="single"/>
            <w:shd w:val="clear" w:color="auto" w:fill="FFFFFF"/>
            <w:lang w:val="en-US" w:eastAsia="en-US" w:bidi="ar-SA"/>
          </w:rPr>
          <w:t>2002 BCSC 1289</w:t>
        </w:r>
      </w:hyperlink>
      <w:r>
        <w:rPr>
          <w:rFonts w:ascii="arial" w:eastAsia="arial" w:hAnsi="arial" w:cs="arial"/>
          <w:color w:val="000000"/>
          <w:sz w:val="20"/>
          <w:lang w:val="en-US" w:eastAsia="en-US" w:bidi="ar-SA"/>
        </w:rPr>
        <w:t>, that I must be reasonable and not pessimistic in determining the plaintiff's life expectancy. I think that Dr. Chambers' evidence is a guide, but that it ignores some of the clinical evidence that pertains in Mr. Arce's case as was noted particularly by Dr. Conway and as well by Dr. Dunne and Dr. Hershler. I have also considered Dr. Anton's opinion on this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have concluded, on the evidence at trial, taking into account his particular circumstances, that Mr. Arce's life expectancy is 3.3 years.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FUTURE CARE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considering the principles to be applied in determining the appropriate standard of future care that is to be provided, I refer firstly to the trilogy. Two of the cases concerned the issue of home care rather than institutional care for two quadriplegic men: Andrews v. Grand &amp; Toy Alberta Ltd., supra; and Thornton et al. v. Board of School Trustees of School District No. 57 (Prince George) et al., supra.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Andrews, the plaintiff was twenty-one at the time of his accident. His only functioning muscles of respiration were those of his diaphragm and shoulder. Mr. Justice Dickson, as he then was, said that Mr. Andrews was a man of above average intelligence with partial use of his right arm and hand. He was taking driving lessons and was residing in his own apartment with private attendant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Thornton, Mr. Justice Dickson described the plaintiff 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18 years of age, physically disabled, unemployable, and wholly dependent upon male orderly assistance for his day-to-day needs, yet with mental faculties wholly intact.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Mr. Thornton's history, after being in hospital until 1972 following his accident, is described by the British Columbia Court of Appeal decision, </w:t>
      </w:r>
      <w:hyperlink r:id="rId50" w:history="1">
        <w:r>
          <w:rPr>
            <w:rFonts w:ascii="arial" w:eastAsia="arial" w:hAnsi="arial" w:cs="arial"/>
            <w:i/>
            <w:color w:val="0077CC"/>
            <w:sz w:val="20"/>
            <w:u w:val="single"/>
            <w:shd w:val="clear" w:color="auto" w:fill="FFFFFF"/>
            <w:lang w:val="en-US" w:eastAsia="en-US" w:bidi="ar-SA"/>
          </w:rPr>
          <w:t>73 D.L.R. (3d) 35</w:t>
        </w:r>
      </w:hyperlink>
      <w:r>
        <w:rPr>
          <w:rFonts w:ascii="arial" w:eastAsia="arial" w:hAnsi="arial" w:cs="arial"/>
          <w:color w:val="000000"/>
          <w:sz w:val="20"/>
          <w:lang w:val="en-US" w:eastAsia="en-US" w:bidi="ar-SA"/>
        </w:rPr>
        <w:t>, 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From July of 1972, until the end of 1973, he was at home in Edmonton except for several short stays in hospital required to treat pulmonary or urinary infections. Since early 1974, he has been in Glenrose School Hospital. ... [I]n May, 1974, Gary's stepfather had moved to Calgary and his mother planned to join her husband there. ... In any event it seems clear that Gary cannot live at home because her husband's poor health and the necessity to provide Gary with constant care would place an intolerable burden on [his mother]. Thus, for the foreseeable future, it will be necessary for Gary to live in his own home or in an auxiliary hospital or other institutional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Andrews and in Thornton, the Supreme Court of Canada held that damages for future care should be assessed on the basis of home rather than institutional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Mr. Justice Dickson, for the Court in Andrews, said at 241: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theory a claim for the cost of future care is a pecuniary claim for the amount which may reasonably be expected to be expended in putting the injured party in the position he would have been in if he had not sustained the injury. Obviously, a plaintiff who has been gravely and permanently impaired can never be put in the position he would have been in if the tort had not been committed. To this extent, restitutio in integrum is not possible. Money is a barren substitute for health and personal happiness, but to the extent within reason that money can be used to sustain or improve the mental or physical health of the injured person it may properly form part of a claim.</w:t>
      </w:r>
    </w:p>
    <w:p>
      <w:pPr>
        <w:spacing w:before="120" w:line="260" w:lineRule="atLeast"/>
        <w:ind w:left="720"/>
        <w:rPr>
          <w:lang w:val="en-US" w:eastAsia="en-US" w:bidi="ar-SA"/>
        </w:rPr>
      </w:pPr>
      <w:r>
        <w:rPr>
          <w:rFonts w:ascii="arial" w:eastAsia="arial" w:hAnsi="arial" w:cs="arial"/>
          <w:color w:val="000000"/>
          <w:sz w:val="20"/>
          <w:lang w:val="en-US" w:eastAsia="en-US" w:bidi="ar-SA"/>
        </w:rPr>
        <w:t>Contrary to the view expressed in the Appellate Division of Alberta, there is no duty to mitigate, in the sense of being forced to accept less than real loss. There is a duty to be reasonable. There cannot be "complete" or "perfect" compensation. An award must be moderate and fair to both parties. Clearly, compensation must not be determined on the basis of sympathy, or compassion for the plight of the injured person. What is being sought is compensation, not retribution.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Justice Dickson added at 243-44 in Andrews: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An award must be fair to both parties....</w:t>
      </w:r>
    </w:p>
    <w:p>
      <w:pPr>
        <w:spacing w:before="120" w:line="260" w:lineRule="atLeast"/>
        <w:ind w:left="720"/>
        <w:rPr>
          <w:lang w:val="en-US" w:eastAsia="en-US" w:bidi="ar-SA"/>
        </w:rPr>
      </w:pPr>
      <w:r>
        <w:rPr>
          <w:rFonts w:ascii="arial" w:eastAsia="arial" w:hAnsi="arial" w:cs="arial"/>
          <w:color w:val="000000"/>
          <w:sz w:val="20"/>
          <w:lang w:val="en-US" w:eastAsia="en-US" w:bidi="ar-SA"/>
        </w:rPr>
        <w:t>. . .</w:t>
      </w:r>
    </w:p>
    <w:p>
      <w:pPr>
        <w:spacing w:before="120" w:line="260" w:lineRule="atLeast"/>
        <w:ind w:left="720"/>
        <w:rPr>
          <w:lang w:val="en-US" w:eastAsia="en-US" w:bidi="ar-SA"/>
        </w:rPr>
      </w:pPr>
      <w:r>
        <w:rPr>
          <w:rFonts w:ascii="arial" w:eastAsia="arial" w:hAnsi="arial" w:cs="arial"/>
          <w:color w:val="000000"/>
          <w:sz w:val="20"/>
          <w:lang w:val="en-US" w:eastAsia="en-US" w:bidi="ar-SA"/>
        </w:rPr>
        <w:t>But ... [t]he ability of the defendant to pay has never been regarded as a relevant consideration in the assessment of damages at common law. The focus should be on the injuries of the innocent party. Fairness to the other party is achieved by assuring that the claims against him are legitimate and justifiable.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In Milina v. Bartsch </w:t>
      </w:r>
      <w:hyperlink r:id="rId5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Madam Justice McLachlin, as she then was, said at [paragraph] 198-199: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test for determining the appropriate award under the heading of cost of future care, it may be inferred, is an objective one based on medical evidence.</w:t>
      </w:r>
    </w:p>
    <w:p>
      <w:pPr>
        <w:spacing w:before="120" w:line="260" w:lineRule="atLeast"/>
        <w:ind w:left="720"/>
        <w:rPr>
          <w:lang w:val="en-US" w:eastAsia="en-US" w:bidi="ar-SA"/>
        </w:rPr>
      </w:pPr>
      <w:r>
        <w:rPr>
          <w:rFonts w:ascii="arial" w:eastAsia="arial" w:hAnsi="arial" w:cs="arial"/>
          <w:color w:val="000000"/>
          <w:sz w:val="20"/>
          <w:lang w:val="en-US" w:eastAsia="en-US" w:bidi="ar-SA"/>
        </w:rPr>
        <w:t>These authorities establish (1) that there must be a medical justification for claims for cost of future care; and (2) that the claims must be reasonable. On the latter point, Dickson J. stated in Andrews at p. 586:</w:t>
      </w:r>
    </w:p>
    <w:p>
      <w:pPr>
        <w:spacing w:before="120" w:line="260" w:lineRule="atLeast"/>
        <w:ind w:left="1080"/>
        <w:rPr>
          <w:lang w:val="en-US" w:eastAsia="en-US" w:bidi="ar-SA"/>
        </w:rPr>
      </w:pPr>
      <w:r>
        <w:rPr>
          <w:rFonts w:ascii="arial" w:eastAsia="arial" w:hAnsi="arial" w:cs="arial"/>
          <w:color w:val="000000"/>
          <w:sz w:val="20"/>
          <w:lang w:val="en-US" w:eastAsia="en-US" w:bidi="ar-SA"/>
        </w:rPr>
        <w:t>An award must be moderate, and fair to both parties . . . But, in a case like the present, where both courts have favoured a home environment, "reasonable" means reasonableness in what is to be provided in that home environment.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Bystedt (Guardian ad litem of) v. Hay, </w:t>
      </w:r>
      <w:hyperlink r:id="rId52" w:history="1">
        <w:r>
          <w:rPr>
            <w:rFonts w:ascii="arial" w:eastAsia="arial" w:hAnsi="arial" w:cs="arial"/>
            <w:i/>
            <w:color w:val="0077CC"/>
            <w:sz w:val="20"/>
            <w:u w:val="single"/>
            <w:shd w:val="clear" w:color="auto" w:fill="FFFFFF"/>
            <w:lang w:val="en-US" w:eastAsia="en-US" w:bidi="ar-SA"/>
          </w:rPr>
          <w:t>[2001] B.C.J. No. 2769</w:t>
        </w:r>
      </w:hyperlink>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 recent decision of Madam Justice D.M. Smith, discussed the test for an award of damages for future care. In that case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new born child was infected with a herpes virus and developed devastating consequences such that she was a spastic quadriplegic with severe neurological, visual and auditory impairment. The issue of future care costs was whether 24 hour attendant care should be the basis of the award. The defendant submitted that she does not appear to require night care or care while she was at school and that a lower level of expertise for attendant and no case manager was appropriate. Smith J. accepted the proposed care plan submitted by Ms. Landy, who testified for the plaintiff. In determining the issue, she said at [paragraph] 162-163: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test for an award of future care is "whether a reasonably-minded person of ample means would be ready to incur the expense. When measuring reasonableness, the expense should not be a squandering of money": Brennan v. Singh, </w:t>
      </w:r>
      <w:hyperlink r:id="rId53"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 In formulating this test Harvey J. referred to the decision of Zapf v. Muckalt </w:t>
      </w:r>
      <w:hyperlink r:id="rId54" w:history="1">
        <w:r>
          <w:rPr>
            <w:rFonts w:ascii="arial" w:eastAsia="arial" w:hAnsi="arial" w:cs="arial"/>
            <w:i/>
            <w:color w:val="0077CC"/>
            <w:sz w:val="20"/>
            <w:u w:val="single"/>
            <w:shd w:val="clear" w:color="auto" w:fill="FFFFFF"/>
            <w:lang w:val="en-US" w:eastAsia="en-US" w:bidi="ar-SA"/>
          </w:rPr>
          <w:t>(1995), 26 B.C.L.R. (3d) 201</w:t>
        </w:r>
      </w:hyperlink>
      <w:r>
        <w:rPr>
          <w:rFonts w:ascii="arial" w:eastAsia="arial" w:hAnsi="arial" w:cs="arial"/>
          <w:color w:val="000000"/>
          <w:sz w:val="20"/>
          <w:lang w:val="en-US" w:eastAsia="en-US" w:bidi="ar-SA"/>
        </w:rPr>
        <w:t xml:space="preserve"> (C.A.), where Donald J.A. stated at para. 36:</w:t>
      </w:r>
    </w:p>
    <w:p>
      <w:pPr>
        <w:spacing w:before="120" w:line="260" w:lineRule="atLeast"/>
        <w:ind w:left="1080"/>
        <w:rPr>
          <w:lang w:val="en-US" w:eastAsia="en-US" w:bidi="ar-SA"/>
        </w:rPr>
      </w:pPr>
      <w:r>
        <w:rPr>
          <w:rFonts w:ascii="arial" w:eastAsia="arial" w:hAnsi="arial" w:cs="arial"/>
          <w:color w:val="000000"/>
          <w:sz w:val="20"/>
          <w:lang w:val="en-US" w:eastAsia="en-US" w:bidi="ar-SA"/>
        </w:rPr>
        <w:t>I think the proper test is reasonableness and that the psychological and emotional factors influencing the choice of where to live must be considered: Andrews v. Grand &amp; Toy Alberta Ltd... Medical necessity is too stringent a test.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Thus, the claim must be supported by evidence that establishes the proposed care is what a reasonable person of ample means would provide in order to meet what the plaintiff "reasonably needs to expend for the purpose of making good the loss": Janiak v. Ippolito </w:t>
      </w:r>
      <w:hyperlink r:id="rId55" w:history="1">
        <w:r>
          <w:rPr>
            <w:rFonts w:ascii="arial" w:eastAsia="arial" w:hAnsi="arial" w:cs="arial"/>
            <w:i/>
            <w:color w:val="0077CC"/>
            <w:sz w:val="20"/>
            <w:u w:val="single"/>
            <w:shd w:val="clear" w:color="auto" w:fill="FFFFFF"/>
            <w:lang w:val="en-US" w:eastAsia="en-US" w:bidi="ar-SA"/>
          </w:rPr>
          <w:t>(1985), 16 D.L.R. (4th) 1</w:t>
        </w:r>
      </w:hyperlink>
      <w:r>
        <w:rPr>
          <w:rFonts w:ascii="arial" w:eastAsia="arial" w:hAnsi="arial" w:cs="arial"/>
          <w:color w:val="000000"/>
          <w:sz w:val="20"/>
          <w:lang w:val="en-US" w:eastAsia="en-US" w:bidi="ar-SA"/>
        </w:rPr>
        <w:t xml:space="preserve"> (S.C.C.), at 17, quoting from the decision of Darbishire v. Warran, [1963] 1 W.L.R. 1067 at 1075. It must also be based on an objective test of what is moderate and fair to both parties: Milina v. Bartsch </w:t>
      </w:r>
      <w:hyperlink r:id="rId5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and, Andrews, supra. As stated in Andrews, at page 235, "What is being sought is compensation not retribution." Similarly, in Sigouin (Guardian ad litem of) v. Wong </w:t>
      </w:r>
      <w:hyperlink r:id="rId56" w:history="1">
        <w:r>
          <w:rPr>
            <w:rFonts w:ascii="arial" w:eastAsia="arial" w:hAnsi="arial" w:cs="arial"/>
            <w:i/>
            <w:color w:val="0077CC"/>
            <w:sz w:val="20"/>
            <w:u w:val="single"/>
            <w:shd w:val="clear" w:color="auto" w:fill="FFFFFF"/>
            <w:lang w:val="en-US" w:eastAsia="en-US" w:bidi="ar-SA"/>
          </w:rPr>
          <w:t>(1991), 10 C.C.L.T. (2d) 236</w:t>
        </w:r>
      </w:hyperlink>
      <w:r>
        <w:rPr>
          <w:rFonts w:ascii="arial" w:eastAsia="arial" w:hAnsi="arial" w:cs="arial"/>
          <w:color w:val="000000"/>
          <w:sz w:val="20"/>
          <w:lang w:val="en-US" w:eastAsia="en-US" w:bidi="ar-SA"/>
        </w:rPr>
        <w:t xml:space="preserve"> Melvin J. stated at p. 281:</w:t>
      </w:r>
    </w:p>
    <w:p>
      <w:pPr>
        <w:spacing w:before="120" w:line="260" w:lineRule="atLeast"/>
        <w:ind w:left="1080"/>
        <w:rPr>
          <w:lang w:val="en-US" w:eastAsia="en-US" w:bidi="ar-SA"/>
        </w:rPr>
      </w:pPr>
      <w:r>
        <w:rPr>
          <w:rFonts w:ascii="arial" w:eastAsia="arial" w:hAnsi="arial" w:cs="arial"/>
          <w:color w:val="000000"/>
          <w:sz w:val="20"/>
          <w:lang w:val="en-US" w:eastAsia="en-US" w:bidi="ar-SA"/>
        </w:rPr>
        <w:t>An award [for future care] must not take the form of retribution or punishment of the tortfeasor, but should reflect the needs of the plaintiff as demonstrated by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Professor Klar summarizes the law relating to the cost of future care in Remedies in Tort, looseleaf (Toronto: Carswell, 2000) at 27-119-20 (or 27 [Section] 58-59):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Damages are to be assessed by application of the principle of restitutio in integrum, so that the plaintiff is entitled to the sum which will place the plaintiff in the position he enjoyed prior to the infliction of the injury, insofar as money can accomplish this objective. An award for the cost of future care will not be reduced by a consideration of i) the social costs of such an award; ii) the defendant's ability to pay; iii) the standard of care deemed appropriate in statutory compensation schemes, for example Workers' Compensation Pension Plan; and iv) the possibility that the plaintiff will squander his award rather than using it to meet future care costs.</w:t>
      </w:r>
    </w:p>
    <w:p>
      <w:pPr>
        <w:spacing w:before="120" w:line="260" w:lineRule="atLeast"/>
        <w:ind w:left="720"/>
        <w:rPr>
          <w:lang w:val="en-US" w:eastAsia="en-US" w:bidi="ar-SA"/>
        </w:rPr>
      </w:pPr>
      <w:r>
        <w:rPr>
          <w:rFonts w:ascii="arial" w:eastAsia="arial" w:hAnsi="arial" w:cs="arial"/>
          <w:color w:val="000000"/>
          <w:sz w:val="20"/>
          <w:lang w:val="en-US" w:eastAsia="en-US" w:bidi="ar-SA"/>
        </w:rPr>
        <w:t>The application of the principles described above means that the plaintiff is entitled to damages which would provide him with the standard of care that is most conducive to his mental and physical health. For the severely injured plaintiff this means that damages will be assessed according to the cost of providing home care rather that institutional care, notwithstanding that the latter is much cheaper than the former, provided home care serves the best interests of the plaintiff. If upon a consideration of the plaintiff's age, mental ability and psychological make up, home care is not possible or does not provide optimal care, other forms of care will be considered and damages will be assessed accordingly.</w:t>
      </w:r>
    </w:p>
    <w:p>
      <w:pPr>
        <w:spacing w:before="120" w:line="260" w:lineRule="atLeast"/>
        <w:ind w:left="720"/>
        <w:rPr>
          <w:lang w:val="en-US" w:eastAsia="en-US" w:bidi="ar-SA"/>
        </w:rPr>
      </w:pPr>
      <w:r>
        <w:rPr>
          <w:rFonts w:ascii="arial" w:eastAsia="arial" w:hAnsi="arial" w:cs="arial"/>
          <w:color w:val="000000"/>
          <w:sz w:val="20"/>
          <w:lang w:val="en-US" w:eastAsia="en-US" w:bidi="ar-SA"/>
        </w:rPr>
        <w:t>[Footnotes omitted]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Mr. Justice Dickson in Andrews, supra, commented on an observation of the Court of Appeal and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phrase "private hospital" is both pejorative and misleading. It suggests an extravagant standard of care. The standard sought by the appellant is simply practical nursing in the home. The amount Andrews is seeking is, without question, very substantial, but essentially it means providing two orderlies and a housekeeper. The amount is large because the victim is young and because life is long. He has forty-five years ahead. That is a long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plaintiff's counsel argues that the case at bar is "on all fours" with a recent decision of Dennis v. Gairdner, supra. In that case, the issue of home care was whether damages should be awarded on the basis that the plaintiff acquire a home or whether they should be assessed on the basis that he would reside in a group home, a facility that housed five or six other clients, called Creekview.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Dennis, the plaintiff suffered a C4-5 spinal injury resulting in complete tetraplegia. He had lost all voluntary movement in his legs and most voluntary movement in his arms. His injuries included a neurogenic bladder and bowel, and required a catheter to drain his bladder. His mental condition was unaffected and Mr. Justice Chamberlist found that he could instruct staff as to his particular needs. Mr. Dennis' life expectancy was found to be 38 years from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Like here, the question of the cost of future care and life expectancy were the central issues at trial. At trial, Mr. Dennis testified that he was living at Creekview. Although Mr. Dennis and Dr. Anton both testified that the quality of care was generally satisfactory, Mr. Dennis expressed a wish to live on his own and said that Creekview did not sufficiently address his needs in relation to recreation, leisure, day to day errands or the necessary daily stretching he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 Justice Chamberlist was of the view that institutional care "would, ... in large measure, fail to compensate Mr. Dennis for his loss". He said at [paragraph] 102: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In the circumstances, I have determined that his desires to have his own dwelling in the greater Vancouver area ought to be acceded to as being reasonable as facilitating not only Mr. Dennis' physical needs but also his mental welfare.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reaching that decision, Mr. Justice Chamberlist said at [paragraph] 96: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Just as medical necessity is not the criteria for what future medical care is required, neither should the court look at minimal or lowest standard care that is available. The concept is rather one of adequate or reasonable compensation. In my view, what should be looked at in the case at bar is an award of compensation that will provide Mr. Dennis with a high standard of future care which will give him maximum life expectancy.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The plaintiffs also refer to Brennan v. Singh, </w:t>
      </w:r>
      <w:hyperlink r:id="rId53"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 There, the plaintiff wife was rendered a quadriplegic. Mr. Justice Harvey ordered that the appropriate level of care was that being provided by registered practical nurses with monitoring at appropriate times by registered nurses and a medical practitioner. In doing so, Mr. Justice Harvey said he took into consideration the preferences of Mrs. Brennan, expressed in her testimony at trial, for the type and level of care. He said at [paragraph] 91: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view, such level of care is reasonably necessary; is what a reasonably-minded person of ample means would be prepared to incur as an expense; and cannot in the remotest sense be considered a squandering of money; and for which there is a medical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Another case referred to me by the plaintiff's counsel was Suveges v. Martens, </w:t>
      </w:r>
      <w:hyperlink r:id="rId57" w:history="1">
        <w:r>
          <w:rPr>
            <w:rFonts w:ascii="arial" w:eastAsia="arial" w:hAnsi="arial" w:cs="arial"/>
            <w:i/>
            <w:color w:val="0077CC"/>
            <w:sz w:val="20"/>
            <w:u w:val="single"/>
            <w:shd w:val="clear" w:color="auto" w:fill="FFFFFF"/>
            <w:lang w:val="en-US" w:eastAsia="en-US" w:bidi="ar-SA"/>
          </w:rPr>
          <w:t>[2000] B.C.J. No. 1037</w:t>
        </w:r>
      </w:hyperlink>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2000 BCSC 810</w:t>
        </w:r>
      </w:hyperlink>
      <w:r>
        <w:rPr>
          <w:rFonts w:ascii="arial" w:eastAsia="arial" w:hAnsi="arial" w:cs="arial"/>
          <w:color w:val="000000"/>
          <w:sz w:val="20"/>
          <w:lang w:val="en-US" w:eastAsia="en-US" w:bidi="ar-SA"/>
        </w:rPr>
        <w:t>. There the plaintiff was older than Mr. Arce. Mrs. Suveges was an 86 year old woman who was rendered pentaplegic, unable to breath without the assistance of a ventilator, and requiring twenty-four hour attention.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At the time of the trial, she was living in a large apartment in Toronto, overlooking Lake Ontario. She had twenty-four hour nursing care, and she lived with her daughter and her 16 year old grandson. Mr. Justice Warren said at [paragraph] 21: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plaintiff lives a life that must be constantly monitored. She is largely bed-ridden but she can be placed in a wheelchair. She can be taken out to church, a significantly important part of her life, but only with difficulty and then by pre-arrangement. The plaintiff after the accident was initially capable of speaking, but sparingly and with difficulty. This ability has waned over time. At the time of the trial the plaintiff's daughter Gail Revesz testified that the plaintiff communicated by nods and facial expressions and her pastimes were prayer, watching television, being read to and receiving guests. She was particularly fond of watching wrestling on television. Other than the nursing staff, her constant companion is her daughter Gail Revesz. The evidence leads me to conclude that the plaintiff has no cognitive deficiencies and that she is well aware of her condition and surroundings.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that case, future care costs were in part agreed but were allowed at $21,000 per month for nursing care, $650 for twelve trips out of her apartment per month, counselling for the plaintiff at $150 for one hour per month, and other items. The defendants point out in that case that there is no suggestion that the discharge had not been medically recommended or that the plaintiff was "fragile".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Lusignan (Litigation guardian of) v. Concordia Hospital </w:t>
      </w:r>
      <w:hyperlink r:id="rId58" w:history="1">
        <w:r>
          <w:rPr>
            <w:rFonts w:ascii="arial" w:eastAsia="arial" w:hAnsi="arial" w:cs="arial"/>
            <w:i/>
            <w:color w:val="0077CC"/>
            <w:sz w:val="20"/>
            <w:u w:val="single"/>
            <w:shd w:val="clear" w:color="auto" w:fill="FFFFFF"/>
            <w:lang w:val="en-US" w:eastAsia="en-US" w:bidi="ar-SA"/>
          </w:rPr>
          <w:t>(1997), 117 Man. R. (2d) 241</w:t>
        </w:r>
      </w:hyperlink>
      <w:r>
        <w:rPr>
          <w:rFonts w:ascii="arial" w:eastAsia="arial" w:hAnsi="arial" w:cs="arial"/>
          <w:color w:val="000000"/>
          <w:sz w:val="20"/>
          <w:lang w:val="en-US" w:eastAsia="en-US" w:bidi="ar-SA"/>
        </w:rPr>
        <w:t xml:space="preserve"> (Q.B.) considered a claim for damages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fourteen years old at trial, was rendered mentally handicapped and suffered from controllable cerebral palsy. Her life expectancy was 65 years. Mr. Justice Jewers said that the trilogy did not lay down an immutable principle that home care is invariably the proper standard, but that it was for the circumstances of each case to dictate what the level of care ought to be. The judge indicated, and I agree, that Thornton suggests that each case must proceed on its own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court quoted the following passage from Andrews, supra, in support of the proposition that homecare depends on the facts of the particular case and is not appropriate in all cases: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standard to be applied to Andrews is not merely 'provision', but 'compensation', that is what is the proper compensation for a person who would have been able to care for himself and live in a home environment if he had not been injured? The answer must surely be home care. </w:t>
      </w:r>
      <w:r>
        <w:rPr>
          <w:rFonts w:ascii="arial" w:eastAsia="arial" w:hAnsi="arial" w:cs="arial"/>
          <w:i/>
          <w:color w:val="000000"/>
          <w:sz w:val="20"/>
          <w:lang w:val="en-US" w:eastAsia="en-US" w:bidi="ar-SA"/>
        </w:rPr>
        <w:t>If there were severe mental impairment or the case of an immobile quadriplegic, the results might well be different</w:t>
      </w:r>
      <w:r>
        <w:rPr>
          <w:rFonts w:ascii="arial" w:eastAsia="arial" w:hAnsi="arial" w:cs="arial"/>
          <w:color w:val="000000"/>
          <w:sz w:val="20"/>
          <w:lang w:val="en-US" w:eastAsia="en-US" w:bidi="ar-SA"/>
        </w:rPr>
        <w:t>; but where the victim is mobile and still in full control of his mental facilities, as Andrews is, it cannot be said that institutionalization in an auxiliary hospital represents proper compensation for his loss. Justice requires something better.</w:t>
      </w:r>
    </w:p>
    <w:p>
      <w:pPr>
        <w:spacing w:before="120" w:line="260" w:lineRule="atLeast"/>
        <w:ind w:left="720"/>
        <w:rPr>
          <w:lang w:val="en-US" w:eastAsia="en-US" w:bidi="ar-SA"/>
        </w:rPr>
      </w:pPr>
      <w:r>
        <w:rPr>
          <w:rFonts w:ascii="arial" w:eastAsia="arial" w:hAnsi="arial" w:cs="arial"/>
          <w:color w:val="000000"/>
          <w:sz w:val="20"/>
          <w:lang w:val="en-US" w:eastAsia="en-US" w:bidi="ar-SA"/>
        </w:rPr>
        <w:t>[Emphasis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judge said that the plaintiff "almost certainly doesn't know whether she would prefer to live in her own home or in a group home and even if she did know she would not be able to communicate her wishes". The judge, after summarizing the medical evidence, concluded on balance that the plaintiff's needs would best be met by a group home and costs for future care were assessed on that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defendants also referred to Kraft (Next friend of) v. Oshawa General Hospital, </w:t>
      </w:r>
      <w:hyperlink r:id="rId59" w:history="1">
        <w:r>
          <w:rPr>
            <w:rFonts w:ascii="arial" w:eastAsia="arial" w:hAnsi="arial" w:cs="arial"/>
            <w:i/>
            <w:color w:val="0077CC"/>
            <w:sz w:val="20"/>
            <w:u w:val="single"/>
            <w:shd w:val="clear" w:color="auto" w:fill="FFFFFF"/>
            <w:lang w:val="en-US" w:eastAsia="en-US" w:bidi="ar-SA"/>
          </w:rPr>
          <w:t>[1985] O.J. No. 1085</w:t>
        </w:r>
      </w:hyperlink>
      <w:r>
        <w:rPr>
          <w:rFonts w:ascii="arial" w:eastAsia="arial" w:hAnsi="arial" w:cs="arial"/>
          <w:color w:val="000000"/>
          <w:sz w:val="20"/>
          <w:lang w:val="en-US" w:eastAsia="en-US" w:bidi="ar-SA"/>
        </w:rPr>
        <w:t xml:space="preserve"> (H.C.J.), which concerned a claim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result of which the plaintiff suffered severe brain damage, where the court held that the plaintiff's needs would be best met in nursing home rather than with 24-hour attendants at her home.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plaintiff's counsel says that the provision of home care is required to ensure that Mr. Arce lives a life as long as possible and as close to that which he enjoyed prior to the injury. They argue that he and his family want him to be home, that everyone is aware that the decision is not without risk, but that he needs and wants his family. They also say that he wants his privacy and quiet comfort, that he will do better mentally and emotionally at home, and that optimal care in a home setting can be provided, which the plaintiff argues is his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defendants argue that, on the facts of this case, it is unreasonable to provide home care as there are alternate reasonable options that will preserve his medical and emotional status. Institutional care, they say, has been awarded where a person has a low level of awareness or is perilously fragile - they say a description of Mr. Arce. They argue that the cost of new housing and the costs associated with home care would be squandering money, in a case where no medical opinion unequivocally supports home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defendants argue that while a particular claim for future care need not be proved to be medically necessary, it must at least be medically justified and the cost associated with that care reasonable. The defendants say that any right-minded person of ample means would find that spending $500,000 for suitable accommodation plus the high costs associated with home care would be a squandering of money.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My conclusion is as follows.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The plaintiff's quadriplegia is the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Apart from the need for the award to be reasonable, it is no answer to the plaintiff's claim that his cost of future care will be very expensive if it is in a home setting. The question is whether there is a medical justification for the claims and whether the claims are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have concluded that in the particular circumstances of this case, and based on the authorities that I have referred to, that the transfer of Mr. Arce to home care is not medically justified or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First, I find that, on the evidence, home care is not medically justified. There was no recommendation by any medical witness that Mr. Arce should be discharged from Pearson to a home setting. Dr. Anton and Dr. Dunne, although they spoke of the circumstances in which they would support the family, I find, from a medical perspective, they did not recommend it. The reason for that is because Mr. Arce is elderly, not competent, medically fragile, receiving optimal care at Pearson, and at increased risk if he was transferred from Pearson to a home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find that the evidence supports Dr. Dunne's opinion that there will be increased risks to Mr. Arce in the transfer and in the short and long run in trying to replicate in a home setting the care that he receives at Pearson. While I recognize that in the event of an acute illness, such as pneumonia or a heart attack, Mr. Arce may have to be moved to an acute care hospital in any event, the addition of further moves is not in his medical best interests.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possible transfer and discharge would be difficult and complex. None of the doctors and medical staff who testified at trial have previously been involved in a discharge with a patient as medically fragile as Mr. Arce. On the evidence, I find that relocation involves a significant risk for Mr. Arce, given his medical fragility. It is not surprising that the medical witnesses have not previously seen a person of Mr. Arce's age and medical fragility moved to a home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plaintiff's counsel suggests that the doctors will support the family in the proposed discharge.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Both Dr. Anton and Dr. Dunne were cautious and reserved on the topic of support for the family, given Mr. Arce's medical fragility and the possible complications arising upon a move. Even Dr. Anton, who gave the most promising picture for a possible discharge, described Mr. Arce's medical condition as precarious and the biggest barrier to discharge. Dr. Dunne would warn the family of the risks, as would others such as Dr. Hershler, Ms. Normandin and Ms. Martin.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 find Dr. Dunne's and Dr. Anton's positions of support to be ethical conclusions rather than medical conclusions. They would support the family if the family made an informed choice after a full explanation and understanding of the risks, but they are not advising the family to move Mr. Arce.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plaintiff's counsel says that a person's desire to receive care in a home setting is a significant factor that justifies home care. As I understand Mr. Holubitsky's argument, even if there were some risk, that is something a plaintiff is entitled to take in trying to salvage the quality of his or her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Psychological and emotional factors must be taken into consideration. I have mentioned various decisions where the court has commented on the particular plaintiff's desire to receive care in a home setting because, in that plaintiff's view, it was important for a number of reasons including independence, quality of life, desire for privacy, mental welfare, mental health, the desire for closeness to family or simply because it was their wish. In that respect I refer to cases such as: Andrews, Thornton, Dennis, Brennan, and Suveges. In those cases the wishes of the plaintiff were advanced and home care was determined to be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 find that Mr. Arce's circumstances are quite different from the plaintiffs in the cases that I have just mentioned. Although the plaintiff argues, for example, that this case is on all fours with Andrews and identical, for practical purposes, with Dennis, I respectfully disagree. In neither case did the plaintiff have cognitive deficiencies like Mr. Arce. In Dennis, the plaintiff expressed a wish to live on his own. The trial judge found his mental condition was unaffected and he had a life expectancy of 38 years. In the other cases that I have referred to, the plaintiffs did not have cognitive deficiencies, let alone cognitive deficiencies to the degree that Mr. Arce suffers. Mr. Arce has low grade dementia, occasional delirium and has fluctuating cognitive levels such that not only is he unable to assist in the direction of his care but he is often unaware of his location. He is not competent. In such circumstances, it was not surprising that I did not hear evidence directly from Mr. Arce of his wishes. I have given the evidence of Mr. Arce's wishes the probative value that I have earlier described. If Mr. Arce were able to express his wishes as to his care, in any considered way, I expect that evidence would have been introduced at trial by way of deposition. Mr. Arce does not understand his medical condition and is not able to instruct his doctors as to his care. He does not know, nor has he been told, the risks to him of a transfer. He does not have sufficient insight to appreciate the risks of a transfer to a home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His family says that Mr. Arce has indicated that not moving to a home setting will be devastating. They argue that he is prepared to accept any of the medical risks of a discharge.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have ruled earlier in these reasons that this evidence, though admissible, has no probative value. Mr. Arce is not competent, suffers from low grade dementia and often does not know where he is. He does not understand his condition, what would be involved in a transfer to a home setting or what the risks might be.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plaintiff's counsel says I should, however, be mindful of the family's desire to have Mr. Arce home and close to the family that he loves. That was the evidence of the family members and Mr. Arce's guardian ad litem.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Arce's family obviously loves and cares deeply for him. Their views on his welfare and quality of life for Mr. Arce are relevant, but I have concluded, on a consideration of all of the evidence, that it is unlikely that when the risks of a transfer are fully explained to the family that they would want to transfer Mr. Arce to a home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evidence indicates that the decision to discharge any ventilator-dependent quadriplegic is a medically and logistically complex matter that requires wide consultation and planning. This is particularly so when the patient is of Mr. Arce's age. It is more so given the complexity of his medical condition. Before any transfer takes place and as part of the planning process for a transfer, the family would have a full and careful consultation with the medical staff at Pearson. This discussion between the Arce family and the caregivers has not yet taken place. Among other things the family would received the advice of people such as the attending physician, head nurse and respiratory therapist.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evidence indicates that in this situation, the caregivers would advise of the risks of a discharge. The evidence also indicates that such advice, given Mr. Arce's particular circumstances, would be that there were serious risks of potentially fatal complications if the move were to take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Although many ventilator-dependent quadriplegics have moved into home settings successfully, none of the caregivers or experts have been involved in a discharge to a home setting of a patient as elderly and medically fragile as Mr. Arce.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find, on the evidence, that the Arce family, given their past desire not to expose Mr. Arce to anything that would put him at risk would unlikely transfer him to a home setting, after they have discussed the risks of that transfer. I find that notwithstanding the fact that they think that in some respects his quality of life would be better in a home setting. His family says that being home is where he wants to be and where he will do better, be mentally clearer and have a better quality of life. If their view is that he will improve at home, I think that is unrealistic and that such would also be explained to them as part of the planning process. I have concluded that the family, when the risks are fully explained, would not move Mr. Arce to a home setting when such a transfer places him at increased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care that Mr. Arce receives at Pearson, I find, is excellent and delivered by a team of well-trained and experienced people. Although the evidence indicates that theoretically the care that is provided at Pearson can be replicated in a home setting, the organization and ongoing provision of that care is not a simple matter because of the complexity of Mr. Arce's condition and the 24-hour care that he will always require. The plaintiff's counsel says that the plan that they will put in place will involve 24-hour registered nursing care, that additional caregivers can make house calls and that Dr. Anton supported the position that the level of care will be better than he receives at Pearson.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find the evidence of Ms. Martin and Dr. Hershler persuasive that the team approach on Ward 2 with regular contact with a physician and numerous professionals and where emergency services and equipment are available is the optimal care for Mr. Arce and will be extremely difficult to replicate. Dr. Dunne described a risk of transfer as being whether there is a proper team in place that was adequately trained to provide the support that Mr. Arce needs in the new setting. The evidence concerning the actual implementation of the care plan showed two agencies who were prepared to accept Mr. Arce as a client, but discussions were at the preliminary level. Although these agencies have not committed and have largely only provided hourly rates, I conclude that securing and contracting registered nurses and the other professionals required for Mr. Arce's home care is a complex planning process, but one that is likely possible, but not without additional risk to Mr. Arce.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Putting such a care arrangement in place will be time consuming and complex. Because of possible staffing difficulties, training difficulties, and difficulty in duplicating the experience existing at Pearson, I find, on the evidence, that in both the long and short term that the care may not match the level of care that Mr. Arce receives at Pearson. Given Mr. Arce's medical fragility that will increase his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plaintiff's counsel says that the defendant is making too much of these risks. He points out that Mr. Arce, if there are medical complications, would have to be moved to an acute care facility such as VGH whether he is at Pearson or in home care, something which has happened a number of times and Mr. Arce has survived those moves. Nevertheless, it is not reasonable that Mr. Arce be exposed to more risks than are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 agree with plaintiff's counsel that the quality of life that Mr. Arce will have where he lives is an important factor to consider. Medical care and longevity of life are not all that is important. A home setting would be more private and quiet. I also take into consideration Mr. Arce's state of mind displayed by comments that he wants to go home and I have also consider Mr. Arce's mental status. I accept Dr. Dunne's evidence that Mr. Arce does not appear depressed in Pearson. I take into consideration that he regularly sees his family and that any move to a home setting will not be to a home that he knows. I think that the noise and activity of Ward 2 makes it less quiet and private than a home setting, but the impact on Mr. Arce, given his cognitive status, I think is significantly different than it would be on a person such as Mr. Dunfield.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 appreciate that this situation has been hard on the Arce family and that visiting him is difficult, but I am not persuaded that he will be psychologically or emotionally better in a different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Upon a consideration of all of the evidence, and for these reasons, I have concluded that damages for the cost of future care on the basis of the provision of home care, in these circumstances, is not medically justified or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defendants submitted that, in terms of his future care, Mr. Arce's quality of life could be enhanced by companion care (as recommended by Dr. Hershler) which could provide Mrs. Arce and the family with some respite and by renting a house or apartment near Pearson to make family visiting easier. I would allow these items under this head of damage. However, given the plaintiff's counsel's theory of damages he did not address the appropriate quantum in this respect. Each party may address this issue in writing on a schedule agreed to by counsel.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In Lindal v. Lindal, </w:t>
      </w:r>
      <w:hyperlink r:id="rId60"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the Supreme Court of Canada confirmed that non-pecuniary damages should be assessed on the functional approach in the assessment of damages, and that damages are awarded to provide an injured person with reasonable solace. Money is awarded because it can be used to substitute other enjoyments and pleasures for those that have been lost.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As noted by Mr. Justice Dickson in Lindal:</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Thus the amount of an award for non-pecuniary damages should not depend alone upon the seriousness of the injury, but upon its ability to ameliorate the condition of the victim considering his or her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parties agree that at the present time the maximum amount that can be awarded for all non pecuniary damages including such factors as pain and suffering, loss of amenities and loss of expectation of life is approximately $289,000.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plaintiff's position is that if Mr. Arce were a younger person, there would be no issue that he would be entitled to the maximum amount under this head of damage. They say that the minimum damages under this head should be $250,000.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defendants say that the defendant's age, mental acuity and shortened life expectancy are factors that should be taken into consideration and that the award should be in the range of $150,000 to $175,000.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In Suveges, supra, Mr. Justice Warren considered the case of a pentaplegic who was 86 years old at the time of the accident and was 88 years old at trial. She was cared for by her daughter in an apartment, and, by trial, was only able to communicate by nods and facial expressions. She went to church, an important aspect of her life, and enjoyed television. The trial judge held that she had no cognitive deficiencies and was well aware of her surroundings. Warren J. accepted that advanced age was a factor to take into consideration, but, like Mr. Justice Williamson in Gogol v. F.W. Woolworth Co., </w:t>
      </w:r>
      <w:hyperlink r:id="rId61" w:history="1">
        <w:r>
          <w:rPr>
            <w:rFonts w:ascii="arial" w:eastAsia="arial" w:hAnsi="arial" w:cs="arial"/>
            <w:i/>
            <w:color w:val="0077CC"/>
            <w:sz w:val="20"/>
            <w:u w:val="single"/>
            <w:shd w:val="clear" w:color="auto" w:fill="FFFFFF"/>
            <w:lang w:val="en-US" w:eastAsia="en-US" w:bidi="ar-SA"/>
          </w:rPr>
          <w:t>[1996] B.C.J. No. 2047</w:t>
        </w:r>
      </w:hyperlink>
      <w:r>
        <w:rPr>
          <w:rFonts w:ascii="arial" w:eastAsia="arial" w:hAnsi="arial" w:cs="arial"/>
          <w:color w:val="000000"/>
          <w:sz w:val="20"/>
          <w:lang w:val="en-US" w:eastAsia="en-US" w:bidi="ar-SA"/>
        </w:rPr>
        <w:t xml:space="preserve"> (S.C.), he considered that any reduction in damages on that ground must be undertaken cautiously. The maximum award for non-pecuniary damages at that time was about $265,000. He awarded $200,000 for non pecuniary damages. The defendant says that the award should be less in Mr. Arce's case given his delusional state and dementia.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Prior to the accident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was, despite a series of ailments, a relatively active person, who enjoyed driving, exercise, music and his family. He is now bedridden, medically fragile and subject to constant care. His life expectancy has been significantly reduced to 3.3 years. In the circumstances, I award general damages of $200,000.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plaintiff is entitled to general damages of $200,000. I have determined that the plaintiff's damages for cost of future care are not to be assessed on the basis of home care. As to the quantum of the award under that head of damages, the plaintiff is at liberty to make further submissions in accordance with these reasons.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DOHM A.C.J.S.C per SIGURDSON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149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 w:history="1">
        <w:r>
          <w:rPr>
            <w:rFonts w:ascii="arial" w:eastAsia="arial" w:hAnsi="arial" w:cs="arial"/>
            <w:b/>
            <w:bCs/>
            <w:i/>
            <w:color w:val="0077CC"/>
            <w:kern w:val="32"/>
            <w:sz w:val="28"/>
            <w:szCs w:val="32"/>
            <w:u w:val="single"/>
            <w:shd w:val="clear" w:color="auto" w:fill="FFFFFF"/>
            <w:lang w:val="en-US" w:eastAsia="en-US" w:bidi="ar-SA"/>
          </w:rPr>
          <w:t>Ashe v. Werstiuk, [2003] B.C.J. No. 258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Metzger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30 and October 1 - 4,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26897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599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Colleen Ashe, plaintiff, and Peter Werstiuk,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2"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 w:name="Keywords_3"/>
      <w:bookmarkEnd w:id="25"/>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Heavy equipment operator — Duty of care — Prevision, duty to anticipate — Motor vehicle, pedestrians and bicyclists — Street or highway crossing, non-intersection — Duty of pedestrians and bicyclists to take reasonable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 Striking of pedestrian inference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Keeping a proper look out — Anticipation — Respecting pedestrians and bicyclists — Circumstances requiring caution or extreme caution — Duty to pay attention — Damage awards — Injury and death — Leg injuries — Knee — Fracture — Nerve damage — Damages — General damages — General damages for personal injury — Pain and suffering, loss of amenities and other nonpecuniary damages — Impairment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 w:name="Case Summary_3"/>
            <w:bookmarkEnd w:id="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Ashe for damages for knee injury caused by Werstiuk. Werstiuk had full vision as he drove a back hoe on a street. He struck Ashe when she crossed the street. He provided no explanation for failing to see Ashe when she left the curb. He was not speeding. Ashe was jaywalking. She saw Werstiuk, assumed he would stop, and did not look in his direction again after leaving the curb. Werstiuk argued Ashe was negligent since if she had not jaywalked the accident would not have happened. Ashe's injuries were a displaced left tibial plateau fracture and damage to the peroneal nerve resulting in constant pain and requiring a knee brace for shopping and walking. She could not return to work as a janitor, and had little education or skills for sedentary jobs. Total knee replacement was required in a few years with improved strength but decreased motion. She suffered psychological difficulties of self-esteem and confidence, depression, and fear of traffic which devastated her life.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 w:name="Holdings of Court_3"/>
            <w:bookmarkEnd w:id="2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Werstiuk was 75 per cent liable since he provided no explanation for failing to see Ashe on the curb and anticipating the risk of her jaywalking. Ashe was 25 per cent contributorily negligent by failing to ensure Werstiuk was stopping, and not looking again after leaving the curb. Since her physical and psychological injuries devastated her life and severely limited job opportunities especially those requiring strength and stamina similar to her previous janitor's job, and her job confidence was reduced she was awarded $85,000 in nonpecuniary damages and $45,000 for loss of future earning capacity.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 w:name="Legislation Cited_0"/>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3"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9" w:history="1">
        <w:r>
          <w:rPr>
            <w:rFonts w:ascii="arial" w:eastAsia="arial" w:hAnsi="arial" w:cs="arial"/>
            <w:i/>
            <w:color w:val="0077CC"/>
            <w:sz w:val="20"/>
            <w:u w:val="single"/>
            <w:shd w:val="clear" w:color="auto" w:fill="FFFFFF"/>
            <w:lang w:val="en-US" w:eastAsia="en-US" w:bidi="ar-SA"/>
          </w:rPr>
          <w:t>R.S.B.C. 1996, c. 318, ss. 121</w:t>
        </w:r>
      </w:hyperlink>
      <w:r>
        <w:rPr>
          <w:rFonts w:ascii="arial" w:eastAsia="arial" w:hAnsi="arial" w:cs="arial"/>
          <w:color w:val="000000"/>
          <w:sz w:val="20"/>
          <w:lang w:val="en-US" w:eastAsia="en-US" w:bidi="ar-SA"/>
        </w:rPr>
        <w:t>, 144, 155(1), 155(1)(c), 155(2), 159, 160, 179(2),180, 181, 181(a), 181(b),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 w:name="Counsel_3"/>
      <w:bookmarkEnd w:id="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4"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Dennis K. Boon, for the plaintiff. Robert E. Ross,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3"/>
      <w:bookmarkEnd w:id="30"/>
      <w:r>
        <w:pict>
          <v:line id="_x0000_s1045"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METZGER J."/>
            <w:bookmarkEnd w:id="31"/>
            <w:r>
              <w:rPr>
                <w:rFonts w:ascii="arial" w:eastAsia="arial" w:hAnsi="arial" w:cs="arial"/>
                <w:b/>
                <w:color w:val="000000"/>
                <w:sz w:val="30"/>
                <w:lang w:val="en-US" w:eastAsia="en-US" w:bidi="ar-SA"/>
              </w:rPr>
              <w:t>METZGER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Colleen Ashe, born on January 6, 1949, was hit on the left knee with the bucket of a backhoe at about 6:30 p.m. on June 23, 2000, while crossing mid-block on Graham Street in Kelowna,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Peter Werstiuk, born on September 19, 1928, was the driver of the 6,500 kilogram backhoe. Mr. Werstiuk states that he did not see Ms. Ashe until she was about six feet away. Visibility was good. Liability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Graham Street, at the site of the accident, runs north and south and tees into Springfield Road. Graham Street is a paved two-lane residential street. Each lane is 12 feet wide divided by a single-solid yellow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a crosswalk where Graham Street meets Springfield Road. Ms. Ashe did not cross at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Graham Street runs north and south for the purposes of this case, it actually runs east and west prior to curving in a capital "L" configuration into the north and south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was a seven-foot wide tow truck facing south toward Springfield Road, parked about one foot away from the west curb and near Springfield Road. Ms. Ashe crossed Graham Street from the rear of the stopped tow truck, as she was heading toward the bus stop on the east side of Graham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Ashe stated that as she was walking north on the grass along the west side of the truck, she saw the backhoe come around the corner and proceed along Graham street toward her and Springfield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Ashe testified that she stopped at the back of the tow truck at its east corner and looked at the backhoe driver as he was driving toward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Ashe believed she made eye contact with the driver and that he was slowing down by gearing down. Mr. Werstiuk said he did not make eye contact with Ms. Ashe, and that he did not slow or gear down. I accept Mr. Werstiuk's evidence as Ms. Ashe was not certain about the eye contact. It would be difficult from her position on the road to determine what Mr. Werstiuk was doing inside the cab of the backhoe.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Werstiuk testified that he first saw Ms. Ashe when she was six feet in front of him. He was travelling at approximately 10 to 15 kilometres per hour just before the backhoe's bucket struck Ms. Ashe. At 12.5 kilometres per hour Mr. Werstiuk would be travelling at 11.39 feet per second. I have taken judicial notice of the conversion multiplier of .9113 because of the use of metric and imperial measurements throughout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Ashe stated she stepped out in front of the backhoe when it was 10 to 14 feet away. She said that she is a poor judge of distance. At 12 feet the backhoe would only have been one second away from striking her. I find that the backhoe was likely more than 12 feet away when Ms. Ashe started to cross the five feet to be crossed in her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satisfied that Ms. Ashe was struck when she was over the centerline and less than two feet into the northbound lane. Mr. Werstiuk testified that his backhoe was seven feet wide at the bucket and he knew he would have to enter the oncoming lane to pass the parked tow truck safely. I accept that a small black car heading north in the other lane slowed to allow Ms. Ashe to cross the street. It stopped when she was struck by the backhoe.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Werstiuk stated that he did not see the small black car until after the accident. He said that he did not see Ms. Ashe until she was six feet in front of the bucket of the backhoe. Mr. Werstiuk said he saw the parked tow truck when he rounded the corner and entered the straight, north-south, portion of Graham Street. I find that Mr. Werstiuk was likely further away than six feet when he initially saw Ms. Ashe, as he testified he stopped his vehicle only six feet from the point of impact. I note there is no evidence as to the distance needed to bring this size of backhoe to a full stop from 12.5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Werstiuk gave no reason why he did not see, nor why he should not have seen, Ms. Ashe before he did. Mr. Werstiuk testified that his head was about eight feet above the surface of the road and that the large windshield offered a clear view of the road ahead. He testified there was nothing impeding his vision forward except for an exhaust pipe extending vertically from the front of the backhoe. He testified that although the backhoe was not equipped with a horn, the two four-way flashing yellow lights at the top corners of the cab were on and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accept the evidence that Ms. Ashe had only one beer with her supper. She was wearing a light-coloured blouse, jeans and running shoes when she walked across the road. Mr. Werstiuk believed Ms. Ashe saw him and was attempting to run away from the backhoe when she was struck. That observation is not consistent with any of the other evidence and I find that Mr. Werstiuk was mistaken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Werstiuk testified that the bucket of the backhoe was at least two feet over the centerline into the oncoming lane. I am satisfied that Ms. Ashe was struck by the backhoe when she was in the opposite lane of travel as her body, when on the ground, was over the centerline. There was no dispute that when struck by the backhoe Ms. Ashe fell into the bucket, and when both brakes were applied with full force she was then dumped out of the bucket onto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note that neither the passenger nor the driver of the small black car that stopped and helped Ms. Ashe was called to testify. I note that neither the passenger nor the driver of the tow truck was called to testify. The evidence was that the passenger in the tow truck was the friend to whom Ms. Ashe was delivering the requested Tylenol 3.</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provides as follows: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a pedestrian is crossing a highway at a point not in a crosswalk, the pedestrian must yield the right of way to a vehicle.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Despite sections 178, 179 and 180, a driver of a vehicle must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Section 121 of the Act requires construction vehicles to drive with due regard for safety, having regard to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Section 144 of the Act contains a prohibition against careless driving. A driver must drive with due care and attention, with reasonable consideration for other persons using the highway, and at a speed that is not excessive relative to the traffic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Section 155(1) reads: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anything in this Part, if a highway is marked with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one single line, broken or solid, the driver of a vehicle must drive the vehicle to the right of the line, except only when passing an overtaken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Section 155(2) reads: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(1)(b)(i) and (c) do not apply if a driver is avoiding an obstruction on the highway and first ascertains that the movement can be made with safety and without affecting the travel of any 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Section 159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driver of a vehicle must not drive to the left side of the roadway in overtaking and passing another vehicle unless the driver can do so in safety.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Section 160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driver of a vehicle must not drive to or on the left side of the roadway, other than on a one way highway, unless the driver has a clear view of the roadway for a safe distance, having regard for all the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dealing with the question of rights of way between pedestrians and vehicles, the Court of Appeal in Cook v. Teh &amp; Township of Richmond </w:t>
      </w:r>
      <w:hyperlink r:id="rId70" w:history="1">
        <w:r>
          <w:rPr>
            <w:rFonts w:ascii="arial" w:eastAsia="arial" w:hAnsi="arial" w:cs="arial"/>
            <w:i/>
            <w:color w:val="0077CC"/>
            <w:sz w:val="20"/>
            <w:u w:val="single"/>
            <w:shd w:val="clear" w:color="auto" w:fill="FFFFFF"/>
            <w:lang w:val="en-US" w:eastAsia="en-US" w:bidi="ar-SA"/>
          </w:rPr>
          <w:t>(1990), 45 B.C.L.R. (2d) 194</w:t>
        </w:r>
      </w:hyperlink>
      <w:r>
        <w:rPr>
          <w:rFonts w:ascii="arial" w:eastAsia="arial" w:hAnsi="arial" w:cs="arial"/>
          <w:color w:val="000000"/>
          <w:sz w:val="20"/>
          <w:lang w:val="en-US" w:eastAsia="en-US" w:bidi="ar-SA"/>
        </w:rPr>
        <w:t xml:space="preserve"> said this at pp. 230-4: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Firstly, s. 181(1) and (2) does not constitute an exclusive code relating to rights of way between pedestrians and vehicles. They are not a substitute for the common law duty of care owed by pedestrians and drivers to exercise due care for their own safety and the safety of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relating to this case is set out in B.C. Elec. Ry. v. Farrer, </w:t>
      </w:r>
      <w:hyperlink r:id="rId71"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[1955] 5 D.L.R. 161</w:t>
        </w:r>
      </w:hyperlink>
      <w:r>
        <w:rPr>
          <w:rFonts w:ascii="arial" w:eastAsia="arial" w:hAnsi="arial" w:cs="arial"/>
          <w:color w:val="000000"/>
          <w:sz w:val="20"/>
          <w:lang w:val="en-US" w:eastAsia="en-US" w:bidi="ar-SA"/>
        </w:rPr>
        <w:t>, where the judgment of Estey J. reads in part at pp. 762-63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Viscount Simon expressed the duty which rests upon a person to exercise care for his own safety when he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when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set up as a defence, its existence does not depend on any duty owed by the injured party to the party sued and all that is necessary to establish such a defence is to prove to the satisfaction of the jury that the injured party did not in his own interest take reasonable care of himself and contributed, by this want of care, to his own injury. Nance v. British Columbia Electric Railway Co., </w:t>
      </w:r>
      <w:hyperlink r:id="rId72" w:history="1">
        <w:r>
          <w:rPr>
            <w:rFonts w:ascii="arial" w:eastAsia="arial" w:hAnsi="arial" w:cs="arial"/>
            <w:i/>
            <w:color w:val="0077CC"/>
            <w:sz w:val="20"/>
            <w:u w:val="single"/>
            <w:shd w:val="clear" w:color="auto" w:fill="FFFFFF"/>
            <w:lang w:val="en-US" w:eastAsia="en-US" w:bidi="ar-SA"/>
          </w:rPr>
          <w:t>[1951] 3 D.L.R. 705</w:t>
        </w:r>
      </w:hyperlink>
      <w:r>
        <w:rPr>
          <w:rFonts w:ascii="arial" w:eastAsia="arial" w:hAnsi="arial" w:cs="arial"/>
          <w:color w:val="000000"/>
          <w:sz w:val="20"/>
          <w:lang w:val="en-US" w:eastAsia="en-US" w:bidi="ar-SA"/>
        </w:rPr>
        <w:t>, (1)."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Legislative bodies have, for many years, been enacting provisions intended to facilitate and make safer the movement of pedestrians and vehicular traffic on the highways and public streets. The general rule is that these provisions and regulations are supplementary, or in addition, to the common law duty that rests upon all persons using the highways to exercise due care. Swartz Bros. Ltd. v. Wills [</w:t>
      </w:r>
      <w:hyperlink r:id="rId73"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xml:space="preserve">]; Royal Trust Co. v. Toronto Transportation Commssn. [ </w:t>
      </w:r>
      <w:hyperlink r:id="rId74" w:history="1">
        <w:r>
          <w:rPr>
            <w:rFonts w:ascii="arial" w:eastAsia="arial" w:hAnsi="arial" w:cs="arial"/>
            <w:i/>
            <w:color w:val="0077CC"/>
            <w:sz w:val="20"/>
            <w:u w:val="single"/>
            <w:shd w:val="clear" w:color="auto" w:fill="FFFFFF"/>
            <w:lang w:val="en-US" w:eastAsia="en-US" w:bidi="ar-SA"/>
          </w:rPr>
          <w:t>[1935] S.C.R. 671</w:t>
        </w:r>
      </w:hyperlink>
      <w:r>
        <w:rPr>
          <w:rFonts w:ascii="arial" w:eastAsia="arial" w:hAnsi="arial" w:cs="arial"/>
          <w:color w:val="000000"/>
          <w:sz w:val="20"/>
          <w:lang w:val="en-US" w:eastAsia="en-US" w:bidi="ar-SA"/>
        </w:rPr>
        <w:t>]. In the latter case Mr. Justice Davis, with whom the majority of the Court agreed, stated at p. 674: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"Generally speaking, a motorman on a street car is entitled to assume that a pedestrian or a motorist approaching the street car tracks will stop to permit the street car to pass by and there was in this case a statutory right of way in favour of the street car. But the existence of a right of way does not entitle the motorman on the street car to disregard an apparent danger that confronts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statements have been cited with approval in a number of decisions of our court and whether or not a crosswalk is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context of motor vehicle accidents, Mr. Justice Anderson in the Cook v. Teh, supra, decision says this at p. 206: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Fourthly, the argument of counsel for the defendant is an attempt to revive the doctrine of "last clear chance" which has long since disappeared from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was not open to the defendant to argue that, even though he was negligent and had created a situation of danger from which he could not extricate himself, he should be absolved from liability because if the plaintiff had kept a proper lookout the accident would not have happened. (at p. 206).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his decision in Nelson (Public Trustee of) v. Shinske </w:t>
      </w:r>
      <w:hyperlink r:id="rId75"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Mr. Justice Fraser undertook an extensive review of British Columbia trial court decisions and then summarized the cases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law can be stated as follows: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Users of the streets are entitled to proceed upon the assumption that other users of the streets will observe traffic regulations;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drive or walk on that assumption is not an absolute one;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obligation, as one proceeds, to maintain special preparation for an unseen emergency or a mere possibility;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on the other hand, the possibility of the danger which in fact materialized is reasonably apparent, the failure to take precautions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 309)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further concluded that the duty of a motorist to take care is "...not something which is triggered by the happenstance of seeing the hazard but involves some duty to anticipate risk, depending on the circumstances". The principles set out above govern the situation here.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Mr. Werstiuk, a semi-retired and very experienced backhoe operator, admitted that he was probably tired after a full day's work. There was no evidence that his medication affected his driving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offered no explanation as to why he did not see Ms. Ashe until she was six feet in front of him. He saw the tow truck. I am satisfied that the tow truck was not a distraction as there was nothing unusual about a parked vehicle in that particular place. The weather was sunny, clear and dry. Mr. Werstiuk told the court that he had concluded that he had to go into the oncoming lane to pass the parked tow truck. He did not see the small black car in the oncoming lane until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that Mr. Werstiuk, while driving a construction vehicle, breached his duty to exercise due care to avoid colliding with a pedestrian who was on the highway. It is obvious that if he had seen Ms. Ashe, as he should have, he could have avoided striking her. If he had seen Ms. Ashe in her unusual position of standing behind the tow truck he would have been put on notice that she may be about to do something unusual, such as jaywalk. As an experienced driver, he would have slowed down and not driven into the oncoming lane when it may have been unsafe to do so. He had a clear view of the roadway for a safe distance. In the circumstances he had a duty to anticipate the risk. (See: Nelson (Public Trustee of) v. Shinske,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that Mr. Werstiuk, upon seeing Ms. Ashe, acted quickly and appropriately. I am not concerned that no horn was sounded in this circumstance as there was no time to do so. However, had Mr. Werstiuk observed Ms. Ashe when he should have, he would not have been able to sound a horn because his vehicle was not equipped with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was no evidence of speeding or of skid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Werstiuk submitted that his obligation to take care only arose after he had seen Ms. Ashe. (See: Melgarejo-Gomez v. Sidhu, </w:t>
      </w:r>
      <w:hyperlink r:id="rId76" w:history="1">
        <w:r>
          <w:rPr>
            <w:rFonts w:ascii="arial" w:eastAsia="arial" w:hAnsi="arial" w:cs="arial"/>
            <w:i/>
            <w:color w:val="0077CC"/>
            <w:sz w:val="20"/>
            <w:u w:val="single"/>
            <w:shd w:val="clear" w:color="auto" w:fill="FFFFFF"/>
            <w:lang w:val="en-US" w:eastAsia="en-US" w:bidi="ar-SA"/>
          </w:rPr>
          <w:t>[2002] B.C.J. No. 55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that Melgarejo-Gomez v. Sidhu, supra, is limited to its unique set of circumstances. It is not applicable in this case. In the present circumstances, I find the defendant, Mr. Werstiuk, negligent.</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Mr. Werstiuk, says that if Ms. Ashe had crossed in the crosswalk or had kept a proper lookout, the accident would not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Ashe looked and observed Mr. Werstiuk coming toward her. She assumed that the backhoe was slowing and would stop for her and not come into the other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Ashe did not cross at the crosswalk because she believed it was not safer than jaywalking, due to the heavy traffic on Springfield Road that usually turned onto Graham Avenue. I am satisfied that she should have used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difficult to tell from the evidence how far away the backhoe was when Ms. Ashe started across the street. It makes no sense that she would have stepped out when it was only one second away and bearing down upon her. It makes no sense that Mr. Werstiuk saw her when she was only six feet away as he managed to stop his 6,500 kilogram backhoe within six feet of striking her without leaving skid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Ashe had a duty to exercise due care for her own safety and the safety of others, both statutorily and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By not making certain that Mr. Werstiuk was in fact slowing down and had sufficient distance to bring his vehicle into a safe position on the roadway, Ms. Ashe contributed to her own injury. Once Ms. Ashe started across the road in front of the backhoe, she did not look at the machine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would have been obvious to her and to any observer that the possibility of being struck by the backhoe was reasonably apparent and she failed to take sufficient precautions. (See: Nelson (Public Trustee of) v. Shinske,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Ashe must bear some responsibility for failing to ascertain that the backhoe was actually slowing or stopping. By making the assumptions she did and thereafter crossing in front of the oncoming backhoe, she failed to yield the right-of-way to the backhoe. She was negligent in so doing.</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both parties were negligent. I divide the liability between them as follows: 75 percent fault to the defendant, Mr. Werstiuk, and 25 percent fault to the plaintiff, Ms. Ashe.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INJURIES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Ashe is a divorced woman with Grade 8 education and one grown child. Her eldest child, Simon, was killed at age 13 when he collided with a train on his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Ashe has had training and experience in welding, blasting, labouring, and as a linesman, flagger, horse trainer, fisher, hunter, trapper, farmer, and dog kennel operator. All of her jobs required strength, stamina and good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ten years between 1990 and 1999, Ms. Ashe lived in Mexico and worked as a nanny and housekeeper for room and board and a few dollars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Ashe returned to Canada to reconnect with family and friends. She found the job market slim. Her lack of education and papers led to a decrease in her confidence. She eventually rented a room from the Laboucane family in Kelowna.</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 in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Prior to the accident Ms. Ashe took a government funded job re-entry program called KEREDA. This program was a 5-day per week, 12-week program. While at KEREDA, Ms. Ashe received a Superhost certificate, a Food Safe certificate, and a First Aid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a result of the KEREDA program, Ms. Ashe found employment for about one week in April 2000 with the janitorial contractor for Great Canadian Superstore. This job involved cleaning the floors with large machines. She found this job too strenuous so she quit. She then visited her doctor because of right hip pain and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Ashe was eventually employed by Okanagan Seasons Resort as a housekeeper. The work was seasonal work. She expected to seek similar work at a ski resort for the winter months. Ms. Laboucane (Zimmerman) testified that in Kelowna Ms. Ashe seemed happier and more self-confident than she had been in Salmon Arm.</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are no medical records from Mexico. In July 1999 while in Salmon Arm, Ms. Ashe saw Dr. Gow, a family physician, as she complained of joint pains and thought she might have a recurrence of malaria. Tests were negative for malaria parasites. She also complained of insomnia. Unemployment and social stresses were noted by Dr. Gow. She was prescribed Tylenol 3 on July 29 and August 27, 1999 (30 tablets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Ms. Ashe moved to Kelowna, she saw Dr. Woychuk on January 27, 2000, where she complained of "back pain 24/7". On March 16, 2000, she was seen for a complaint of back pain (of one week's duration)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April 26, 2002, Dr. Penner became Ms. Ashe's family doctor. Ms. Ashe complained of increasing lumbar and sacroiliac pain with janitorial work. Tylenol 3's were prescribed. On May 23rd, she had onset of hip pain after heavy work at Great Canadian Superstore which he diagnosed as a moderate piriformis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X-rays were taken on May 30, 2000, and indicated "mild facet OA L4-5 L5-S1 only N discs". On June 23, 2000, Dr. Penner noted some decrease in Ms. Ashe's lower back pain. Dr. Penner prescribed pain medication in the form of Tylenol 3 on April 23rd, May 23rd, and June 23rd. Exhibit 2, Tab 9, shows that Ms. Ashe was dispensed with Tylenol 3 before the accident on June 23rd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27, 1999</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 tablets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28, 1999</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 tablets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April 26, 2000</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 tablets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23, 2000</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 tablets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23, 2000</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 tablets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This would equate to about two tablets per day in the period 60 days before the motor vehicle accident. No prescriptions for Tylenol 3 were filled for about eight months before April 26, 2000.</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Ms. Ashe crossed Graham Street on June 23, 2000, she was struck by the lower edge of the backhoe's front bucket. The point of impact on her body was approximately the outside portion of her left leg just above her knee. Ms. Ashe was thrown into the bucket of the backhoe and was struck on the left side of her head above her left ear on the bucket. She then fell to the pavement in front of the bucket. She did not lose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Following the accident, Ms. Ashe was unable to stand. She was placed in a vehicle driven by Mr. Popoff, and was driven to her nearby residence. Ms. Laboucane (Zimmerman) examined Ms. Ashe's leg and called the ambulance which transported her to Kelowna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emergency record indicates that Dr. Korzan examined Ms. Ashe and found a displaced left tibial plateau fracture and a small hematoma to her left temple. She was admitted to Kelowna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Terrance O'Farrell examined Ms. Ashe on June 24, 2000, and confirmed the diagnosis. He also noted that she complained of some dysesthesia in her left leg. On June 26, 2000, Dr. O'Farrell performed an open reduction of the fracture site and explored the peroneal nerve for damage. The tibial plateau is the top portion of the tibia upon which the femur rests at the knee joint. The plateau was depressed as a result of the impact. Dr. O'Farrell raised the bone fragments into position, completed a bone graft consisting of packing crushed bone around the fragments, and secured the fracture site with a buttress plate which was attached to the tibia with screws. The peroneal nerve was found to be contused but not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Ashe remained in the hospital for a period of 11 days. She was discharge on July 4, 2000.</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Ashe progressed from a wheelchair to a walker to crutches and to a cane. She had physiotherapy treatments. She was fitted with two braces for her left leg. One was an ankle-foot brace that supported her foot. The other brace was a lateral unloader brace which supported her knee when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Ashe has progressed with her recovery but now has a valgus deformity. This means her lower left leg bends outward to the side and the knee bends inward. Dr. Penner described the cause as the surface of the tibial plateau depressing laterally. Dr. Penner stated in his report dated December 14, 2000, that "she has continued to make slow steady progress but remains troubled with constant pain with distinct worsening with any weight bearing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Although she was to wear both braces at the same time, she has been unable to do so because of a fitting problem. She has had some improvement in her peroneal nerve palsy. She continues to use her knee brace for shopping and housework. She continues to be in pain and uses Tylenol 3's and Ibuprofen. She uses an average of two to three Tylenol 3's per day. She uses Ibuprofen limited to once per day because it bothers her stomach. She does exercises three times per day and takes Epsom salt baths for her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report Dr. Penner stated, on page 3, that Ms. Ashe has been "rendered totally disabled from pursuing any form of employment since the date of the MVA to the present. Due to acquired defect in the structure of her knee joint it is my opinion that she will not be able to return to her prior work as a cleaner/janitor without significant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Later Dr. Penner stated "I consider Colleen to be fully disabled from any manner of employment to at least January 2, 2001. At that time she would be best be capable of sedentary work only on a half time basis. The issue of whether there is work available that Colleen is both qualified for and capable of performing is also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O'Farrell testified that Ms. Ashe will require a total knee arthroplasty, that is a knee replacement surgery, within a few years. This surgery usually requires five to seven days' hospitalization followed by six weeks on crutches and six weeks with a cane. She would be expected to walk independently at about three months following the surgery. The end result of this surgery would be some improvement in her strength, but a decrease in her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Ashe's injuries appear to have caused her significant psychological difficulties. Ms. Laboucane (Zimmerman) testified that after the surgery Ms. Ashe was tired and afraid. Following her discharge from hospital she was reclusive, staying in her bedroom, and seemed to be in pain and had difficulty getting around. She appeared timid.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Ashe went for counselling through Kelowna Mental Health with counsellor Eugene Cheung. She was also seen by Dr. Milanese, a psychiatrist, on a few occasions. Ms. Ashe was placed on anti-depressants but ultimately stopped using them because of side effects. Although she still experiences sadness, she says "it passes".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Brenda Pontin has resided with the plaintiff since September 15, 2001, in an apartment on the second floor of an apartment building which does not have an elevator. She testified that the plaintiff has difficulty managing stairs, particularly going up stairs. She said that Ms. Ashe uses a knee brace and a cane while indoors. She testified that Ms. Ashe walks at a slow pace and is nervous crossing major intersections. She testified that she goes out with Ms. Ashe for walks but Ms. Ashe needs to sit often in order to rest. Ms. Pontin states that Ms. Ashe has difficulty carrying shopping bags, vacuuming, and doing heavier tasks. She finds the plaintiff to be nervous, anxious, and spending a lot of time in her room, sometimes crying.</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am satisfied based on the evidence of the plaintiff, Norma Laboucane (Zimmerman) and Brenda Pontin, that this knee injury has had a devastating effect on the life of Ms. Ashe. Her self-esteem has been seriously diminished. She not only lacks the confidence to seek work and shop for her daily needs, but is frightened to cross streets even at light-controlled intersections.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have reviewed the cases relied upon by counsel. These cases are of some assistance as several deal with knee injuries. However, I agree with Bouck J. in Kumlea et al. v. Chaytors et al., </w:t>
      </w:r>
      <w:hyperlink r:id="rId77" w:history="1">
        <w:r>
          <w:rPr>
            <w:rFonts w:ascii="arial" w:eastAsia="arial" w:hAnsi="arial" w:cs="arial"/>
            <w:i/>
            <w:color w:val="0077CC"/>
            <w:sz w:val="20"/>
            <w:u w:val="single"/>
            <w:shd w:val="clear" w:color="auto" w:fill="FFFFFF"/>
            <w:lang w:val="en-US" w:eastAsia="en-US" w:bidi="ar-SA"/>
          </w:rPr>
          <w:t>[1991] B.C.J. No. 2968</w:t>
        </w:r>
      </w:hyperlink>
      <w:r>
        <w:rPr>
          <w:rFonts w:ascii="arial" w:eastAsia="arial" w:hAnsi="arial" w:cs="arial"/>
          <w:color w:val="000000"/>
          <w:sz w:val="20"/>
          <w:lang w:val="en-US" w:eastAsia="en-US" w:bidi="ar-SA"/>
        </w:rPr>
        <w:t xml:space="preserve"> (25 October 1991), Smithers Registry 4819, when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other cases of a similar nature are often helpful, they are only useful to try and achieve some consistency. But consistency in fixing damages is simply a desirable goal, not a legal principle. Every human being is different. No two persons suffer exactly the same kind of injury. No two persons react in exactly the same way to an injury they receive. The genius of the common law is to craft a custom made award for each injured plaintiff that is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assess non-pecuniary damages at $85,000.</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is no doubt that the accident has disabled Ms. Ashe from working, and that she would have been employed and earning some kind of income if the accident had not occurred. However, the available employment records indicate that Ms. Ashe had previously had sporadic employment at minimum 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satisfied from the medical records of Dr. Penner and the testimony of Ms. Ashe that her ongoing back pain was preventing her from working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claim by Ms. Ashe that she would have lost $3,240 in wages from the Okanagan Season Resort is not supported by the evidence. I find that her past income loss is zero.</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have considered the authorities cited by counsel. I have in particular considered Kwei v. Boisclair </w:t>
      </w:r>
      <w:hyperlink r:id="rId78"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where the British Columbia Court of Appeal approved the factors expressed in Brown v. Golaiy, </w:t>
      </w:r>
      <w:hyperlink r:id="rId79"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of these factors apply to Ms. Ashe.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Ashe had no plans for retirement. She was active and always worked when she was able to find employment. It is evident from her employment at Okanagan Seasons Resort that, despite her pre-accident bouts of low back pain, Ms. Ashe was physically capable of cleaning rooms, dusting, vacuuming and scrubbing. The work was almost full time; she worked 432 hours in five and a half weeks at $7.50 per hour. There was no evidence that this pre-existing back pain was likely to worsen despite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Ashe has no savings or pension plans other than her automatic deductions to the federal system. It is reasonable to conclude that she would work past age 65 if there was work available that she was capable of performing.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Ashe is intelligent and hard working. She has attempted to improve her education and expand her skills but she is not readily employable much above the minimum wage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Ashe needs to be strong, physically fit and in good health to pursue the type of work she has had in the past, and would likely get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the totality of the medical evidence, including the likely success of knee replacement surgery in a few years with the resulting permanent decrease in the range of motion of that knee, I am satisfied that it is unlikely Ms. Ashe will find work before such surgery. I find that it is probable that Ms. Ashe will be less capable of performing her usual occupation and that she will have fewer employment opportunities due to the decrease in her overall confidence and permanent decrease in her physical fitness level, as a result of this accident. She will need to find a sympathetic employer, as she cannot offer the employer any uncommon skills to offset her decrease in physical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is no expert evidence indicating an appropriate measure of damages for the impairment of the plaintiff's earning capacity. The defendant admits that there has been an impairment of future earning capacity but disagrees with the plaintiff's assessment of the effect of that impairment. I am satisfied that Ms. Ashe's loss of income earning capacity should be set at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parties have agreed on the amounts for cost of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Damages are therefore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4182"/>
        <w:gridCol w:w="292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$ 85,000.00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1882"/>
        <w:gridCol w:w="125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Past-loss of income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809"/>
        <w:gridCol w:w="2301"/>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$ 45,000.00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2091"/>
        <w:gridCol w:w="125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1,216.35</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2195"/>
        <w:gridCol w:w="125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care</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583.90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Ashe is entitled to court ordered interest at the registrar's rate on her past pecuniary losses where applicable. Ms. Ashe is entitled to her costs on a party and party basis level,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METZGER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6"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6" w:history="1">
        <w:r>
          <w:rPr>
            <w:rFonts w:ascii="arial" w:eastAsia="arial" w:hAnsi="arial" w:cs="arial"/>
            <w:b/>
            <w:bCs/>
            <w:i/>
            <w:color w:val="0077CC"/>
            <w:kern w:val="32"/>
            <w:sz w:val="28"/>
            <w:szCs w:val="32"/>
            <w:u w:val="single"/>
            <w:shd w:val="clear" w:color="auto" w:fill="FFFFFF"/>
            <w:lang w:val="en-US" w:eastAsia="en-US" w:bidi="ar-SA"/>
          </w:rPr>
          <w:t>Aslin v. Otto, [2003] B.C.J. No. 1293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Catliff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7 - 11 and April 14 - 17,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3,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S022896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1293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658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122 A.C.W.S. (3d) 951</w:t>
      </w:r>
    </w:p>
    <w:p>
      <w:pPr>
        <w:spacing w:before="120" w:line="260" w:lineRule="atLeast"/>
        <w:rPr>
          <w:lang w:val="en-US" w:eastAsia="en-US" w:bidi="ar-SA"/>
        </w:rPr>
      </w:pPr>
      <w:r>
        <w:rPr>
          <w:rFonts w:ascii="arial" w:eastAsia="arial" w:hAnsi="arial" w:cs="arial"/>
          <w:color w:val="000000"/>
          <w:sz w:val="20"/>
          <w:lang w:val="en-US" w:eastAsia="en-US" w:bidi="ar-SA"/>
        </w:rPr>
        <w:t>Between Laurel Joy Aslin, plaintiff, and Lawrence William Otto,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7" style="position:absolute;z-index:2516633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2" w:name="Keywords_4"/>
      <w:bookmarkEnd w:id="32"/>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Standard of care, rural practitioners — Failure to diagnose an injury.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3" w:name="Case Summary_4"/>
            <w:bookmarkEnd w:id="3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wife of the deceased, Aslin,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doctor, Otto. Aslin was working as a log skidder operator in a remote area. He became trapped between two logs and was pinned for several hours before being found. Aslin died while being taken by ambulance from the remote hospital to a larger hospital. The cause of his death was hypothermia. His wife argued that Otto failed to diagnose the hypothermia earlier than he did and treat it appropriately. Otto argued that there was no indication of hypothermia in the initial ambulance crew report or upon Aslin's arrival at hospital. Prior to transferring Aslin to the larger hospital, Otto discovered that the nurse had not taken Aslin's temperature and upon doing so, discovered that he was hypothermic. Otto then applied hot packs and blankets to Aslin. </w:t>
            </w:r>
            <w:r>
              <w:rPr>
                <w:lang w:val="en-US" w:eastAsia="en-US" w:bidi="ar-SA"/>
              </w:rPr>
              <w:cr/>
            </w:r>
          </w:p>
          <w:p>
            <w:pPr>
              <w:spacing w:before="120" w:line="260" w:lineRule="atLeast"/>
              <w:ind w:left="240"/>
              <w:jc w:val="both"/>
              <w:rPr>
                <w:lang w:val="en-US" w:eastAsia="en-US" w:bidi="ar-SA"/>
              </w:rPr>
            </w:pPr>
            <w:bookmarkStart w:id="34" w:name="Holdings of Court_4"/>
            <w:bookmarkEnd w:id="34"/>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Otto was not vicariously liable for the nurse's failure to take Aslin's temperature. He was entitled to rely on her to take the vital signs. Once Otto diagnosed the hypothermia, he took the appropriate steps to treat Aslin, given the conditions in the remote hospital. There was no evidence that if the hypothermia had been discovered earlier, any treatment would have saved his life. </w:t>
            </w:r>
            <w:r>
              <w:rPr>
                <w:lang w:val="en-US" w:eastAsia="en-US" w:bidi="ar-SA"/>
              </w:rPr>
              <w:cr/>
            </w:r>
          </w:p>
          <w:p>
            <w:pPr>
              <w:rPr>
                <w:lang w:val="en-US" w:eastAsia="en-US" w:bidi="ar-SA"/>
              </w:rPr>
            </w:pPr>
          </w:p>
        </w:tc>
      </w:tr>
    </w:tbl>
    <w:p>
      <w:pPr>
        <w:jc w:val="both"/>
        <w:rPr>
          <w:lang w:val="en-US" w:eastAsia="en-US" w:bidi="ar-SA"/>
        </w:rPr>
      </w:pPr>
      <w:bookmarkStart w:id="35" w:name="Legislation Cited_1"/>
      <w:bookmarkEnd w:id="3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48" style="position:absolute;z-index:2517145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Court of Appeal Act, s. 27(1).</w:t>
      </w:r>
      <w:r>
        <w:rPr>
          <w:lang w:val="en-US" w:eastAsia="en-US" w:bidi="ar-SA"/>
        </w:rPr>
        <w:cr/>
      </w:r>
    </w:p>
    <w:p>
      <w:pPr>
        <w:keepNext/>
        <w:spacing w:before="240" w:line="340" w:lineRule="atLeast"/>
        <w:rPr>
          <w:lang w:val="en-US" w:eastAsia="en-US" w:bidi="ar-SA"/>
        </w:rPr>
      </w:pPr>
      <w:bookmarkStart w:id="36" w:name="Counsel_4"/>
      <w:bookmarkEnd w:id="3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9" style="position:absolute;z-index:2517657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Robert W. Smith and Albert M. Roos, for the plaintiff. Chris E. Hinkson, Q.C. and C.M. Rusnak, for the defendant.</w:t>
      </w:r>
      <w:r>
        <w:rPr>
          <w:lang w:val="en-US" w:eastAsia="en-US" w:bidi="ar-SA"/>
        </w:rPr>
        <w:cr/>
      </w:r>
    </w:p>
    <w:p>
      <w:pPr>
        <w:spacing w:after="240"/>
        <w:rPr>
          <w:lang w:val="en-US" w:eastAsia="en-US" w:bidi="ar-SA"/>
        </w:rPr>
      </w:pPr>
      <w:bookmarkStart w:id="37" w:name="Judgment_4"/>
      <w:bookmarkEnd w:id="37"/>
      <w:r>
        <w:pict>
          <v:line id="_x0000_s1050" style="position:absolute;z-index:25181696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8" w:name="CATLIFF J."/>
            <w:bookmarkEnd w:id="38"/>
            <w:r>
              <w:rPr>
                <w:rFonts w:ascii="arial" w:eastAsia="arial" w:hAnsi="arial" w:cs="arial"/>
                <w:b/>
                <w:color w:val="000000"/>
                <w:sz w:val="30"/>
                <w:lang w:val="en-US" w:eastAsia="en-US" w:bidi="ar-SA"/>
              </w:rPr>
              <w:t>CATLIFF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morning hours of 11 September 1992 James Aslin died while being taken by ambulance from Stewart to Terrace in British Columbia. An autopsy found Mr Aslin had died of hypothermia. The defendant, Dr Otto, a general practitioner, treated Mr Aslin at Stewart before sending him on to Terrace. The plaintiff, Mr Aslin's widow, claims that Dr Otto was negligent in failing to diagnose hypothermia earlier than he did and in failing to treat it appropriately when he did discover it. It is alleged that one or both of these failures caused or contributed to Mr Aslin's death.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accident and journey to Stewart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10 September 1992 Mr Aslin was working alone as a log skidder operator in the Meziadin area of British Columbia. At about 2:30 p.m. he became trapped between two large logs. The upper log pinned him, face down, over the lower log, crushing his back and abdomen. He lost consciousness for some time and altogether was trapped for about 6 1/2 hours. He was discovered by a fellow worker at about 9:00 p.m. and freed. A bush ambulance came to the site at about 10:00 p.m., Mr Aslin was put on a spinal board, given a cervical collar and oxygen.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He was then transported out of the area. The temperature had reached a high that day of 15.5 [degrees] C and a low of 7.5 [degrees] C with little, if any, precipitation.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about 11:30 p.m. Mr Aslin was transferred from the bush ambulance to a B.C. ambulance which had driven out from Stewart. This ambulance then took Mr Aslin back to Stewart, arriving there at about 12:45 a.m. Dr Otto and Margaret Heintzman, the nurse on duty, were waiting at the hospital to receive Mr Aslin. Dr Otto had been told to expect to receive a significant trauma case involving a crush injury to the abdomen.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ambulance crew report, exhibited at trial, detailed the crew's observations of Mr Aslin. The report described the following: loss of consciousness while trapped between the logs; lucid for periods in the ambulance; pain of 8.5 on a scale of 1-10; pulses, but very weak at radius and unsure about pedal pulses; injured abdomen, pelvis, right leg and arm; inability to move or feel legs; extremities very cool; "internal bleeding". Mr Aslin's chief complaint was noted as "hurt stomach". Blood pressure and respiration were taken in the ambulance; pulse was only recorded as "present". No indication of, or concern about, hypothermia was noted in the crew report nor was any such concern reported by the ambulance crew on their arrival at the Stewart Hospital.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Dr Otto and the hospital at Stewart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Otto received his medical degree in 1968 from Queen's University and subsequently interned for two years in Calgary, Alberta. From 1970 to 1983, Dr Otto was a family practitioner in Whitehorse and in Faro in the Yukon. From 1983 and for the next eight years, Dr Otto practiced as a locum in various communities in the Yukon, Northwest Territories and Northern British Columbia. In 1991 Dr Otto took up general practice in Stewart, then a community of some 1500 people. He remained there for eleven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night Dr Otto arrived in Stewart to take up his practice there was a propane explosion which destroyed the hospital. He was never able to practice there. After temporary quarters for the hospital were found in the foyer of a high school, the hospital was re-located to the ground floor of an apartment block known as the Pink Apartments. Walls were knocked out, a kitchen and temporary x-ray room were installed as well as a sitting area and an administration office. There was one patient bed and limited equipment.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arrival of Mr Aslin and his examination and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Aslin arrived by ambulance at the Pink Apartments at about 12:45 a.m. Some of his friends, or co-workers, had accompanied the ambulance by car. Mr Aslin was wheeled, strapped to a gurney, along a 30 to 40 foot walkway, up a ramp and then manoeuvred through two doors into the emergency room where Dr Otto and nurse Heintzman were waiting. The small area was crowded with people. Mr Aslin was transferred to a hospital stretcher. Dr Otto wanted to take a history and talk to the ambulance crew and to Mr Aslin, whose chief complaint was that he had hurt his stomach and could not feel his legs. The ambulance crew told Dr Otto that he had been pinned between two logs. Dr Otto remembers a "cacophony of people talking", a chaotic situation with everyone wanting to reassure Mr Aslin. Dr Otto said what he wanted was some quiet so that he could get on with what he had to do, which, having got a history, was to start the ABCs, that is, the initial and customary procedure of examining the patient's airway, breathing and circulation. It was about 10 to 15 minutes from Mr Aslin's arrival before Dr Otto was able to start the ABCs. The ambulance attendants record that they left the Stewart hospital at 1:00 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Otto took Mr Aslin's rigid cervical collar off and at the same time was listening to Mr Aslin describe what had happened. He felt about Mr Aslin's jaw and through his examination eliminated the "A" of the ABCs as a problem. This took perhaps less than 5 minutes.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Otto then exposed Mr Aslin's chest. He took the straps off the stretcher. The blanket was removed and he felt Mr Aslin's chest. Dr Otto said in evidence that he did not get the sense that Mr Aslin was hypothermic. If he had felt that he had been noticeably cold, his thinking would have been directed to the patient's temperature. No one expressed the opinion that Mr Aslin was cold. Dr Otto explained that of the ABCs, breathing is very important. He was suspicious about Mr Aslin's chest. Mr Aslin's breathing was shallow. Dr Otto could hear air in both lung channels. He took another 5 minutes or so on this 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Otto then turned to Mr Aslin's circulation. He looked at the patient's colour. His blood pressure would be lower if there was blood loss. The pulse is critical. The source of the bleeding was not obvious. He used a stethoscope to listen to the lungs and the abdomen. Bowel sounds were absent on listening to the abdomen, which he spent some time doing. Because of the history of an enormous crush injury, Dr Otto ordered the infusion of intravenous fluid. The I.V. bags, tubing and supports had to be fetched from the back room. He also had oxygen going. The I.V. was started on Mr Aslin "as a matter of course" said Dr Otto, as on any trauma victim. The "C" portion of his examination took about 5 to 10 minutes. Mr Aslin's abdomen was "board hard". Applying the I.V.s took some 15 minutes. With the acute abdominal hardness and bruising, Dr Otto said he entertained many different diagnoses that could include bleeding from the liver, spleen, pelvis, or from a torn blood vessel or perforated bowel. The inability to move his legs suggested that Mr Aslin also had fractured his lower spine leading to a likelihood of paraplegia. Dr Otto said that although there was only one record made of Mr Aslin's pulse and blood pressure, he went back on a couple of occasions to check the vital signs of blood pressure and pulse and his recollection is that those checks were within the ball park of what he had initially observed.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installing the I.V.s, Dr Otto tried to catheterize Mr Aslin. Two attempts were made. Apparently the equipment was not satisfactory. Once the catheter had been installed there was no return of urine, so that at a later time a catheter with a larger bore was installed. Dr Otto decided that he needed some x-rays to try to determine the extent of Mr Aslin's injuries. A technician was called into the hospital and Mr Aslin was taken into the x-ray room at about 1:30 a.m.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Subsequent events and the transfer to Terrace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in the x-ray room, Dr Otto continued to be busy. He went in to help move Mr Aslin onto the x-ray table. He talked to Mr Aslin's friends because he wanted greater detail of exactly how Mr Aslin had been found. He said that when he felt there was nothing more he could do for what he diagnosed was an acute abdomen and possible paraplegia, he ordered a MediVac. He had thought that Mr Aslin could be evacuated by helicopter, but found at 1:40 a.m., when he telephoned the provincial MediVac dispatch in Kamloops, that a helicopter could not land at night at Stewart airport.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reinserted Mr Aslin's catheter and then sat down to collect his thoughts and "do a transfer note". While filling out the transfer note he realized that Mr Aslin's temperature had not been recorded. He asked nurse Heintzman to take Mr Aslin's temperature. Nurse Heintzman tried for some time to obtain a temperature with the thermometer available to her, which she said was not registering. She said she did not know what the problem was. Dr Otto then instructed nurse Heintzman to go to the ambulance and get a thermometer from the attendants. The ambulance records show that the ambulance had returned to the hospital at 1:50 a.m. Dr Otto said that nurse Heintzman obtained a thermometer from the attendants, put it in Mr Aslin's rectum and left it there for 4 or 5 minutes. When she brought it out, it was registering 30 [degrees] C. On learning this, Dr Otto realized that he was dealing with a case of hypothermia on top of the acute abdomen and possible paraplegia. This was some time after 2:00 a.m. The x-rays turned out to be useless.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diagnosis of hypothermia did not change Dr Otto's mind, he said, about the need to transfer Mr Aslin to Terrace. There were now two life-threatening problems, and he felt with the acute abdomen, Mr Aslin had to be sent to Terrace urgently. On discovery of the hypothermia everyone rallied around to try and get quarters for the dryer in the Pink Apartments in order to warm blankets to put around Mr Aslin. Hot packs were obtained from the ambulance. Dr Otto told the ambulance attendant to warm up the temperature in the ambulance beyond comfort level. He hoped that Mr Aslin would be starting to warm up as a result of this treatment. He felt the urgency was to transport Mr Aslin and concluded that he had made the best decision he could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the initial two bags of I.V. fluid had run out, two more bags were set up to run at 1/4 litre per hour, which was a normal rate Dr Otto considered for maintenance, perhaps slightly more than a slow rate. Between 2:00 a.m. and 2:20 a.m. a sub-clinical dose of Demerol, 75 mg., was given intramuscularly to Mr Aslin for pain control.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Mr. Aslin left the Pink Apartments at 2:53 a.m. Dr. Otto felt that he was stable in the sense that there had been no change in his blood pressure or heart rate or level of consciousness.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journey from Stewart to Terrace takes between 3 1/2 to 4 hours. Dr Otto had returned to his home and was asleep when he was called and informed that Mr Aslin's heart had stopped as he was being conveyed to Terrace. He told the attendant to start CPR. He believes that the attendant called a second time and he told her to continue CPR for another 20 minutes or as long as she could. The records indicate that Mr Aslin's heart stopped at 4:14-4:15 a.m., about 1 1/2 hours into the journey to Terrace.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Evidence of Margaret Heintzman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Margaret Heintzman is a registered nurse of considerable experience, although in 1992 she had had no training, formal or informal, in hypothermia. She had never seen anyone with a rectal temperature below 35 [degrees] C. She regarded the hospital facilities in the Pink Apartments as equivalent to a crude "MASH unit". She confirmed Dr Otto's evidence that they were expecting a crush injury with bleeding. She was not told the patient, Mr Aslin, had hypothermia. She did not consider it. She was concerned about the internal bleeding. Mr Aslin's blood pressure was low, as was his pulse. She would have expected a patient with bleeding to require fluids and Dr Otto called for I.V. set-ups. Nurse Heintzman said she was responsible for taking the vital signs, but in this case did not initially take the patient's temperature. She was very busy because Mr Aslin's circulation system was compromised and she had to start the I.V.s. She said she dealt with the initial crisis and that taking the temperature is something that "goes down the line". Dr Otto had difficulties with the I.V. and catheter. Finally after initiating the catheter, Mr Aslin was taken to x-ray, where quite a bit of time was spent. After Dr Otto had asked nurse Heintzman to get Mr Aslin's temperature, she tried to obtain one with a glass thermometer. She couldn't read it at first because it was dark. She tried to find a flashlight. When the glass thermometer did not seem to work she went to the ambulance attendant to get a rectal thermometer and had to wait until Mr Aslin had come out of the x-ray room before she could take a temperature reading. She said she would not have counted on the hospital thermometer, as the equipment there was so old. The ambulance thermometer was longer and as the scale on it went down to 25 [degrees] and the mercury was coming up, she knew it was working. When they found that the temperature was 30 [degrees] C she got warm blankets and hot packs from the ambulance.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It is well settled that doctors have a duty to conduct their practice in accordance with the conduct of a prudent and diligent doctor in the same circumstances: see ter Neuzen v. Korn, </w:t>
      </w:r>
      <w:hyperlink r:id="rId87"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issue relating to standard of care is whether Dr Otto's assessment and subsequent approach to treatment of Mr Aslin upon his arrival at the Pink Apartments was in accordance with that of a prudent and diligent doctor in the same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was very little disagreement at trial that Dr Otto had made an appropriate diagnosis of "acute abdomen" based on his examination and observations of his patient. I find that he did. I accept the evidence of Dr Ip, an emergency room specialist, that Dr Otto's working diagnois of internal bleeding was appropriate in the circumstances. Dr Ip states in his report: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this case with the history of the patient pinned between two huge logs (as illustrated by Dr Otto's transfer note) and Dr Otto's findings of board-like abdomen and absence of bowel sound, it was imperative that a diagnosis of acute abdomen be entertained until proven otherwise.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Acute abdomen is recognized in the medical community as a condition that is potentially fatal and requiring immediate surgical intervention. The plaintiff does not contest that Dr Otto's concurrent diagnosis of spine fracture was reasonable given the lack of movement, sensation and reflexes in Mr Aslin's legs.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was also little question that it was necessary to evacuate Mr Aslin to Terrace because of his potential need for surgery and the lack of facilities at Stewart. The issue at trial concerned the failure to diagnose hypothermia earlier than it was, the inadequacy of treatment after it was diagnosed and whether these failures caused or contributed to Mr Aslin's death.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failure to diagnose hypothermia earlier than it was involves a consideration of the failure to take Mr Aslin's temperature on or soon after admission, and whether Dr Otto should have otherwise been alerted to the possibility that his patient might be suffering from hypothermia.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failure to take Mr Aslin's temperature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Nurse Heintzman admitted that it was her responsibility to obtain Mr Aslin's vital signs, including his temperature. On the evidence there seems no doubt that the taking of temperature is a nursing function. The Stewart General Hospital Short Stay Form, Exhibit 1, Tab 2, page 3, provides in the nursing section of it, for a record by the nurse of the patient's temperature. The doctors who gave evidence confirmed that the usual clinical practice is for a physician to rely on a nurse to take the patient's temperature.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evidence pointed to a division of responsibility between nurse and doctor. Nurses are capable of obtaining vital signs and are expected to do so. If a doctor is not told of any abnormal temperature finding, he is not normally expected to know of the temperature until he reviews the nurse's notes. In this case, from what Dr Otto had been told and the clinical signs he observed, his attention was focused on considering the life-threatening situation of an internal bleed and possible spine fracture. Nurse Heintzman did not take Mr Aslin's temperature initially. It seems apparent that she was distracted by what she regarded as requiring her more urgent attention, including obtaining a history, taking Mr Aslin's blood pressure and pulse and helping Dr Otto set up the intravenous lines and a catheter. It also seems clear that a nurse is expected to report any unusual vital signs to the attending doctor. If this is not done, the doctor would not be expected to know of any unusual vital signs until he or she reviewed the nurse's notes.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When Dr Otto did discover that no temperature had been taken he asked nurse Heintzman to take it and it was done, albeit after some delay. Dr Otto is not vicariously responsible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nurse Heintzman. He is not her employer. He was entitled to rely on her to take vital signs, including temperature, unless the circumstances should have alerted him to a particular need to ascertain temperature.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Was Dr Otto negligent in failing to consider the possibility that Mr Aslin was suffering from hypothermia when he first examined him and that his temperature should be taken?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suggested that Dr Otto's knowledge of the North and the possibility of prolonged exposure in the woods leading to hypothermia should have led him to suspect Mr Aslin was suffering from it. It is notable however, that the two sets of ambulance attendants who transported Mr Aslin to Stewart, did not suspect he was suffering from hypothermia. Dr Otto's attention was focused on the reported abdominal crush injury and his examination of Mr Aslin led him to the further possible diagnosis of a fractured spine. He regarded the "surgical abdomen" as life-threatening and was concerned to do everything possible to alleviate this problem. It was clear that Mr Aslin had to be taken by MediVac out of Stewart. These were the problems that pre-occupied Dr Otto.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Otto had had only one experience with hypothermia and that was some years earlier when an Inuit woman had been exposed throughout the night to temperatures reaching minus 35 [degrees] C. This was obviously a different case from that of Mr Aslin, who although exposed for a long time, had not been exposed in low temperature. I do not fault Dr Otto for not having had Mr Aslin's temperature taken earlier than it was. I accept his evidence including his statement that nothing about his examination of Mr Aslin alerted him to the possibility of hypothermia. My view of Dr Otto is that he is a dedicated, conscientious doctor who on this occasion did his best to treat his patient within the limits of his knowledge and capabilities. When he discovered that his patient was suffering from hypothermia, he took steps to try and remedy it. Doctors Ip and Bruehler gave evidence that Dr Otto had conformed to a reasonable standard of care in his assessment of Mr Aslin and I find that the plaintiff has not proved the contrary on a balance of probabilities.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first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This is the second trial of this case. The first trial ended when the presiding judge withdrew the case from the jury. The matter went to appeal where a new trial was ordered. It was observed in the Court of Appeal that failure to take temperature was a "serious omission" and I have been asked to hold that that comment in the Court of Appeal binds me to find the plaintiff negligent in failing to obtain Mr Aslin's temperature earlier than was done. I decline to do so. I do not consider the comment in the Court of Appeal a finding of fact that binds me. The Court of Appeal ordered a new trial of all issues under Rule 27(1) of the Court of Appeal Act. That meant the parties were entitled to proceed as if the case had not been tried before: see Bartlett v. Nova Scotia Steel Co. </w:t>
      </w:r>
      <w:hyperlink r:id="rId88" w:history="1">
        <w:r>
          <w:rPr>
            <w:rFonts w:ascii="arial" w:eastAsia="arial" w:hAnsi="arial" w:cs="arial"/>
            <w:i/>
            <w:color w:val="0077CC"/>
            <w:sz w:val="20"/>
            <w:u w:val="single"/>
            <w:shd w:val="clear" w:color="auto" w:fill="FFFFFF"/>
            <w:lang w:val="en-US" w:eastAsia="en-US" w:bidi="ar-SA"/>
          </w:rPr>
          <w:t>(1907), 38 S.C.R. 336</w:t>
        </w:r>
      </w:hyperlink>
      <w:r>
        <w:rPr>
          <w:rFonts w:ascii="arial" w:eastAsia="arial" w:hAnsi="arial" w:cs="arial"/>
          <w:color w:val="000000"/>
          <w:sz w:val="20"/>
          <w:lang w:val="en-US" w:eastAsia="en-US" w:bidi="ar-SA"/>
        </w:rPr>
        <w:t xml:space="preserve"> at 338.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unaware, of course, what evidence was led at the first trial. On the evidence before me, if there was a serious omission to take temperature earlier than it was taken, the omission was that of nurse Heintzman. Dr Otto, on learning that no temperature had been taken, took immediate steps to have it obtained and it was. As I have said, I do not fault Dr Otto for not seeing that Mr Aslin's temperature was taken earlier.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Did Dr Otto fail to take appropriate steps once he diagnosed hypothermia?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says that once hypothermia was diagnosed, Dr Otto should have infused warmed I.V. fluids, applied hot packs, increased the room temperature, given Mr Aslin warmed oxygen and covered him in hot towels and blankets.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may have been the ideal treatment, but I find it was not practicable in the circumstances. I find that Dr Otto's treatment of Mr Aslin, once he made the diagnosis of hypothermia, was reasonable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not altogether clear to me that Dr Otto could reasonably have been able to warm I.V. fluid in the Pink Apartments before infusing it. The method suggested by the plaintiff's expert, was to have the line from the suspended I.V. plastic bag pass through a bucket of warm water. But the evidence was that there were no I.V. line extensions in the Pink Apartments, so that passing the normal length of I.V. line through a bucket of warm water might not have been practical. In addition, controlling the temperature of cooling water might have been difficult in the circumstances Dr Otto and his nurse found themselves in, when after assessment and setting up the I.V. bags, Mr Aslin was moved to the dark x-ray room for an extensive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have similar concerns about controlling the temperature of the I.V. bags if they had been able to be warmed to 40 [degrees] C in some way. The plaintiff suggests the I.V. plastic bags could have been warmed in a microwave oven or in hot water. But it is difficult to see how their inside temperature could have been measured. There was evidence that infusing with too-warm fluid is dangerous.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Otto did apply hot packs brought from the ambulance and covered Mr Aslin with warmed towels as best he could. Dr. Otto was criticized for not providing warmed oxygen to Mr Aslin, but the means for doing so were not available. I also consider that the use of hot wet towels, as opposed to hot towels which were applied, somewhat impractical in the circumstances. Furthermore, Dr Ip said he had abandoned this practice because rapidly cooling wet towels, while adding warmth for a very short time, can themselves contribute to hypothermia.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consider the situation well summarized in the report of Dr Bruehler, a general practitioner in Northern B.C.</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Once the diagnosis of hypothermia was reached by Dr Otto, what possible modalities of treatment were available and given the circumstances, did Dr Otto proceed to treat the patient in an acceptable manner?</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Again I believe that his treatment was acceptable. Hypothermia is not a commonly occurring condition and therefore any general practitioner, even someone practicing in the North or in an isolated community, would not have a great deal of experience with this. Because the hospital was in temporary quarters, this made it even more difficult for Dr Otto. He placed hot packs on Mr Aslin's body and used warm blankets on him. He had no good facilities available to warm up intravenous fluids. He asked the ambulance attendants to have the heat in the ambulance turned up. As far as warm peritoneal lavage is concerned, most general practitioners have had no special training in this. It is a procedure that has its risks and complications and I would not have attempted it, just as Dr Otto did not attempt it. </w:t>
      </w:r>
      <w:r>
        <w:rPr>
          <w:rFonts w:ascii="arial" w:eastAsia="arial" w:hAnsi="arial" w:cs="arial"/>
          <w:color w:val="000000"/>
          <w:sz w:val="20"/>
          <w:u w:val="single"/>
          <w:lang w:val="en-US" w:eastAsia="en-US" w:bidi="ar-SA"/>
        </w:rPr>
        <w:t>The practical reality of the situation was that he had limited techniques available to him in an inadequate facility and like most general practitioners, he did not have extensive knowledge of the treatment of hypothermia.</w:t>
      </w: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conclusion, I find that the assessment and treatment of Mr Aslin by Dr Otto did not fall below the standard of a prudent and diligent doctor in the same circumstances.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Assuming it was negligent not to have taken the temperature when Mr Aslin was admitted to Stewart Hospital, did such failure cause or contribute to his death?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Although I have concluded that Dr Otto was not negligent in his diagnosis or treatment of Mr Aslin, but rather met a reasonable standard of care, I consider I should deal with an issue that occupied a great deal of time at the trial. That issue concerns the consequences of diagnosing hypothermia an hour or so earlier than it was. Expert opinion on this issue often conflicted and was occasionally difficult to follow. At the end of the day, I am not satisfied the plaintiff has proved that if Mr Aslin's hypothermia had been discovered earlier than it was, available treatment would probably have saved his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principal expert was Dr Giesbrecht. He is a widely accepted authority on the effects of hypothermia as seen in a laboratory setting. He is not a medical doctor. He is a professor who teaches and conducts research at the Department of Anaesthesia and the Faculty of Physical Education and Recreation Studies at the University of Manitoba. He gave evidence of the effect of using warmed I.V. fluid, rather than room temperature I.V. fluid. His conclusion was that if warmed I.V. fluid had been used shortly after Mr Aslin's admission, assuming his hypothermia had been diagnosed then, and if other external warming measures had been taken, Mr Aslin's temperature would have increased by at least 1 [degrees] C and he would have survived the ambulance trip to Terrace.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have some concerns about Dr Giesbrecht's evidence. In his first report he gave the opinion that there was a fine line which a hypothermic individual crosses between moderate hypothermia "which is easily corrected" and severe hypothermia "which can rapidly result in death". The defendant's expert, Dr Morrison, disputed this and I accept his opinion at page 3 of his report (Exhibit 6 Tab 1) where he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Rather there is a gradual change in the condition of the hypothermic person which worsens from 35 [degrees] C down to 25 [degrees] C and below. There is no magic "line" or sudden change in condition peculiar to 30 [degrees] C. At any temperature below 34 [degrees] C the individual is at risk and the degree of risk increases with declining temperature.</w:t>
      </w:r>
    </w:p>
    <w:p>
      <w:pPr>
        <w:spacing w:before="120" w:line="260" w:lineRule="atLeast"/>
        <w:ind w:left="720"/>
        <w:rPr>
          <w:lang w:val="en-US" w:eastAsia="en-US" w:bidi="ar-SA"/>
        </w:rPr>
      </w:pPr>
      <w:r>
        <w:rPr>
          <w:rFonts w:ascii="arial" w:eastAsia="arial" w:hAnsi="arial" w:cs="arial"/>
          <w:color w:val="000000"/>
          <w:sz w:val="20"/>
          <w:u w:val="single"/>
          <w:lang w:val="en-US" w:eastAsia="en-US" w:bidi="ar-SA"/>
        </w:rPr>
        <w:t>Thus a change in temperature of one degree centigrade is unlikely to move a hypothermic individual from a state of low risk, which is easily corrected, to a state of extreme risk (i.e. a condition which can rapidly result in death)</w:t>
      </w: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At any core temperature the degree of risk will depend on several factors including the duration of hypothermic exposure, the state of the individual (e.g., presence of other injuries), and the facilities available re warming.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first report Dr Giesbrecht said the fine line between moderate and severe hypothermia occurred at 30 [degrees] C. In his second report, Dr Giesbrecht said that after a meeting with other experts in 1999 the dividing line between moderate and severe hypothermia was thought to be 28 [degrees] C. He said the danger point was reached when the body was no longer able to produce its own heat so that the core temperature would continue to decrease. I was left with the impression however, that from his evidence, that danger point was still, he thought, at 30 [degrees] C when a patient would lose consciousness and stop shivering. I found this aspect of Dr Giesbrecht's evidence somewhat confusing.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Giesbrecht made assumptions in coming to his first opinion concerning Mr Aslin's condition. He said he concluded that his core temperature remained static or even decreased in hospital, because his condition had deteriorated. Symptoms of this were the lack of a strong hand grip and mental confusion. The basis for the lack of strong hand grip was the fact that Mr Aslin apparently did not sign the admission form when he came into hospital, but on the evidence this is explicable on other grounds. Mr Leeson, a friend of Mr Aslin, said that Mr Aslin was conscious and "with it" when he was in the hospital, which seems to contradict the impression Dr Giesbrecht had gained about Mr Aslin's mental state.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From the time of the accident at about 2:30 p.m. until 2:00 a.m. the next morning, Mr Aslin's temperature dropped from a presumed 37 [degrees] C (the body's normal temperature) to 30 [degrees] C. This was a drop of seven degrees over 11 1/2 hours or about .6 [degrees] C per hour if his temperature dropped at the same rate. But there was no evidence of the actual rate. I heard evidence that Mr Aslin's core temperature would drop substantially after he had started his journey to Terrace, which suggests a varying rate of temperature decrease. There was no evidence of the rate Mr Aslin's temperature was dropping before his first ambulance trip, during the ambulance journey to Stewart, nor while he was at Stewart. This information might surely be relevant in trying to assess what effect earlier warming measures might have had.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Aslin was noted to be shivering at about 2:00 a.m. (not on admission as Dr Giesbrecht assumed in his first report). Shivering I am told, is the body's means of creating internal heat. Shivering ceases at around 30 [degrees] C and below. If Mr Aslin had not been shivering before about 2:00 a.m. it might mean that his temperature had increased in the Stewart hospital. No note of any earlier shivering was made. Neither Dr Otto nor his nurse has any recollection of it. Again, the lack of any information about what Mr Aslin's temperature was at any time before 2:00 a.m. makes the amount that his temperature may have been increased by warming little more than guess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Furthermore, Mr Aslin's rectal temperature, at about 2:00 was 30 [degrees] C. Dr Giesbrecht's calculations are based on this. His own research results were based on the more accurate core temperature taken in the esophagus at the level of the heart. But there is a lag between rectal and esophageal temperature, perhaps by as much as several degrees. Mr Aslin's true core temperature, i.e. the temperature of his heart, could thus have been much lower at 2:00 a.m. and perhaps by several degrees. There is also a possibility that the rectal temperature itself was inaccurate as the thermometer used was not as long as the most accurate rectal thermometers.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Increasing temperature by using 40 [degrees] I.V. fluids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Evidence was given by Dr Giesbrecht about the effect on body temperature of administering I.V. fluids of either 20 [degrees] C or 40 [degrees] C. There is no doubt that the infusion of warmed I.V. fluid is a recognized treatment for hypothermia. Dr Otto had infused two litres of unwarmed (room temperature) I.V. fluid by about 2:00 a.m. Thereafter the unwarmed I.V. fluid was infused at a slow rate of 250 ml. per hour continuing in the ambulance.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Giesbrecht gave evidence that Mr Aslin's temperature would drop by the infusion of unwarmed I.V. fluid. It would be raised by the infusion of warmed I.V. fluid. In his first report dated 6 November 1998, Dr Giesbrecht calculated that the infusion of two litres of 20 [degrees]C I.V. fluid would decrease temperature by 0.3 [degrees] C or 0.6 [degrees] C, depending on the body mass that was "perfused" by the fluid. In this context, I understand "perfused" to mean "affected by the fluid". Thus the smaller the area perfused, the greater the affect of the fluid. Dr Giesbrecht considered that as Mr Aslin's "extremities were poorly perfused, if at all", because of his hypothermia, 50% of his body mass only would be perfused. Accordingly, his temperature would be decreased by 0.6 [degrees] C. The effect of infusing 40 [degrees]C I.V. fluid would be to increase Mr Aslin's temperature by 0.4 [degrees] C in view of his hypothermia. Mr Aslin's temperature was accordingly one degree less (i.e. .6 [degrees]C + .4 [degrees]C) than it would have been, if, instead of two litres of unwarmed I.V. fluid, he had been given the same amount of warmed fluid.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report, Dr Morrison responds to Dr Giesbrecht by giving his opinion that if Mr Aslin's temperature had been one degree higher at 2:00 p.m., he would still have likely died on the journey to Terrace, albeit later than he did. In his second report, Dr Giesrecht refers to a 1999 experiment to support his revised view that the infusion of 20 [degrees]C I.V. fluid would have effectively perfused, not 50%, but about 35% of Mr Aslin's body mass. This is then calculated to result in a "lowering of core temperature by approximately 0.9 [degrees] C, rather than 0.6 [degrees] C as earlier estimated". Dr Giesbrecht concludes that Mr Aslin's core temperature could have been increased by as much as 1.5 [degrees] C if warm I.V. fluids had been applied after admission. Considering a decrease in temperature of 1.8 [degrees]C, by infusing room temperature fluid, the potential of adding 1.5 [degrees]C by infusing warmed fluid, plus adding .3 [degrees]C by applying external warming, Dr. Giesbrecht concluded Mr Aslin's temperature could have increased by as much as 3.6 [degrees] 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Morrison was critical of Dr Giesbrecht's revised opinion, pointing out that it was based on an experiment that was not confirmed by two other earlier research experiments. I also note that Dr Giesbrecht's research was not based on the infusion of I.V. fluids, but the immersion in warm water of the limbs of subjects in a laboratory setting who, (understandably) had not been cooled to the extent Mr Aslin had. Furthermore, it is apparent from the evidence that individuals have different abilities to react and survive extremes of heat and cold, perhaps more particularly when they are suffering from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Giesbrecht's evidence does not persuade me to what extent Mr Aslin's temperature could probably have been raised with warmed I.V. fluid. Furthermore, Dr. Giesbrecht's calculations presupposed that Dr Otto should have started warming procedures shortly after admission, but if the hospital thermometer was unreliable or broken, as was the evidence of nurse Heintzman, then the only means of taking temperature was the thermometer in the ambulance, which did not return to the hospital until 1:50 a.m. If Mr Aslin's temperature could not have been taken until sometime after 1:50 a.m. Dr Giesbrecht's calculations have to be revised adversely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are other problems with the evidence of the effect of infusing warmed fluid on the eventual outcome. I was impressed with the evidence of Dr Ip, who has had considerable experience treating patients with vaso-constricted peripheries resulting from trauma, diabetes and hypothermia. Dr Ip's evidence was that volumes of warm I.V. fluid do not change core temperature significantly. He said that "You hardly see changes of temperature by infusing two or four litres of warmed I.V. fluid". He said the results of a controlled experiment do not translate in "real life" situations. In his experience the infusion of four or five litres of 42 [degrees] C fluid might produce changes of .2 to .5 [degrees] C per hour. Dr Ip said he could not translate two litres of warm fluid as increasing temperature by .6 [degrees] C "in real practice".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Increasing temperature by external warming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criticized Dr Otto for failing to apply heat warming measures earlier than he did. What would have been the probable result of applying external warming for about an hour or so earlier than was done? Dr Giesbrecht believes that such warming would have increased Mr Aslin's temperature by .3 [degrees] C. Dr Bristow suggests an increase of one degree centigrade and Dr Zafren "at least one degree centigrade".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For reasons I have already given, I find no reliable proof of the effect of the application of earlier external warming. I assume that starting external warming measures an hour or so earlier than they were, would have had some effect, but whether they would have changed the outcome or whether their absence contributed to Mr Aslin's death, I am quite unable to determine.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short, while there can be no doubt about Dr Giesbrecht's expertise as a researcher, I am unable to translate his evidence as proof that Mr Aslin would probably have survived if his hypothermia had been diagnosed on admission and he had been infused with warmed I.V. fluid and given external warming.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His evidence leaves me with too many questions and uncertainties. There seems to be no doubt that taking internal and external warming measures shortly after admission would have increased Mr. Aslin's core temperature, but by how much and with what ultimate effect has not for me, reached the level of probable proof.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administration of Demerol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Otto was criticized for prescribing Demerol to alleviate Mr Aslin's pain. There was no clear evidence about when this medication was ordered or administered. There was expert evidence, which I accept, that Demerol should not be given to a hypothermic patient. But as there was no evidence that this was done after Mr Aslin's hypothermia was discovered, I cannot find Dr Otto at fault. In any event, I would be quite unable to determine what the consequences might have been.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find the steps taken by Dr Otto on the evening in question to satisfy a reasonable standard of care in the circumstances. If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in failing to discover Mr Aslin's hypothermia earlier than he did, then I find that the plaintiff has not proved on a balance of probabilities that available steps that could have been taken earlier than they were would have changed the tragic outcome.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Accordingly I must dismiss the plaintiff's claim, with costs if sought by the defendant.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CATLIFF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Belitchev v. Grigorov, [2000] B.C.J. No. 999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Preston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19 - 23, 26 - 30, May 3, 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15 - 18, August 23 and 24,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B961139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999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765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183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CarswellBC 1046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Eroslav Belitchev, plaintiff, and Valentin Grigorov, Elka Jovanovic, Her Majesty the Queen in Right of the Province of British Columbia (Provincial Ministry of Transportation and Highways) and Emcon Services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2"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 w:name="Keywords_5"/>
      <w:bookmarkEnd w:id="39"/>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Standard of care, particular persons and relationships — Contractors — Maintenance of streets and highways.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 w:name="Case Summary_5"/>
            <w:bookmarkEnd w:id="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Belitchev against the defendants Emcon Services and the provincial Crown for damages sustained in a motor vehicle accident. Belitchev was a passenger in a vehicle driven by Grigorov. Grigorov lost control of his vehicle on an icy patch of road. Belitchev was injured and became a quadriplegic. Emcon contracted with the Crown to maintain the highway portion where the accident occurred. Emcon's employee followed its patrol routine. He patrolled the highway more frequently than was required by the contract. When he last passed over the accident site there was no ice on the highway. Subsequently, a sudden clearing of the clouds in the area of the accident resulted in the formation of black ice on the road surface. The employee carefully followed weather conditions. The ice formation was not predicted by the forecast. The temperature was five degrees Celsius and was steady or rising. It formed in the area of the accident scene at the same time or before it formed at other locations that were more prone to early icing conditions. When the employee learned of the icy conditions, he responded promptly. Belitchev did not intend to establish independent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Crown. The focus of the enquiry was whether Emcon was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1" w:name="Holdings of Court_5"/>
            <w:bookmarkEnd w:id="4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Neither Emcon or the Crown were liable for Belitchev injuries. The ice formation was not reasonably foreseeable. Emcon was not negligent. It properly performed its duties.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 w:name="Counsel_5"/>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3"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S.B. Margolis and M.I. Burgar, for the plaintiff. M. Adlem and A. Ross, for the defendant, Emcom Services Inc. D.W. Thompson, for the defendant, Her Majesty the Queen in Right of the Province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3" w:name="Judgment_5"/>
      <w:bookmarkEnd w:id="43"/>
      <w:r>
        <w:pict>
          <v:line id="_x0000_s1054" style="position:absolute;z-index:2517667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4" w:name="PRESTON J."/>
            <w:bookmarkEnd w:id="44"/>
            <w:r>
              <w:rPr>
                <w:rFonts w:ascii="arial" w:eastAsia="arial" w:hAnsi="arial" w:cs="arial"/>
                <w:b/>
                <w:color w:val="000000"/>
                <w:sz w:val="30"/>
                <w:lang w:val="en-US" w:eastAsia="en-US" w:bidi="ar-SA"/>
              </w:rPr>
              <w:t>PRESTON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Eroslav Belitchev, was injured in a motor vehicle accident on the Trans-Canada Highway near Chase, British Columbia on March 10, 1995. He was the sole passenger in a van driven by the defendant Valentin Grigorov. Mr. Grigorov lost control of the van on an icy corner and it left the road. It struck a telephone pole and partially ejected Mr. Belitchev through the passenger's side window. Mr. Belitchev's chest and lower body were pinned under the vehicle. As a result of the injuries he received, Mr. Belitchev is a quadriplegic.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Belitchev brought this action against the owner and lessee of the vehicle and against the highways maintenance contractor, Emcon Services Inc. ("Emcon"), and Her Majesty the Queen in Right of British Columbia (the "Crown"). Emcon had the responsibility pursuant to a contract with the Crown for maintaining the stretch of highway upon which the accident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Belitchev settled his claims against the owner and driver. These reasons for judgment deal with the trial of his action against the remaining two defendants, Emcon and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primary issue is whether Emcon's employees should reasonably have foreseen that ice might form on the roadway at the material time and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early morning of March 10, 1995, Mr. Belitchev and Mr. Grigorov were travelling from Vancouver to Calgary along the Trans-Canada Highway in a 1993 Ford Aerostar van. Mr. Grigorov testified that he was driving at 85-90 kilometres per hour as he proceeded east from the town of Chase to the accident scene. The road signs that Mr. Grigorov confronted as he proceeded east from Chase were: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Maximum 90 km/h speed limit;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"Frost Warning - Curves Ahead May be Slippery";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sign indicating a curve to the left followed by a curve to the right and a suggested speed of 70 km/h, approximately 3 kilometres before the accident scene.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slippery road sign consisting of a vehicle with wavy lines below the wheels, also approximately 3 kilometres before the accident scene.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sign indicating a curve to the right followed by a curve to the left. It was in this curve that the accident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Mr. Grigorov negotiated the right hand corner he lost control of the van. The van left the roadway on the north side of the road, struck a telephone pole and rolled onto the passenger's side of the vehicle. In the course of the collision with the pole and subsequent rollover, Mr. Belitchev's upper body was ejected through the passenger's side window and his lower chest and lower body were trapped beneath the van. He was not wearing a seat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were no other accidents on that stretch of highway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first person to arrive at the accident scene was Constable Stubbs who was en route to a domestic dispute. He said that he felt that the roadway was slippery as he approached the accident scene from the east at 4:05 a.m. He said he could see reflections off the highway indicating some kind of ice before the accident scene. He saw the Grigorov vehicle off the road on its side in the right hand ditch. He noticed that the highway was slippery when he got out of his vehicle. He called the ambulance service and the highways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ambulance personnel, Mr. Preston and Ms. Gibson, were the next to arrive. They were paged at 4:08 a.m. and arrived at the accident scene at 4:25 p.m. Ms. Gibson drove the ambulance east from Chase. She said that she noticed that the highway was "a little slippery" and that it was shiny in the headlights. She noticed that the ambulance "fishtailed" on acceleration and she nearly slipped and fell when she stepped out of the ambulance. Her evidence about the road conditions was more reliable than that of Mr. Preston. He testified that the roadway at the accident scene was "like a skating rink" and that the ambulance slid for "perhaps 50 feet" before coming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Steve Belleau was a member of the R.C.M.P. stationed in Chase, British Columbia at the time of the accident. He was on duty in Chase from 4:00 p.m. March 9 to 2:00 a.m. March 10, 1995. He was contacted by plaintiff's counsel in April of 1999. He testified that he found the road conditions on the streets of Chase slippery when he went home shortly after 2:00 a.m. He also noticed that the skies were clear. Due to the time that had transpired between the accident and the details once more being brought to Mr. Belleau's attention, and because of his admission on cross-examination that he could be recalling conditions on a different day, I can place no reliance on Mr. Belleau's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Another former R.C.M.P. officer, Mr. Glen Vogstad, testified that he had driven over the stretch of highway on which the accident took place early in the morning of March 10, 1995. He was also contacted some years after the accident. He was stationed in Chase from May, 1994 to February, 1996. He testified that he left the detachment office at 3:00 a.m. on March 10, 1995. He would have driven through the curve on his way home at approximately 3:10 - 3:20 a.m. He heard about the accident the next morning from his wife who worked as a police dispatcher in Kamloops. He did not recall what the road conditions were at the time he drove through the corner but he stated that had he encountered slippery conditions, he would have advised the Kamloops dispatch office and ensured the Ministry of Transportation and Highways contractor was notified. He testified that it was possible to fail to notice black ice but that, usually, there are different tire sounds associated with driving on it. He was operating a vehicle with summer tires when he drove home that night. I considered that Mr. Vogstad's evidence was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Kevin Bentley has been employed by Emcon since 1994. He has been driving automobiles, commercial vehicles, and trucks on the highway and side roads in the Chase area since 1981. In the early morning of March 10, 1995, he was responsible for patrolling the stretch of highway on which the accident took place. He began his shift at midnight and was to work until 5:00 a.m. on March 10. The portion of the highway for which he had responsibility is 45 kilometres long. He began his work that night at the Emcon yard located approximately eight kilometres to the west of the accident scene. The easterly boundary of the portion of the highway he patrolled is approximately seven kilometres east of where the accident took place. The westerly boundary is some thirty-eight kilometres west of the accident scene. It took Mr. Bentley approximately one and one-half hours to make a complete circuit (covering all parts of the road twice). Mr. Bentley was driving a highways maintenance truck loaded with sand. It was equipped with a thermometer which measured the temperature of the air outside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Mr. Bentley came on shift at midnight he discussed the road conditions with two Emcon employees who had patrolled the roadway during the previous shift. Mr. Ross, one of the employees, told him that the temperature was steady at between 4 and 5 degrees Celsius. The highway surface was bare and wet. In addition to his own observations, Mr. Bentley relied upon what he learned from his fellow employees and what he read in the office about the temperature. He kept abreast of the newspaper and radio information. There is a thermometer in the Emcon yard to which the maintenance personnel can refer to determine the air temperature. In addition, there is a recording thermometer in the yard with a sensor placed 3 feet above ground level. Its purpose is to provide a permanent record of temperatures at that location. The temperature readings are recorded on a continuous recording device called a thermograph. At the relevant time, the paper on which the thermograph readings are recorded was not inserted properly in the machine. As a result, the times corresponding to the temperature readings must be corrected by 50 minutes. Therefore, 5:00 a.m. on the thermograph should be 4:10 a.m. The thermograph shows an upward trend in temperatures over the period March 8-11, 1995. After 11:00 a.m. March 8, air temperatures remained above freezing during the entire March 8-11 period. The thermograph discloses sharp fluctuations in temperature from shortly before 4:00 a.m. to shortly after 6:00 a.m. March 10. There is a smaller fluctuation evident in the readings at 10:10 p.m. March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Bentley, had worked the four days before the accident and was familiar with the weather pattern.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Kamloops Highways Region Weather Forecast for Thursday March 9, 1995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Synopsis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1PM A DEEP LOW PRESSURE CENTER LIES OFF THE WASHINGTON COAST WITH A COLD FRONT SOUTHWARD TO MEDFORD OREGON. A WARM FRONT EXTENDS NORTHEASTWARD TO VANCOUVER AND THEN SOUTHEASTWARD ALONG THE CASCADE MOUNTAINS. THE LOW PRESSURE CENTER WILL WEAKEN AND MOVE NORTHWARD TO NEAR THE QUEEN CHARLETTE ISLANDS. THE COLD FRONT WILL MOVE ACROSS THE SOUTERN (SIC) INTERIOR THIS EVENING AND INTO WESTERN ALBERTA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4 AM. MOIST SLIGHTLY UNSTABLE AIRMASS AHEAD OF THE FRONT BECOMING DRIER AND UNSTABLE WEST OF THE FRONT. FREEZING LEVEL NEAR 2000 METERS LOWERING TO NEAR 1500 METERS WEST OF THE COLD FRONT. THE FREEZING LEVEL WILL RISE TO NEAR 2000 METRES FRIDAY.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temperatures forecast for Chase were a low of 4 and a high of 12 degrees Celsius, moderate winds, no snowfall and freezing levels of 1,500 metres. The elevation of Chase and the roadway in the area of the accident is approximately 365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Bentley was not provided with the Kamloops Region Weather Forecast at the beginning of his shift. However, I am satisfied that the information contained in it would only have confirmed what he knew about the conditions from his other sources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well known to persons in the business of maintaining highways - and Mr. Bentley knew - that when temperatures are close to the freezing level and the skies are overcast, a clearing of the clouds can result in a drop in the temperature of the earth and the air immediately above it and the consequent formation of ice as a result of moisture from the cooled air being deposited on the cold earth.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Bentley travelled one complete circuit east from the Emcon yard in Chase to the easterly boundary of the patrol area and then back to the westerly boundary and the east again to the Emcon yard. He then travelled to the easterly boundary and stopped for approximately 30 minutes for lunch. During this time he inspected the cloud cover and determined that it remained overcast. Cloud covering is described using the convention that "overcast" means that 100% of the sky is covered by clouds; "broken" means between 60 and 90% of the sky is covered by clouds; "scattered" means between 10 and 50% of the sky is covered by clouds. He then travelled to the westerly boundary, turned around, and was on his way back toward the Emcon yard at Chase when he learned of the accident and its location on the 2-way radio. He was approximately 23 kilometres west of the accident. He proceeded to the accident scene. He noted white, frosty conditions on the highway approximately three kilometres before the accident scene. He applied sand and arrived at the accident scene at approximately 4:30 a.m. The highway was icy. He continued to sand, returning to the Emcon yard for more sand when he ran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contends that Mr. Bentley was negligent in three ways: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patrolled the area of the highway assigned to him in an erratic fashion;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drove over the icy conditions and failed to recognise and deal them;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failed to anticipate the icy conditions when he reasonably should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unable to find that Mr. Bentley performed his patrols in an unusual manner. It took Mr. Bentley approximately 90 minutes to travel one complete circuit of the section of roadway that he was required to patrol. This is a rough estimate of the time involved and does not account for alterations due to traffic, minor interruptions such as stopping to remove rocks from the road, stopping to inspect road conditions more closely than can be done from the cab of a moving truck, and stopping for lunch. Plaintiff's counsel attempted to confine Mr. Bentley to a strict 90 minute circuit in order to show that he could not have been where he said he was at the time the accident was reported to him or that there was some unexplained gap in his coverage of the route. I am satisfied that this was an arid exercise. Mr. Bentley cannot remember to the minute each circuit of the route on the night that the accident took place. I do not find any unexplained gap in Mr. Bentley's coverage of the route that night. I accept that Mr. Bentley was where he said he was when he learned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corner upon which the accident took place is not bracketed by signs indicating slippery conditions because ice generally forms on other parts of the road before it does so in the corner where the accident occurred. Mr. Bentley observed that two bridges between the Emcon yard and the accident scene usually provide early warnings of icy conditions because ice forms on their decks before the surrounding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contention that Mr. Bentley drove over icy conditions and failed to recognise them and deal with them would require me to conclude that Mr. Bentley is not telling the truth about his recollection or that he failed to notice that the highway was icy. Mr. Bentley testified that there are a number of things that he looks for in order to determine whether the roads are icy. He determines if the roadway is wet. He can tell from the spray thrown up by other vehicles whether there is water on the road. He monitors the condition of the sky. He monitors the temperature. He looks to see if the roadway is shiny in the headlights of his vehicle and oncoming vehicles. He assesses the traction of his own vehicle. He has lived and worked in the Chase area driving vehicles all his adult life. I formed the impression over the course of a long period of direct and cross-examination that Mr. Bentley was a careful and conscientious man. I am satisfied that his evidence was truthful. If there was ice on the road during the course of Mr. Bentley's patrols, I am satisfied that he would have observed it and dealt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the ice that formed in the corner and contributed to the accident in which the plaintiff was involved formed after Mr. Bentley's last pass over that section of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Most of the evidence respecting liability dealt with the plaintiff's third contention: that Mr. Bentley should reasonably have anticipated the icy conditions on the highway where the accident took place. The plaintiff led the evidence of Mr. Nikleva, a highly experienced meteorologist, who was Chief of Scientific Services Division, Atmospheric Environment Service, Environment Canada from 1975 to 1984. For the past ten years he has been employed as a consulting meteorologist and as a sessional lecturer in the Faculty of Geography at the University of British Columbia. Mr. Nikleva concluded it was likely that freezing conditions occurred at 11:00 p.m. on March 9, 1995. In his opinion, radiational cooling was already beginning at 6:00 p.m. on March 9 due to a thinning of the cloud layer. Mr. Nikleva said (report p.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Thursday, March 9, from 6PM to 11PM, the temperatures at screen level remained steady at 4C as slightly warmer air moved over the area following the passage of the frontal system that had brought rain to the area earlier. However, at the same time, radiational cooling was occurring at the earth's surface. The air above the earth's surface would have been warmer than the air adjacent to the ground surface. During the evening, the air near the ground would have been cooled from below from radiational cooling, and this cooling would have gradually affected a deeper layer of the atmosphere.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cooled layer became 1.5m thick [Mr. Nikleva assumed that the temperature sensors were located 1.5m above ground level] the temperature at screen level would begin to show a decrease in temperature. From the thermographic record, it appears that this occurred at 11PM [Mr. Nikleva was not aware at the time he prepared his report that the Emcon thermograph had a 50 minute error] on Thursday March 9, with the temperature at screen level lowering from 4C to 3C. As will be seen later, this is supported by a similar lowering of the temperature at Salmon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Nikleva concluded that it was "very likely" that the water temperature on the highway surface was cooled to the freezing point at 11:00 p.m. on March 9. Adjusting this conclusion for the thermograph error, he expected icy conditions after 10:10 on March 9. He also concluded that the icy conditions had "very likely" remained until the time of the accident at 4:00 a.m.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was (correctly) pointed out during cross-examination that there was no evidence of icy conditions on the highway late in the evening of March 9 and much evidence to the contrary. During the course of cross-examination Mr. Nikleva abandoned his theory of ice formation at 10:10 p.m. He reverted to a theory of widespread cloud clearing at 1:00 a.m. to 2:00 a.m. on March 10. Mr. Nikleva's theory is inconsistent with the observation by Mr. Bentley that the sky was overcast some time after 2:00 p.m. when he took his lunch and examined the sky conditions. It is inconsistent with the evidence of Mr. Becker, an Emcon employee, who made and recorded a cloud cover observation at the Emcon yard at 5:10 a.m. on March 10. He observed that the cloud cover was "broken" (60-90% covered by cloud).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Nikleva's analysis was based on a "synoptic" analysis - a general view of weather conditions. It became apparent that he placed excessive reliance on a one-degree drop in the temperature at the Emcon yard at 10:10 on March 9 and was selective in his reliance upon other data, particularly the local cloud cover observations. Mr. Nikleva spent approximately two weeks of eight-hour days in the construction of his report. He had the benefit of extensive meteorological records and the advantage of hindsight. The burden of his conclusion was that the potential for ice forming on the highway should have been apparent to Mr. Bentley.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Emcon relied upon the evidence of Dr. Andrew Weaver, a professor in the School of Earth and Ocean Sciences at the University of Victoria. Dr. Weaver is a highly-qualified and distinguished meteorologist. Not surprisingly, Dr. Weaver and Mr. Nikleva agreed upon many of the basic factors that are relevant to an analysis of radiational cooling and the formation of ice on highways. The essential difference in their approach was the significance of changes in very local conditions or microclimates. Mr. Nikleva postulated widespread radiational cooling over a prolonged period leading to the formation of ice on the highway. Dr. Weaver disagrees. He attributes the cooling and ice formation to a rapid break up of overhead cloud during a general warming trend. He said (1st report p.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earlier, I disagreed that radiational cooling was the dominant process involved in causing temperatures to change while there was still cloud present. I am convinced, however, that the ice which did form on the road at the time of the accident was caused by radiational cooling associated with a break up of overhead cloud 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Later in the same report he expanded on his description of this process (p.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rapid cooling that would arise following the break up of overhead cloud coverage (and the perturbation of the road surface away from radiative equilibrium with the cloud) would cool the road surface and the air in contact with it causing the deposition of dew. As the surface cooled further the existing water and dew on the road would freeze. As it cooled further still, a layer of frost would be deposited on the road. Due to the proximity of the accident site of Little Shuswap Lake, ample moisture would be available for this process to occur. The process described in this paragraph could easily happen within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Earlier in his report, Dr. Weaver commented on the difficulty which would attend the observation of the break up of cloud cover during hours of darkness (p.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know where the moon was in the sky that evening but I doubt very much whether it would be possible to accurately observe a breakup from overcast (100%) to Broken (60-90%) conditions in the middle of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summary, Mr. Nikleva was of the opinion that the icy conditions were part of an overall trend that should have been noticed. Dr. Weaver attributed the icy conditions to a relatively rapid and difficult-to-notice break up of the cloud cover at a time when the existing conditions were above freezing, the forecast was for above-freezing conditions, and the general trend in the temperature was upwards. Dr. Weaver's analysis accords with the independent evidence and Mr. Bentley's testimony concerning his observations -- Mr. Nikleva's does not. I am satisfied that Dr. Weaver's analysis is the correct one. I found his evidence reliable. I was impressed with the care with which he approached his analysis and by the caution which he exercised when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DUTY AND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Just v. British Columbia </w:t>
      </w:r>
      <w:hyperlink r:id="rId96" w:history="1">
        <w:r>
          <w:rPr>
            <w:rFonts w:ascii="arial" w:eastAsia="arial" w:hAnsi="arial" w:cs="arial"/>
            <w:i/>
            <w:color w:val="0077CC"/>
            <w:sz w:val="20"/>
            <w:u w:val="single"/>
            <w:shd w:val="clear" w:color="auto" w:fill="FFFFFF"/>
            <w:lang w:val="en-US" w:eastAsia="en-US" w:bidi="ar-SA"/>
          </w:rPr>
          <w:t>(1989), 64 D.L.R. (4th) 689</w:t>
        </w:r>
      </w:hyperlink>
      <w:r>
        <w:rPr>
          <w:rFonts w:ascii="arial" w:eastAsia="arial" w:hAnsi="arial" w:cs="arial"/>
          <w:color w:val="000000"/>
          <w:sz w:val="20"/>
          <w:lang w:val="en-US" w:eastAsia="en-US" w:bidi="ar-SA"/>
        </w:rPr>
        <w:t xml:space="preserve"> (S.C.C.), Mr. Justice Cory, speaking for the majority of the court, dealt with the duty of care owed to users of highways as follows (p. 701):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appear that apart from some specific exemption, arising from a statutory provision or established common law principle, a duty of care was owed by the province to those that use its highways. That duty of care would extend ordinarily to reasonable maintenance of those roads. The appellant as a user of the highway was certainly in sufficient proximity to the respondent to come within the purview of that duty of care. In this case it can be said that it would be eminently reasonable for the appellant as user of the highway to expect that it would be reasonably maintained. For the Department of Highways it would be a readily foreseeable risk that harm might befall users of a highway if it were not reasonably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Just, a rock fell on an automobile stopped on the highway from a cliff abutting the highway and seriously injured the driver of a vehicle and killed his daughter who was a passenger. At trial and in the Court of Appeal the plaintiff's action failed because the system of inspection in place was found to constitute a "policy" decision of the Department of Highways and thus a matter for the government, not the courts. Mr. Justice Cory found that the operational decisions challenged by the plaintiff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manifestations of the implementation of the policy decision to inspect and were operational in nature. As such, they were subject to review by the court to determine whether the respondent had been negligent or had satisfied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 case before me, the inspection of the highway on which the accident took place was contracted out by the Ministry of Transportation and Highways to Emcon. The responsibilities of Emcon to the government are the subject of a detailed contract. The duty of the Crown to maintain the highways is a non-delegable duty: Lewis v. British Columbia, </w:t>
      </w:r>
      <w:hyperlink r:id="rId97"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xml:space="preserve">. The position of the Ministry of Transportation and Highways in this case is that Emcon discharged its duty to maintain the highway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there is no evidence which would support an allegation of independent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Ministry of Transportation and Highways. The plaintiff did not seek to establish independent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Crown. There is no evidence before me that would support such an allegation. Accordingly, the focus of the enquiry is whether or not Emcon was negligent in carrying out its obligation to maintain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duty of Emcon to users of the highway is confined to carrying out the contractual duties under its maintenance contract with the Crown. The contract sets operational standards with which Emcon must comply. The standards are set by the Crown as a matter of policy and define the manner in which the maintenance of the highway must be carried out. The standards themselves are not subject to review by the court because they have been established by the Crown as a matter of policy. However, the manner in which Emcon carried out its contractual duties is subject to scrutiny. In Holbrook v. Argo Road Maintenance Inc. et al, </w:t>
      </w:r>
      <w:hyperlink r:id="rId98" w:history="1">
        <w:r>
          <w:rPr>
            <w:rFonts w:ascii="arial" w:eastAsia="arial" w:hAnsi="arial" w:cs="arial"/>
            <w:i/>
            <w:color w:val="0077CC"/>
            <w:sz w:val="20"/>
            <w:u w:val="single"/>
            <w:shd w:val="clear" w:color="auto" w:fill="FFFFFF"/>
            <w:lang w:val="en-US" w:eastAsia="en-US" w:bidi="ar-SA"/>
          </w:rPr>
          <w:t>[1996] B.C.J. No. 1855</w:t>
        </w:r>
      </w:hyperlink>
      <w:r>
        <w:rPr>
          <w:rFonts w:ascii="arial" w:eastAsia="arial" w:hAnsi="arial" w:cs="arial"/>
          <w:color w:val="000000"/>
          <w:sz w:val="20"/>
          <w:lang w:val="en-US" w:eastAsia="en-US" w:bidi="ar-SA"/>
        </w:rPr>
        <w:t>, Meiklem J. dealt with circumstances similar to the ones before me. The plaintiff alleged that the contractor responsible for maintaining the highway upon which her vehicle had encountered ice and left the road, injuring her, was negligent for failure to maintain the highway in a safe condition. Meiklem J. said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conclusion is that a highways maintenance contractor will be in breach of its duty of care to the users of the highway if it is in breach of the contractual maintenance standards, provided that the contract standards are within the Crown's duty of care and are equal to or less than a reasonable standard determined by the court, but the law does not impose a higher standard of care upon contractors than the courts would impose upon the Crown, simply because of the provisions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Emcon's duties to the Crown that govern its responsibility for maintenance of the section of the Trans-Canada Highway upon which the accident took place are set out in a contract dated March 28, 1994 entitled "Extension Agreement - Service Area 13". The contract imposes the following maintenance standards: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Patrol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Emcon is required to complete winter patrols at four hour intervals "when freezing temperatures and/or snowfall are present or anticipated". At other times (aside from periods of high water flow) patrols must be at intervals of no more than 24 hours. Mr. Bentley was patrolling the road at approximately 90 minute intervals.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Winter Abrasive (Sand)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portion of the contract establishes the maximum response times to restore traction by applying winter abrasives commencing "from initial detection by or from notification to the contractor" of the presence of black ice at 2 hours. Mr. Bentley was notified of the presence of black ice at approximately 4:10 a.m. and sanded the corner approximately 20 minutes later.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De-Icing Chemical (Salt)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standard establishes a maximum response time of 90 minutes to apply salt "when temperatures are near-zero and falling and pavements are wet or when storm snowfalls are forecast or are starting". When Mr. Bentley last patrolled the highway at the accident scene, the temperature was approximately 5 degrees Celsius and steady or rising.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Immediate Response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standard stipulates that "if Black Ice or Slippery Conditions are encountered during patrols, Winter Abrasives or De-Icing Chemicals will be supplied immediately". Mr. Bentley applied sand to the highway west of the accident when he encountered it on the way to the accident and he continued to apply sand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Bentley followed the patrol routine established by his employer, Emcon. The frequency with which he patrolled the highway exceeded the requirements of the contract with the Ministry of Transportation and Highways. When he last passed over the accident site in the course of his patrols there was no ice on the highway. Some time after that a sudden clearing of the clouds in the area of the accident site resulted in black ice forming on the road surface. The formation of ice was not reasonably foreseeable by Mr. Bentley. It was not predicted by the forecast. The temperature was 5 degrees Celsius and steady or rising. It formed in the area of the accident scene at the same time or before it formed at other locations which were more prone to early icing conditions. Mr. Bentley learned of the icy conditions at approximately 4:10 a.m. and responded promptly. Neither Mr. Bentley nor his employer, Emcon, were negligent. They performed their duties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unable to find the defendant Emcon liable for the injuries suffered by Mr. Belitchev. The plaintiff's claim against Emcon is dismissed. His claim against the Crown, which depends upon Emcon being found liable, is dismissed as well. Mr. Belitchev's claim against the other two defendants was settled and a notice of discontinuance filed on February 11,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issues of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Belitchev, the apportionment of liability between Grigorov as driver and Emcon, and the quantum of Mr. Belitchev's damages are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parties have liberty to apply with respect to costs. Failing an application, costs will follow the event on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5"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 w:history="1">
        <w:r>
          <w:rPr>
            <w:rFonts w:ascii="arial" w:eastAsia="arial" w:hAnsi="arial" w:cs="arial"/>
            <w:b/>
            <w:bCs/>
            <w:i/>
            <w:color w:val="0077CC"/>
            <w:kern w:val="32"/>
            <w:sz w:val="28"/>
            <w:szCs w:val="32"/>
            <w:u w:val="single"/>
            <w:shd w:val="clear" w:color="auto" w:fill="FFFFFF"/>
            <w:lang w:val="en-US" w:eastAsia="en-US" w:bidi="ar-SA"/>
          </w:rPr>
          <w:t>Blackburn v. Roberts, [2003] B.C.J. No. 1264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Cranbrook Registry No. 12154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1264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824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 C.L.R. (3d) 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Tina Blackburn, plaintiff, and David Roberts and Mel Toews,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6"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5" w:name="Keywords_6"/>
      <w:bookmarkEnd w:id="45"/>
      <w:r>
        <w:rPr>
          <w:rFonts w:ascii="arial" w:eastAsia="arial" w:hAnsi="arial" w:cs="arial"/>
          <w:b/>
          <w:color w:val="000000"/>
          <w:sz w:val="20"/>
          <w:lang w:val="en-US" w:eastAsia="en-US" w:bidi="ar-SA"/>
        </w:rPr>
        <w:t>Damages — Aggravation — Aggravated damages, claim for — Practice — Pleadings — Striking out pleadings — Grounds, failure to disclose a cause of action or defence.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6" w:name="Case Summary_6"/>
            <w:bookmarkEnd w:id="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Roberts and Toews to have Blackburn's claims against them for general and aggravated damages dismissed on the basis that the statement of claim disclosed no reasonable cause of action. Roberts and Toews had replaced the roof of a townhouse owned by Blackburn. They had negligently allowed tar and gravel to plug a drain from the roof that passed through Blackburn's unit. During subsequent heavy rain, Blackburn's townhouse suffered extensive water damage. Blackburn, who had been living out of town, returned to supervise the restoration. She alleged that the mess and confusion in which she had to live during the course of the renovations caused her consideration aggravation and had exacerbated her bipolar syndrome. There was no suggestion in the pleadings that Roberts and Toews had acted in a highhanded or oppressive manner or were recklessly indifferent to Blackburn's rights or well being. There was no suggestion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Roberts and Toews was calculated to cause Blackburn to suffer mental distress.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7" w:name="Holdings of Court_6"/>
            <w:bookmarkEnd w:id="47"/>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nothing from which to conclude that a court would find that the type of mental distress for which Blackburn claimed was a reasonably foreseeable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Roberts and Toews. Even if Roberts and Toews knew that Blackburn was an absentee owner, it was not reasonably foreseeable by them that she would return to supervise the repairs. Blackburn's claim for aggravated damages was struck. Her claim for general damages was allowed to continue.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8" w:name="Legislation Cited_2"/>
      <w:bookmarkEnd w:id="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7"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9" w:name="Counsel_6"/>
      <w:bookmarkEnd w:id="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8"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Buddenhagen, for plaintiff. G.N. Kent, for defendant, David Roberts.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0" w:name="Judgment_6"/>
      <w:bookmarkEnd w:id="50"/>
      <w:r>
        <w:pict>
          <v:line id="_x0000_s1059"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1" w:name="MELNICK J."/>
            <w:bookmarkEnd w:id="51"/>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pursuant to Rule 19(24)(a) to have the claims of the plaintiff for general and aggravated damages dismissed on the basis that her statement of claim discloses no reasonable claim against them. The plaintiff argued that it is not plain and obvious that she will fail at trial and that she should be permitted to proceed with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Because examinations for discovery are scheduled within a few days, counsel have requested that I provide my decision on this application expeditiously. I am doing so, but on the basis that my reasons will be brief.</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the owner of a townhouse in a condominium complex. In September 2001, the defendants replaced the roof on the condominium complex. In doing so, they negligently allowed tar and gravel to plug a drain from the roof which passed through the plaintiff's unit. During a subsequent heavy rain in October of that year, the plaintiff's townhouse suffered extensive water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who then lived in Kelowna, had recently leased her townhouse to certain tenants. The tenants subsequently advanced a claim against her through the Rentalsman, recovering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chose to return to Cranbrook to supervise the restoration work made necessary by the water damage. Although she initially stayed at a motel, because of financial constraints she moved into her townhouse during the course of restoration. The restoration work started in November 2001 and apparently did not conclude until well into the year 2002. The plaintiff incurred special damages of over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alleges that the mess and confusion in which she had to live during the course of the renovations caused her considerable aggravation. She says that she suffers from bipolar syndrome or manic depression. The stress of the flood exacerbated this condition so that her medication had to be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Thus, while the plaintiff claims against the defendants for the negligent manner in which they re-roofed the condominium complex, she goes beyond any claim for her actual monetary losses (special damages) by claiming for what are essentially aggravated damages for the anxiety and emotional distress she suffered, most probably, as I understand it, because she was more susceptible to suffering such distress because of her existing propensity to suffer from depression.</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this aspect of her claim, the aggravation and anxiety, for which the defendants argue there exists no basis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Let me say at the beginning that it has long been held that, on an application to strike pleadings and to prevent the claim from proceeding to trial, it must be plain and obvious that the plaintiff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Buddenhagen, for the plaintiff, argued that the law with respect to aggravated damages has been developing over the past years and points specifically to the decision of our court of appeal in Warrington v. Great-West Life Assurance Co. </w:t>
      </w:r>
      <w:hyperlink r:id="rId106" w:history="1">
        <w:r>
          <w:rPr>
            <w:rFonts w:ascii="arial" w:eastAsia="arial" w:hAnsi="arial" w:cs="arial"/>
            <w:i/>
            <w:color w:val="0077CC"/>
            <w:sz w:val="20"/>
            <w:u w:val="single"/>
            <w:shd w:val="clear" w:color="auto" w:fill="FFFFFF"/>
            <w:lang w:val="en-US" w:eastAsia="en-US" w:bidi="ar-SA"/>
          </w:rPr>
          <w:t>(1996), 24 B.C.L.R. (3d) 1</w:t>
        </w:r>
      </w:hyperlink>
      <w:r>
        <w:rPr>
          <w:rFonts w:ascii="arial" w:eastAsia="arial" w:hAnsi="arial" w:cs="arial"/>
          <w:color w:val="000000"/>
          <w:sz w:val="20"/>
          <w:lang w:val="en-US" w:eastAsia="en-US" w:bidi="ar-SA"/>
        </w:rPr>
        <w:t xml:space="preserve">, as authority for the proposition that the mental suffering for which a plaintiff can receive compensation need not result from "highhanded" or "malicious" conduct on the part of a defendant. However, Warrington is a case involving damages for mental suffering arising from a claim in contract. In Warrington, Madam Justice Newbury helpfully reminded us that Mr. Justice McIntyre in Vorvis v. Insurance Corp. of British Columbia, </w:t>
      </w:r>
      <w:hyperlink r:id="rId107"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at 1092, had equated damages for mental distress with aggravated damages, and that such aggravated damages are purely compensatory.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said, at para. 19, that, "Whereas mental suffering is often the foreseeable consequence of tortious conduct, its avoidance is not commonly a benefit contemplated by the contract". She went on, at para. 22, to conclude that a disability insurance policy (such as was at issue in Vorvis) "...is one of the few contracts in which damages for mental distress are recoverable when they are proven to result from the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Earlier, at para. 19, she noted that she did not interpret Vorvis to mean that aggravated damages for mental distress will be awarded only where there is an independent wrong in addition to the breach of contract. Clearly, of course, she was referring to the situation before her where the contract at issue was a "peace of mind"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Can one then extrapolate from Warrington that it may be open to a court to award aggravated damages for mental distress in a case such as this where (assuming the truth of everything pleaded in the statement of claim) the defendants are guilty of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replacement of the roof on the condominium complex in which the plaintiff's townhouse was located? I note that there is no allegation or suggestion (as presumably in these circumstances there could not be) that the defendants knew of, or had any reason to suspect, the plaintiff's delicate emotional state. This is not a case where the plaintiff alleges that she suffered any physical or psychological injury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Rather, she seeks damages for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Devji v. Burnby (District), </w:t>
      </w:r>
      <w:hyperlink r:id="rId108" w:history="1">
        <w:r>
          <w:rPr>
            <w:rFonts w:ascii="arial" w:eastAsia="arial" w:hAnsi="arial" w:cs="arial"/>
            <w:i/>
            <w:color w:val="0077CC"/>
            <w:sz w:val="20"/>
            <w:u w:val="single"/>
            <w:shd w:val="clear" w:color="auto" w:fill="FFFFFF"/>
            <w:lang w:val="en-US" w:eastAsia="en-US" w:bidi="ar-SA"/>
          </w:rPr>
          <w:t>[1999] B.C.J. No. 2320</w:t>
        </w:r>
      </w:hyperlink>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Chief Justice McEachern, in dealing with an appeal from a trial judgment dismissing a claim for damages for nervous shock, noted at para. 65-66: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end of all this, I find that we are thrown back to the conventional approach approved by the Supreme Court of Canada in City of Kamloops v. Nielsen, </w:t>
      </w:r>
      <w:hyperlink r:id="rId109"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(recently affirmed in Dobson v. Dobson et al., </w:t>
      </w:r>
      <w:hyperlink r:id="rId110" w:history="1">
        <w:r>
          <w:rPr>
            <w:rFonts w:ascii="arial" w:eastAsia="arial" w:hAnsi="arial" w:cs="arial"/>
            <w:i/>
            <w:color w:val="0077CC"/>
            <w:sz w:val="20"/>
            <w:u w:val="single"/>
            <w:shd w:val="clear" w:color="auto" w:fill="FFFFFF"/>
            <w:lang w:val="en-US" w:eastAsia="en-US" w:bidi="ar-SA"/>
          </w:rPr>
          <w:t>[1999] S.C.J. No. 41</w:t>
        </w:r>
      </w:hyperlink>
      <w:r>
        <w:rPr>
          <w:rFonts w:ascii="arial" w:eastAsia="arial" w:hAnsi="arial" w:cs="arial"/>
          <w:color w:val="000000"/>
          <w:sz w:val="20"/>
          <w:lang w:val="en-US" w:eastAsia="en-US" w:bidi="ar-SA"/>
        </w:rPr>
        <w:t>, (9 July 1999), N.B. 26152 (S.C.C.) that, assuming reasonable foreseeability, the tests to be applied are whether there is a sufficiently close relationship between plaintiff and defendant to establish a duty of care, and, if so, whether any public policy negates such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other words, the Supreme Court of Canada has authorized the imposition of policy-based control mechanisms in proper cases. In Rhodes [Rhodes v. C.N.R. </w:t>
      </w:r>
      <w:hyperlink r:id="rId111" w:history="1">
        <w:r>
          <w:rPr>
            <w:rFonts w:ascii="arial" w:eastAsia="arial" w:hAnsi="arial" w:cs="arial"/>
            <w:i/>
            <w:color w:val="0077CC"/>
            <w:sz w:val="20"/>
            <w:u w:val="single"/>
            <w:shd w:val="clear" w:color="auto" w:fill="FFFFFF"/>
            <w:lang w:val="en-US" w:eastAsia="en-US" w:bidi="ar-SA"/>
          </w:rPr>
          <w:t>(1990), 50 B.C.L.R. (2d) 273</w:t>
        </w:r>
      </w:hyperlink>
      <w:r>
        <w:rPr>
          <w:rFonts w:ascii="arial" w:eastAsia="arial" w:hAnsi="arial" w:cs="arial"/>
          <w:color w:val="000000"/>
          <w:sz w:val="20"/>
          <w:lang w:val="en-US" w:eastAsia="en-US" w:bidi="ar-SA"/>
        </w:rPr>
        <w:t>], this Court actually did so in connection with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para. 67 of his reasons, the Chief Justice noted that Rhodes "...clearly requires not merely foreseeability but also proximity and something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noted earlier, there is no suggestion in the allegations in the pleadings that this is other than a case of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There is no suggestion that the defendants acted in a particularly highhanded or oppressive manner, that they were motivated by malice, or were in some way recklessly indifferent to the plaintiff's rights or wellbeing. There is no suggestion whatsoever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was specifically directed to the plaintiff, was calculated to produce in her the mental distress that she suffered, or was in some other way flagrant or extreme. It is this type of conduct which has, in decided cases, given rise to awards of aggravated damages for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Chief Justice McEachern noted in Devji at para.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Common experience demonstrates that the usual fortitude of our citizens protects them from psychiatric injury and makes such injury, if it occurs, not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this case, taking all of the allegations of the plaintiff as true, I see nothing which would lead me to conclude that a court would find that the type of mental distress for which she claims was a reasonably foreseeable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allowing some tar and gravel to block one of the roof drains. Further, even if the defendants had known that the plaintiff was an absentee owner (and there is no suggestion that they did) it would not have been reasonably foreseeable by them that she would choose to return to Cranbrook to supervise the repairs and, ultimately, choose to move back into the premises during the course of construction.</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therefore conclude, given the law in British Columbia, that the plaintiff would fail on the facts pleaded in her statement of claim on her claim for aggravated damages. Thus, paras. 23 to 27 should be struck from the statement of claim. Further, in the summary of the relief claimed on p. 4 of the statement of claim, the words "(c) aggravated damages;"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also ask that paras. 18 and 19 be struck. These two paragraphs address the living conditions of the plaintiff during the course of repairs and an allegation that her Christmas holiday was ruined. I do not see the necessity of striking those two paragraphs from the statement of claim. Nor do I accept that it is plain and obvious that the plaintiff's claim for general damages should be struck at this stage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notice of motion in this matter requested the dismissal of the plaintiff's claims for general and aggravated damages. However, the proper order under Rule 19(24) is the one I have made, namely, that the offending paragraphs be struck as disclosing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are entitled to their costs of this application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British Columbia v. Imperial Tobacco Canada Ltd., [2008] B.C.J. No. 609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 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S010421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609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419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292 D.L.R. (4th) 353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82 B.C.L.R. (4th) 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12 W.W.R. 241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687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669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 Majesty the Queen in Right of British Columbia, Plaintiff, and Imperial Tobacco Canada Limited, Rothmans, Benson &amp; Hedges Inc., Rothmans Inc., JTI-MacDonald Corp., Canadian Tobacco Manufacturers' Council, B.A.T. Industries p.l.c., British American Tobacco (Investments) Limited, Carreras Rothmans Limited, Philip Morris Incorporated, Philip Morris International, Inc., R.J. Reynolds Tobacco Company, R.J. Reynolds Tobacco International, Inc., Rothmans International Research Division and Ryesekks p.l.c., Defendants, and The Attorney General of Canada,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1"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2" w:name="Keywords_7"/>
      <w:bookmarkEnd w:id="52"/>
      <w:r>
        <w:rPr>
          <w:rFonts w:ascii="arial" w:eastAsia="arial" w:hAnsi="arial" w:cs="arial"/>
          <w:b/>
          <w:color w:val="000000"/>
          <w:sz w:val="20"/>
          <w:lang w:val="en-US" w:eastAsia="en-US" w:bidi="ar-SA"/>
        </w:rPr>
        <w:t>Civil litigation — Civil procedure — Parties — Third party procedure — Striking out or setting aside — Application by Canada for an order striking the third party notices for disclosing no reasonable cause of action allowed — It was plain and obvious that the allegations could not succeed because Canada was immune to liability under the province's Tobacco Costs and Health Care Costs Recovery Act — Furthermore, Canada's immunity precluded all proceedings against it, including third party proceedings for declaratory relief.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Capacity of Crown to sue or be sued — Practice and procedure — Parties — Application by Canada for an order striking the third party notices for disclosing no reasonable cause of action allowed — It was plain and obvious that the allegations could not succeed because Canada was immune to liability under the province's Tobacco Costs and Health Care Costs Recovery Act — Furthermore, Canada's immunity precluded all proceedings against it, including third party proceedings for declaratory relief.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3" w:name="Case Summary_7"/>
            <w:bookmarkEnd w:id="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Canada for an order striking the third party notices for disclosing no reasonable cause of action. In 2001, British Columbia commenced an action against numerous tobacco manufacturers, both Canadian and foreign. Several of the defendants, both in Canada and abroad, commenced third party proceedings in 2007, seeking various relief, including: (a) a declaration that the defendants committed no "tobacco-related wrong"; alternatively, (b) a declaration that if BC incurred the cost of health care benefits as alleged, those costs were caused or contributed to by the conduct or breaches of duty of care of officials of Canada, alternatively; (c) a declaration that damages against Canada be measured by the extent of any liability of the defendants to BC; alternatively (d) an order that Canada indemnify in whole or in part the defendants to the extent of any liability of the defendants to BC; or alternatively, (e) contribution and indemnity pursuant to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based on Canada's conduct as a "manufacturer" of tobacco within the meaning of the Tobacco Costs and Health Care Costs Recovery Act. Canada argued the following grounds: (1) Canada could not be bound by provincial legislation and, in particular, was immune from liability under the Costs Recovery Act; (2) Canada and its officials were not "manufacturers" within the meaning of the Act; (3) Canada owed no private law duty of care to any of the Defendants or to consumers of tobacco products; and (4) there was no basis for a claim for equitable indemnity, contribution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4" w:name="Holdings of Court_7"/>
            <w:bookmarkEnd w:id="54"/>
            <w:r>
              <w:rPr>
                <w:rFonts w:ascii="arial" w:eastAsia="arial" w:hAnsi="arial" w:cs="arial"/>
                <w:color w:val="000000"/>
                <w:sz w:val="20"/>
                <w:lang w:val="en-US" w:eastAsia="en-US" w:bidi="ar-SA"/>
              </w:rPr>
              <w:t>HELD: Application granted and all third party notices struck.</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plain and obvious that the allegations could not succeed because Canada was immune to liability under the province's Costs Recovery Act. Furthermore, Canada's immunity precluded all proceedings against it, including third party proceedings for declaratory relief. It was clear that the Provincial Crown did not have the power to bind the Federal Crown. The case law was clear that the liability of the Federal Crown could not be unilaterally determined by provincial legislation, nor could its common law immunity from suit be unilaterally displaced by provincial legislation. The rules governing the liability of the Federal Crown comprised an exclusively federal body of common law overlaid by federal legislation. Where there was a federal rule prescribing that provincial statutes be taken into account in determining the rights or liabilities of the Federal Crown, then provincial statutes would apply, but only because there was a federal rule calling for their application. The Costs Recovery Act created a stand-alone statutory cause of action permitting BC to recover its health care costs from tobacco manufacturers who had breached their duty to consumers. It did not create or modify an action in tort. Accordingly, it was plain and obvious that the allegations contained in the third party notices could not succeed. Canada had been immune from liability from the time the action was commenced and, accordingly, was never a proper party in the litigation.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5" w:name="Legislation Cited_3"/>
      <w:bookmarkEnd w:id="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2"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r>
        <w:rPr>
          <w:rFonts w:ascii="arial" w:eastAsia="arial" w:hAnsi="arial" w:cs="arial"/>
          <w:i/>
          <w:color w:val="000000"/>
          <w:sz w:val="20"/>
          <w:lang w:val="en-US" w:eastAsia="en-US" w:bidi="ar-SA"/>
        </w:rPr>
        <w:t>R.S.B.C. 1996, c. 238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119" w:history="1">
        <w:r>
          <w:rPr>
            <w:rFonts w:ascii="arial" w:eastAsia="arial" w:hAnsi="arial" w:cs="arial"/>
            <w:i/>
            <w:color w:val="0077CC"/>
            <w:sz w:val="20"/>
            <w:u w:val="single"/>
            <w:shd w:val="clear" w:color="auto" w:fill="FFFFFF"/>
            <w:lang w:val="en-US" w:eastAsia="en-US" w:bidi="ar-SA"/>
          </w:rPr>
          <w:t>R.S.C. 1985, c. I-21, s. 17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Tobacco Costs and Health Care Costs Recovery Act, </w:t>
      </w:r>
      <w:hyperlink r:id="rId120" w:history="1">
        <w:r>
          <w:rPr>
            <w:rFonts w:ascii="arial" w:eastAsia="arial" w:hAnsi="arial" w:cs="arial"/>
            <w:i/>
            <w:color w:val="0077CC"/>
            <w:sz w:val="20"/>
            <w:u w:val="single"/>
            <w:shd w:val="clear" w:color="auto" w:fill="FFFFFF"/>
            <w:lang w:val="en-US" w:eastAsia="en-US" w:bidi="ar-SA"/>
          </w:rPr>
          <w:t>S.B.C. 2000, c. 30, s. 1</w:t>
        </w:r>
      </w:hyperlink>
      <w:r>
        <w:rPr>
          <w:rFonts w:ascii="arial" w:eastAsia="arial" w:hAnsi="arial" w:cs="arial"/>
          <w:color w:val="000000"/>
          <w:sz w:val="20"/>
          <w:lang w:val="en-US" w:eastAsia="en-US" w:bidi="ar-SA"/>
        </w:rPr>
        <w:t>(1), s. 1(1), s. 2, s. 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6" w:name="Counsel_7"/>
      <w:bookmarkEnd w:id="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3"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Daniel A. Webster, Q.C., Ryan D.W. Dalziel and James A. Duvall.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Imperial Tobacco Canada Limited: David Harris, Q.C. and Deborah A. Glendinning.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Rothmans, Benson &amp; Hedges Inc., and Rothmans Inc.: Kenneth N. Affleck,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JTI-MacDonald Corp., R.J. Reynolds Tobacco Company, R.J. Reynolds Tobacco International, Inc.: Jeffrey J. Kay, Q.C. and Robert J. McDonell.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B.A.T. Industries p.l.c., British American Tobacco (Investments) Limited: Craig P. Dennis and Michael D. Shirreff.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Carreras Rothmans Limited: Bryan G. Baynham,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William M. Everett, Q.C., Rodney L. Hayley, Paul Vickery, Marko Vesely and Monika A. Lozinska-Legault.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7"/>
      <w:bookmarkEnd w:id="57"/>
      <w:r>
        <w:pict>
          <v:line id="_x0000_s1064"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 to Strike Third Party Notices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C.A. WEDGE J."/>
            <w:bookmarkEnd w:id="58"/>
            <w:r>
              <w:rPr>
                <w:rFonts w:ascii="arial" w:eastAsia="arial" w:hAnsi="arial" w:cs="arial"/>
                <w:b/>
                <w:color w:val="000000"/>
                <w:sz w:val="30"/>
                <w:lang w:val="en-US" w:eastAsia="en-US" w:bidi="ar-SA"/>
              </w:rPr>
              <w:t>C.A. WEDGE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Tobacco Damages and 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2000, c. 30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authorizes the government of British Columbia to bring an action against a manufacturer of tobacco products for the recovery of health care expenditures incurred in the treatment and care of individuals with diseases contracted through exposure to tobacco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Shortly after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came into force in January 2001, British Columbia commenced an action against numerous tobacco manufacturers, both Canadian and foreign (collectively,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Several of the Canadian Defendants (namely Rothmans, Imperial Tobacco and JTI-MacDonald) commenced third party proceedings against the Attorney General of Canada ("Canada") in June, 2007. A number of the foreign Defendants (namely B.A.T. Industries, Carreras, R.J. Reynolds and R.J. Reynolds International) commenced third party proceedings against Canada in November,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remaining Defendants did not bring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Broadly summarized, the Third Party Notices seek the following relief against Canada:</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Defendants committed no "tobacco-related wrong";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 declaration that if British Columbia incurred the cost of health care benefits as alleged, those costs were caused or contributed to by the conduct or breaches of duty of care of officials of Canada, and accordingly that the Defendants' liability, if any, be extinguished or reduced;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 declaration that damages against Canada be measured by the extent of any liability of the Defendants to British Columbia;</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an order that Canada indemnify in whole or in part the Defendants to the extent of any liability of the Defendants to British Columbia;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Alternatively, contribution and indemnity pursuant to the provisions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based on Canada's conduct as a "manufacturer" of tobacco within the meaning of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1"/>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II.</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Present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Canada applies under Rule 19(24)(a)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for an order that the Third Party Notices be struck out as disclosing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Canada advances the following grounds in support of its position that the third party proceedings are bound to fail:</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Canada cannot be bound by provincial legislation and, in particular, is immune from liability under the </w:t>
      </w:r>
      <w:r>
        <w:rPr>
          <w:rFonts w:ascii="arial" w:eastAsia="arial" w:hAnsi="arial" w:cs="arial"/>
          <w:b/>
          <w:i/>
          <w:color w:val="000000"/>
          <w:sz w:val="20"/>
          <w:lang w:val="en-US" w:eastAsia="en-US" w:bidi="ar-SA"/>
        </w:rPr>
        <w:t>Costs Recovery Act</w:t>
      </w:r>
      <w:r>
        <w:rPr>
          <w:rFonts w:ascii="arial" w:eastAsia="arial" w:hAnsi="arial" w:cs="arial"/>
          <w:i/>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Canada and its officials are not "manufacturers" within the meaning of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Canada owes no private law duty of care to any of the Defendants or to consumers of tobacco products; and</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basis for a claim for equitable indemnity, contribution pursuant to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Preliminary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the event that British Columbia lacks the legislative capacity to bind Canada under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the Third Party Notices must be struck without regard to the remaining issues with one exception. The Defendants argue that even if Canada is immune from liability, the third party claims for declaratory relief should be allowed to proceed for procedural reasons (</w:t>
      </w:r>
      <w:r>
        <w:rPr>
          <w:rFonts w:ascii="arial" w:eastAsia="arial" w:hAnsi="arial" w:cs="arial"/>
          <w:b/>
          <w:i/>
          <w:color w:val="000000"/>
          <w:sz w:val="20"/>
          <w:lang w:val="en-US" w:eastAsia="en-US" w:bidi="ar-SA"/>
        </w:rPr>
        <w:t>British Columbia Ferry Corp. v. T &amp; N plc</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(1995), 16 B.C.L.R. (3d) 115</w:t>
        </w:r>
      </w:hyperlink>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65 B.C.A.C. 118</w:t>
        </w:r>
      </w:hyperlink>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xml:space="preserve">]. They say they are entitled to defend the action on the basis of Canada's role in the tobacco industry over the past fifty years, and will be prejudiced if Canada does not remain bound as a third party by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Accordingly, the issues for determination in the first instance are the following:</w:t>
      </w:r>
      <w:r>
        <w:rPr>
          <w:rFonts w:ascii="arial" w:eastAsia="arial" w:hAnsi="arial" w:cs="arial"/>
          <w:sz w:val="20"/>
          <w:lang w:val="en-US" w:eastAsia="en-US" w:bidi="ar-SA"/>
        </w:rPr>
        <w:cr/>
      </w:r>
    </w:p>
    <w:p>
      <w:pPr>
        <w:numPr>
          <w:numId w:val="1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Canada's Immunity:</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Federal Crown immune from liability as a result of the doctrine of Crown immunity?</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does British Columbia nevertheless have the capacity to bind the Federal Crown through legislation?</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create an action in tort such that the </w:t>
      </w:r>
      <w:r>
        <w:rPr>
          <w:rFonts w:ascii="arial" w:eastAsia="arial" w:hAnsi="arial" w:cs="arial"/>
          <w:b/>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CLPA</w:t>
      </w:r>
      <w:r>
        <w:rPr>
          <w:rFonts w:ascii="arial" w:eastAsia="arial" w:hAnsi="arial" w:cs="arial"/>
          <w:color w:val="000000"/>
          <w:sz w:val="20"/>
          <w:lang w:val="en-US" w:eastAsia="en-US" w:bidi="ar-SA"/>
        </w:rPr>
        <w:t>")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If Canada is immune from liability, does the immunity defeat the Defendants' claims for declaratory relief against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have concluded that the Third Party Notices must be struck on the following grounds:</w:t>
      </w:r>
      <w:r>
        <w:rPr>
          <w:rFonts w:ascii="arial" w:eastAsia="arial" w:hAnsi="arial" w:cs="arial"/>
          <w:sz w:val="20"/>
          <w:lang w:val="en-US" w:eastAsia="en-US" w:bidi="ar-SA"/>
        </w:rPr>
        <w:cr/>
      </w:r>
    </w:p>
    <w:p>
      <w:pPr>
        <w:numPr>
          <w:numId w:val="1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plain and obvious that the allegations cannot succeed because Canada is immune to liability under the province's </w:t>
      </w:r>
      <w:r>
        <w:rPr>
          <w:rFonts w:ascii="arial" w:eastAsia="arial" w:hAnsi="arial" w:cs="arial"/>
          <w:b/>
          <w:i/>
          <w:color w:val="000000"/>
          <w:sz w:val="20"/>
          <w:lang w:val="en-US" w:eastAsia="en-US" w:bidi="ar-SA"/>
        </w:rPr>
        <w:t>Costs Recovery Act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and</w:t>
      </w:r>
    </w:p>
    <w:p>
      <w:pPr>
        <w:numPr>
          <w:numId w:val="1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Canada's immunity precludes all proceedings against it, including third party proceedings for 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Section 2 of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creates a "direct and distinct" cause of action against a tobacco manufacturer to recover health care costs of insured persons or a population of insured persons. The section provides,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government has a direct and distinct action against a manufacturer to recover the cost of health care benefits caused or contributed to by a tobacco related wrong.</w:t>
      </w:r>
    </w:p>
    <w:p>
      <w:pPr>
        <w:numPr>
          <w:numId w:val="1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under subsection (1) is brought by the government in its own right and not on the basis of a subrogated claim.</w:t>
      </w:r>
    </w:p>
    <w:p>
      <w:pPr>
        <w:numPr>
          <w:numId w:val="1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under subsection (1), the government may recover the cost of health care benefits whether or not there has been any recovery by other persons who have suffered damage caused or contributed to by the tobacco related wrong committed by the defendant.</w:t>
      </w:r>
    </w:p>
    <w:p>
      <w:pPr>
        <w:numPr>
          <w:numId w:val="1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under subsection (1), the government may recover the cost of health care benefits</w:t>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particular individual insured persons, or</w:t>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aggregate basis, for a population of insured persons as a result of exposure to a type of tobacco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Section 2(5) provides that where the government seeks to recover health care costs on an aggregate basis, it is not necessary to identify particular individuals or prove the cause of tobacco related disease in any particular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Section 3(1) of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addresses recovery of health care costs on an aggregate basis. Pursuant to the section, British Columbia must prove, in respect of a type of tobacco product, the following three factors on a balance of probabilities:</w:t>
      </w:r>
      <w:r>
        <w:rPr>
          <w:rFonts w:ascii="arial" w:eastAsia="arial" w:hAnsi="arial" w:cs="arial"/>
          <w:sz w:val="20"/>
          <w:lang w:val="en-US" w:eastAsia="en-US" w:bidi="ar-SA"/>
        </w:rPr>
        <w:cr/>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a common law, equitable or statutory duty or obligation owed to persons in British Columbia who have been exposed or might become exposed to the type of tobacco product,</w:t>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exposure to the type of tobacco product can cause or contribute to disease, and</w:t>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all or part of the period of the breach referred to in paragraph (a), the type of tobacco product, manufactured or promoted by the defendant, was offered for sale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Under s. 3(4), a defendant may reduce its liability to the extent that it proves its breach of duty did not cause or contribute to the exposure to the tobacco product or to the tobacco related disease or risk of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Section 1(1) defines a "manufacturer" as a "person who manufactures or has manufactured a tobacco product". The definition includes a person who, at present or in the past:</w:t>
      </w:r>
      <w:r>
        <w:rPr>
          <w:rFonts w:ascii="arial" w:eastAsia="arial" w:hAnsi="arial" w:cs="arial"/>
          <w:sz w:val="20"/>
          <w:lang w:val="en-US" w:eastAsia="en-US" w:bidi="ar-SA"/>
        </w:rPr>
        <w:cr/>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causes, directly or indirectly, through arrangements with contractors, subcontractors, licensees, franchisees or others, the manufacture of a tobacco product,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engages in, or causes, directly or indirectly, other persons to engage in the promotion of a tobacco product,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definition of "manufacturer" does not include an individual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"tobacco related wrong" is defined in s. 1(1) as follows:</w:t>
      </w:r>
      <w:r>
        <w:rPr>
          <w:rFonts w:ascii="arial" w:eastAsia="arial" w:hAnsi="arial" w:cs="arial"/>
          <w:sz w:val="20"/>
          <w:lang w:val="en-US" w:eastAsia="en-US" w:bidi="ar-SA"/>
        </w:rPr>
        <w:cr/>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tort committed in British Columbia by a manufacturer which causes or contributes to tobacco related disease, or</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under section 2(1), a breach of a common law, equitable or statutory duty or obligation owed by a manufacturer to persons in British Columbia who have been exposed or might become exposed to a tobacco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Following the passage of the legislation, several of the Defendants challenged its constitutional validity. They argued that the legislation was beyond the legislative powers of British Columbia. The Supreme Court of Canada rejected the challenge. It concluded that the true substance of the legislation relates to matters falling within the province's legislative competence and is therefore constitutionally valid (</w:t>
      </w:r>
      <w:r>
        <w:rPr>
          <w:rFonts w:ascii="arial" w:eastAsia="arial" w:hAnsi="arial" w:cs="arial"/>
          <w:b/>
          <w:i/>
          <w:color w:val="000000"/>
          <w:sz w:val="20"/>
          <w:lang w:val="en-US" w:eastAsia="en-US" w:bidi="ar-SA"/>
        </w:rPr>
        <w:t>British Columbia v. Imperial Tobacco Canada Ltd.</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2005 SCC 49</w:t>
        </w:r>
      </w:hyperlink>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[2005] 2 S.C.R. 473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its reasons, the Court described s. 2(1) as the "keystone" of the Act, which creates a direct and distinct action against a tobacco manufacturer for the present value of existing and future health care costs incurred or contributed to by tobacco related wrongs. At paras. 7-8,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[Section] 2(1) creates a cause of action by which the government of British Columbia may recover from a tobacco manufacturer money spent treating disease in British Columbians, where such disease was caused by exposure to a tobacco product (whether entirely in British Columbia or not), and such exposure was caused by that manufacturer's tort in British Columbia, or breach of a duty owed to persons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cause of action created by s. 2(1), besides being "direct and distinct", is not a subrogated claim: s. 2(2). Nor is it barred by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 Crucially, it can be pursued on an aggregate basis - i.e., in respect of a population of persons for whom the government has made or can reasonably be expected to make expenditures: s. 2(4)(b).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the course of addressing the issue of the "pith and substance" of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the Court observed that in their arguments the Defendants had placed great emphasis on the issue of the </w:t>
      </w:r>
      <w:r>
        <w:rPr>
          <w:rFonts w:ascii="arial" w:eastAsia="arial" w:hAnsi="arial" w:cs="arial"/>
          <w:i/>
          <w:color w:val="000000"/>
          <w:sz w:val="20"/>
          <w:lang w:val="en-US" w:eastAsia="en-US" w:bidi="ar-SA"/>
        </w:rPr>
        <w:t>locus</w:t>
      </w:r>
      <w:r>
        <w:rPr>
          <w:rFonts w:ascii="arial" w:eastAsia="arial" w:hAnsi="arial" w:cs="arial"/>
          <w:color w:val="000000"/>
          <w:sz w:val="20"/>
          <w:lang w:val="en-US" w:eastAsia="en-US" w:bidi="ar-SA"/>
        </w:rPr>
        <w:t xml:space="preserve"> of the breach of duty by a manufacturer (that is, whether the breach must occur within British Columbia). The Court noted at paras. 40-41 that the emphasis on the manufacturer's breach of duty was erroneous for two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w:t>
      </w:r>
      <w:r>
        <w:rPr>
          <w:rFonts w:ascii="arial" w:eastAsia="arial" w:hAnsi="arial" w:cs="arial"/>
          <w:i/>
          <w:color w:val="000000"/>
          <w:sz w:val="20"/>
          <w:lang w:val="en-US" w:eastAsia="en-US" w:bidi="ar-SA"/>
        </w:rPr>
        <w:t>the driving force of the Act's cause of action is compensation for the government of British Columbia's health care costs, not remediation of tobacco manufacturers' breaches of duty. While the Act makes the existence of a breach of duty one of several necessary conditions to a manufacturer's liability to the government, it is not the mischief at which the cause of action created by the Act is aimed. The Act leaves breaches of duty to be remedied by the law that gives rise to the duty.</w:t>
      </w:r>
      <w:r>
        <w:rPr>
          <w:rFonts w:ascii="arial" w:eastAsia="arial" w:hAnsi="arial" w:cs="arial"/>
          <w:color w:val="000000"/>
          <w:sz w:val="20"/>
          <w:lang w:val="en-US" w:eastAsia="en-US" w:bidi="ar-SA"/>
        </w:rPr>
        <w:t xml:space="preserve"> Thus, the breaches of duty to which the Act refers are of subsidiary significance to the cause of action created by it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 and in any event, the only relevant breaches under the Act are breaches of duties (or obligations) owed "to persons in British Columbia" ... </w:t>
      </w:r>
      <w:r>
        <w:rPr>
          <w:rFonts w:ascii="arial" w:eastAsia="arial" w:hAnsi="arial" w:cs="arial"/>
          <w:i/>
          <w:color w:val="000000"/>
          <w:sz w:val="20"/>
          <w:lang w:val="en-US" w:eastAsia="en-US" w:bidi="ar-SA"/>
        </w:rPr>
        <w:t>Thus, even if the existence of a breach of duty were the central element of the Act's cause of action (it is not), the cause of action would remain strongly related to British Columbia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allege that the role Canada has played in the tobacco industry for the past several decades lies at the heart of the wrongful conduct asserted by British Columbia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allegations of fact contained in the Third Party Notices include the following:</w:t>
      </w:r>
      <w:r>
        <w:rPr>
          <w:rFonts w:ascii="arial" w:eastAsia="arial" w:hAnsi="arial" w:cs="arial"/>
          <w:sz w:val="20"/>
          <w:lang w:val="en-US" w:eastAsia="en-US" w:bidi="ar-SA"/>
        </w:rPr>
        <w:cr/>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created programs pursuant to which it developed and manufactured the tobacco used in the commercially produced cigarettes sold in British Columbia;</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earned licensing fees on the tobacco strains it developed;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dictated the necessity of warnings on packages and their content;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requested, and then mandated, the measurement and disclosure of tar and nicotine deliveries;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published tables listing comparative tar and nicotine deliveries as a "useful buyer's guide" for smokers;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was the leader in creating and marketing the "Less Hazardous Cigarettes" (that is, the "light" and "mild" cigarettes).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According to the Defendants, Canada's involvement in the tobacco industry went beyond the traditional government role of formulating policies to regulate an industry. Rather, Canada was directly responsible for every step in the implementation of the "Less Hazardous Cigarette" program. In doing so, Canada became a "manufacturer" within the meaning of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short, say the Defendants, Canada was directly and significantly involved in the very conduct alleged by British Columbia in its statement of claim to constitute breaches of duty to consumers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Canada's response to the allegations of fact in the Third Party Notices is that each of the allegations is aimed solely at the programs undertaken by Canada in its effort to regulate the tobacco industry. When it became apparent that there was an association between smoking cigarettes and the rising incidence of lung cancer, among other tobacco related diseases, Canada responded with policies and regulatory programs. It has taken specific steps at various times over the past several decades in furtherance of those policies and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Clearly, says Canada, it was not a commercial entity attempting to profit from tobacco; rather, it was acting as the nation's health regulator attempting to find a solution to an increasingly significant public health problem. Its actions, all taken pursuant to policy, were aimed at mitigating the health impact on the public of a product created and promoted by the tobacco industry and from which that industry has made immense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1"/>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IV.</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Test for Striking Pleadings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Rule 19(24)(a)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provides that the court may, at any stage of the proceedings, order that a pleading be struck out on the ground that it discloses no reasonable claim or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test for striking a statement of claim is whether it is "plain and obvious" that the pleading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facts as alleged in the pleadings, for purposes of an application to strike, must be taken to be true unless patently ridiculous or incapable of proof. Only if the action is certain to fail should a plaintiff's statement of claim be struck out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74 D.L.R. (4th) 321</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Though a court should not strike a pleading simply because the claim is novel or complex, or the state of the law uncertain, it will not refrain from striking a claim that is bound to fail (</w:t>
      </w:r>
      <w:r>
        <w:rPr>
          <w:rFonts w:ascii="arial" w:eastAsia="arial" w:hAnsi="arial" w:cs="arial"/>
          <w:b/>
          <w:i/>
          <w:color w:val="000000"/>
          <w:sz w:val="20"/>
          <w:lang w:val="en-US" w:eastAsia="en-US" w:bidi="ar-SA"/>
        </w:rPr>
        <w:t>Hunt; Kripps v. Touche Ross &amp; Co.</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94 D.L.R. (4th) 284</w:t>
        </w:r>
      </w:hyperlink>
      <w:r>
        <w:rPr>
          <w:rFonts w:ascii="arial" w:eastAsia="arial" w:hAnsi="arial" w:cs="arial"/>
          <w:color w:val="000000"/>
          <w:sz w:val="20"/>
          <w:lang w:val="en-US" w:eastAsia="en-US" w:bidi="ar-SA"/>
        </w:rPr>
        <w:t xml:space="preserve"> (C.A.) leave to appeal to S.C.C. refused, </w:t>
      </w:r>
      <w:hyperlink r:id="rId125" w:history="1">
        <w:r>
          <w:rPr>
            <w:rFonts w:ascii="arial" w:eastAsia="arial" w:hAnsi="arial" w:cs="arial"/>
            <w:i/>
            <w:color w:val="0077CC"/>
            <w:sz w:val="20"/>
            <w:u w:val="single"/>
            <w:shd w:val="clear" w:color="auto" w:fill="FFFFFF"/>
            <w:lang w:val="en-US" w:eastAsia="en-US" w:bidi="ar-SA"/>
          </w:rPr>
          <w:t>[1992] S.C.C.A. No. 490</w:t>
        </w:r>
      </w:hyperlink>
      <w:r>
        <w:rPr>
          <w:rFonts w:ascii="arial" w:eastAsia="arial" w:hAnsi="arial" w:cs="arial"/>
          <w:color w:val="000000"/>
          <w:sz w:val="20"/>
          <w:lang w:val="en-US" w:eastAsia="en-US" w:bidi="ar-SA"/>
        </w:rPr>
        <w:t xml:space="preserve">, [1990] S.C.C.A. No. 491, </w:t>
      </w:r>
      <w:hyperlink r:id="rId126" w:history="1">
        <w:r>
          <w:rPr>
            <w:rFonts w:ascii="arial" w:eastAsia="arial" w:hAnsi="arial" w:cs="arial"/>
            <w:i/>
            <w:color w:val="0077CC"/>
            <w:sz w:val="20"/>
            <w:u w:val="single"/>
            <w:shd w:val="clear" w:color="auto" w:fill="FFFFFF"/>
            <w:lang w:val="en-US" w:eastAsia="en-US" w:bidi="ar-SA"/>
          </w:rPr>
          <w:t>[1993] 2 S.C.R. viii</w:t>
        </w:r>
      </w:hyperlink>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101 D.L.R. (4th) vii</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Is Canada Immune from Liability under the </w:t>
            </w:r>
            <w:r>
              <w:rPr>
                <w:rFonts w:ascii="arial" w:eastAsia="arial" w:hAnsi="arial" w:cs="arial"/>
                <w:b/>
                <w:i/>
                <w:color w:val="000000"/>
                <w:sz w:val="18"/>
                <w:lang w:val="en-US" w:eastAsia="en-US" w:bidi="ar-SA"/>
              </w:rPr>
              <w:t>Costs Recovery Act</w:t>
            </w:r>
            <w:r>
              <w:rPr>
                <w:rFonts w:ascii="arial" w:eastAsia="arial" w:hAnsi="arial" w:cs="arial"/>
                <w:b/>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Canada submits the third party proceedings disclose no reasonable cause of action because, as a matter of law, the Federal Crown is immune from liability under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The issue of Crown immunity, which is fatal to the Defendants' Third Party Notices, is one that is capable of being determined in the absence of a full factual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say it is by no means plain and obvious that Canada cannot be bound by provincial legislation. They argue that Canada is invoking interjurisdictional immunity, which is not uniformly supported by the case authorities. At the very least, they say, the issue is one that ought to be determined at trial with the advantage of a full factual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Defendants argue that even if Canada is not directly bound by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it is nevertheless bound in accordance with the </w:t>
      </w:r>
      <w:r>
        <w:rPr>
          <w:rFonts w:ascii="arial" w:eastAsia="arial" w:hAnsi="arial" w:cs="arial"/>
          <w:b/>
          <w:i/>
          <w:color w:val="000000"/>
          <w:sz w:val="20"/>
          <w:lang w:val="en-US" w:eastAsia="en-US" w:bidi="ar-SA"/>
        </w:rPr>
        <w:t>CLPA</w:t>
      </w:r>
      <w:r>
        <w:rPr>
          <w:rFonts w:ascii="arial" w:eastAsia="arial" w:hAnsi="arial" w:cs="arial"/>
          <w:color w:val="000000"/>
          <w:sz w:val="20"/>
          <w:lang w:val="en-US" w:eastAsia="en-US" w:bidi="ar-SA"/>
        </w:rPr>
        <w:t xml:space="preserve">. They say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creates or modifies an action in tort, and the </w:t>
      </w:r>
      <w:r>
        <w:rPr>
          <w:rFonts w:ascii="arial" w:eastAsia="arial" w:hAnsi="arial" w:cs="arial"/>
          <w:b/>
          <w:i/>
          <w:color w:val="000000"/>
          <w:sz w:val="20"/>
          <w:lang w:val="en-US" w:eastAsia="en-US" w:bidi="ar-SA"/>
        </w:rPr>
        <w:t>CLPA</w:t>
      </w:r>
      <w:r>
        <w:rPr>
          <w:rFonts w:ascii="arial" w:eastAsia="arial" w:hAnsi="arial" w:cs="arial"/>
          <w:color w:val="000000"/>
          <w:sz w:val="20"/>
          <w:lang w:val="en-US" w:eastAsia="en-US" w:bidi="ar-SA"/>
        </w:rPr>
        <w:t xml:space="preserve"> renders Canada liable for tortious conduct. For that reason, Canada is not immune from liability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British Columbia supports the Defendants' position on the issue of Canada's immunity. According to British Columbia, Crown immunity does not necessarily exclude the application of a provincial statute such as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which has been determined to be constitutionally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xml:space="preserve"> the provincial legislature. It argues there is no constitutional principle that provincial enactments cannot bind the federal Crown. British Columbia also argues that Canada has not provided any basis on which it could be said the application of the Act to Canada would impermissibly encroach on an area of exclusively federal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British Columbia says the real question is whether the Act should be interpreted so as not to apply to Canada even on the facts as alleged by the Defendants. The interpretive question that Canada's motion to strike poses does not have a plain and obvious answer at this stage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79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u w:val="single"/>
                <w:lang w:val="en-US" w:eastAsia="en-US" w:bidi="ar-SA"/>
              </w:rPr>
              <w:t>1.</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u w:val="single"/>
                <w:lang w:val="en-US" w:eastAsia="en-US" w:bidi="ar-SA"/>
              </w:rPr>
              <w:t>The Crown Immunity Doctrine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law is clear that absent any legislative provision to the contrary, the Crown (whether Federal or Provincial) is immune from the application of statutory law. In </w:t>
      </w:r>
      <w:r>
        <w:rPr>
          <w:rFonts w:ascii="arial" w:eastAsia="arial" w:hAnsi="arial" w:cs="arial"/>
          <w:b/>
          <w:i/>
          <w:color w:val="000000"/>
          <w:sz w:val="20"/>
          <w:lang w:val="en-US" w:eastAsia="en-US" w:bidi="ar-SA"/>
        </w:rPr>
        <w:t>Rudolph Wolff &amp; Co. v. Canada,</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[1990] 1 S.C.R. 695</w:t>
        </w:r>
      </w:hyperlink>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69 D.L.R. (4th) 392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Wolff</w:t>
      </w:r>
      <w:r>
        <w:rPr>
          <w:rFonts w:ascii="arial" w:eastAsia="arial" w:hAnsi="arial" w:cs="arial"/>
          <w:color w:val="000000"/>
          <w:sz w:val="20"/>
          <w:lang w:val="en-US" w:eastAsia="en-US" w:bidi="ar-SA"/>
        </w:rPr>
        <w:t>], the Supreme Court of Canada said the following at p. 699: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common law there was no jurisdiction in the courts to hear an action against the Crown. The ability to bring such an action was derived solely from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British Columbia,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purports to reverse the presumption of Crown immunity. In doing so, it is clear that the provincial legislature has reversed the presumption of Crown immunity in respect of the Provincial Crown. However, in the present case the question is whether the province is capable of reversing the presumption in respect of the Federal Crown. The answer depends on whether the Federal Crown enjoys immunity from being bound by provincial legislation, a form of so-called "interjurisdictional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u w:val="single"/>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u w:val="single"/>
                <w:lang w:val="en-US" w:eastAsia="en-US" w:bidi="ar-SA"/>
              </w:rPr>
              <w:t>Capacity of the Province to Bind the Federal Crown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British Columbia framed the issue at hand as a question of whether interjurisdictional immunity exists in Canada, and argued that the case authority does not support its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cannot agree with that characterization of the issue because the term "interjurisdictional immunity" has different meanings in different contexts. The term has been used to describe the exclusivity or "water-tightness" of federal and provincial powers under sections 91 and 92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(see, e.g., </w:t>
      </w:r>
      <w:r>
        <w:rPr>
          <w:rFonts w:ascii="arial" w:eastAsia="arial" w:hAnsi="arial" w:cs="arial"/>
          <w:b/>
          <w:i/>
          <w:color w:val="000000"/>
          <w:sz w:val="20"/>
          <w:lang w:val="en-US" w:eastAsia="en-US" w:bidi="ar-SA"/>
        </w:rPr>
        <w:t>O.P.S.E.U. v. Ontario (Attorney General)</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[1987] 2 S.C.R. 2</w:t>
        </w:r>
      </w:hyperlink>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41 D.L.R. (4th) 1</w:t>
        </w:r>
      </w:hyperlink>
      <w:r>
        <w:rPr>
          <w:rFonts w:ascii="arial" w:eastAsia="arial" w:hAnsi="arial" w:cs="arial"/>
          <w:color w:val="000000"/>
          <w:sz w:val="20"/>
          <w:lang w:val="en-US" w:eastAsia="en-US" w:bidi="ar-SA"/>
        </w:rPr>
        <w:t xml:space="preserve">). However, it has also been used to describe the purported inability of the Crown in right of one jurisdiction to bind the Crown in right of another, even with respect to matters within its legislative capacity. With regard to the latter use of the term, the Supreme Court of Canada has not addressed the issue of whether interjurisdictional immunity exists generally. Instead, it has examined the separate questions of whether the Federal Crown is immune from the legislative force of the provinces (as it did in </w:t>
      </w:r>
      <w:r>
        <w:rPr>
          <w:rFonts w:ascii="arial" w:eastAsia="arial" w:hAnsi="arial" w:cs="arial"/>
          <w:b/>
          <w:i/>
          <w:color w:val="000000"/>
          <w:sz w:val="20"/>
          <w:lang w:val="en-US" w:eastAsia="en-US" w:bidi="ar-SA"/>
        </w:rPr>
        <w:t>Attorney General (Que.) and Keable v. Attorney General (Can.) et. al</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[1979] 1 S.C.R. 218</w:t>
        </w:r>
      </w:hyperlink>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90 D.L.R. (3d) 161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Keable</w:t>
      </w:r>
      <w:r>
        <w:rPr>
          <w:rFonts w:ascii="arial" w:eastAsia="arial" w:hAnsi="arial" w:cs="arial"/>
          <w:color w:val="000000"/>
          <w:sz w:val="20"/>
          <w:lang w:val="en-US" w:eastAsia="en-US" w:bidi="ar-SA"/>
        </w:rPr>
        <w:t xml:space="preserve">]) and whether the Provincial Crown is immune from the legislative force of the Federal government (as it did in </w:t>
      </w:r>
      <w:r>
        <w:rPr>
          <w:rFonts w:ascii="arial" w:eastAsia="arial" w:hAnsi="arial" w:cs="arial"/>
          <w:b/>
          <w:i/>
          <w:color w:val="000000"/>
          <w:sz w:val="20"/>
          <w:lang w:val="en-US" w:eastAsia="en-US" w:bidi="ar-SA"/>
        </w:rPr>
        <w:t>Her Majesty in Right of the Province of Alberta v. Canadian Transport Commission</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[1978] 1 S.C.R. 61</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75 D.L.R. (3d) 257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Alberta v. C.T.C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On the issue of whether the Provincial Crown has the power to legislatively bind the Federal Crown, the answer is quite clear that it does not. In </w:t>
      </w:r>
      <w:r>
        <w:rPr>
          <w:rFonts w:ascii="arial" w:eastAsia="arial" w:hAnsi="arial" w:cs="arial"/>
          <w:b/>
          <w:i/>
          <w:color w:val="000000"/>
          <w:sz w:val="20"/>
          <w:lang w:val="en-US" w:eastAsia="en-US" w:bidi="ar-SA"/>
        </w:rPr>
        <w:t>Wolff</w:t>
      </w:r>
      <w:r>
        <w:rPr>
          <w:rFonts w:ascii="arial" w:eastAsia="arial" w:hAnsi="arial" w:cs="arial"/>
          <w:color w:val="000000"/>
          <w:sz w:val="20"/>
          <w:lang w:val="en-US" w:eastAsia="en-US" w:bidi="ar-SA"/>
        </w:rPr>
        <w:t>, the Supreme Court of Canada said the following at p. 700: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beyond question that only the Parliament of Canada could enact statutes to provide that actions could be brought against the Crown in right of Canada. It is only that body which can legislate as to the court in which those claims can be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British Columbia argued that the comments of the Court in </w:t>
      </w:r>
      <w:r>
        <w:rPr>
          <w:rFonts w:ascii="arial" w:eastAsia="arial" w:hAnsi="arial" w:cs="arial"/>
          <w:b/>
          <w:i/>
          <w:color w:val="000000"/>
          <w:sz w:val="20"/>
          <w:lang w:val="en-US" w:eastAsia="en-US" w:bidi="ar-SA"/>
        </w:rPr>
        <w:t>Wolff</w:t>
      </w:r>
      <w:r>
        <w:rPr>
          <w:rFonts w:ascii="arial" w:eastAsia="arial" w:hAnsi="arial" w:cs="arial"/>
          <w:color w:val="000000"/>
          <w:sz w:val="20"/>
          <w:lang w:val="en-US" w:eastAsia="en-US" w:bidi="ar-SA"/>
        </w:rPr>
        <w:t xml:space="preserve"> were made in the context of a different issue (that is, whether provisions of the </w:t>
      </w:r>
      <w:r>
        <w:rPr>
          <w:rFonts w:ascii="arial" w:eastAsia="arial" w:hAnsi="arial" w:cs="arial"/>
          <w:b/>
          <w:i/>
          <w:color w:val="000000"/>
          <w:sz w:val="20"/>
          <w:lang w:val="en-US" w:eastAsia="en-US" w:bidi="ar-SA"/>
        </w:rPr>
        <w:t>Federal Court Act</w:t>
      </w:r>
      <w:r>
        <w:rPr>
          <w:rFonts w:ascii="arial" w:eastAsia="arial" w:hAnsi="arial" w:cs="arial"/>
          <w:color w:val="000000"/>
          <w:sz w:val="20"/>
          <w:lang w:val="en-US" w:eastAsia="en-US" w:bidi="ar-SA"/>
        </w:rPr>
        <w:t xml:space="preserve">, R.S.C. 1970 (2nd Supp.), c. 10 were contrary to s. 15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and are not conclusive of the issue in the present case. I cannot agree. While it is true that </w:t>
      </w:r>
      <w:r>
        <w:rPr>
          <w:rFonts w:ascii="arial" w:eastAsia="arial" w:hAnsi="arial" w:cs="arial"/>
          <w:b/>
          <w:i/>
          <w:color w:val="000000"/>
          <w:sz w:val="20"/>
          <w:lang w:val="en-US" w:eastAsia="en-US" w:bidi="ar-SA"/>
        </w:rPr>
        <w:t>Wolff</w:t>
      </w:r>
      <w:r>
        <w:rPr>
          <w:rFonts w:ascii="arial" w:eastAsia="arial" w:hAnsi="arial" w:cs="arial"/>
          <w:color w:val="000000"/>
          <w:sz w:val="20"/>
          <w:lang w:val="en-US" w:eastAsia="en-US" w:bidi="ar-SA"/>
        </w:rPr>
        <w:t xml:space="preserve"> did not deal with the issue of Crown immunity or division of powers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I do not regard the comments of the Court as any less binding. The comments were made in the course of a discussion concerning the history of actions against the Crown and were not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Further, as the very words of the Court indicate, the existence of Federal Crown immunity from provincial legislation is "beyond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concept of Federal Crown immunity from provincial legislation has its origins in the common law. Its historical roots were discussed by Chief Justice Laskin in </w:t>
      </w:r>
      <w:r>
        <w:rPr>
          <w:rFonts w:ascii="arial" w:eastAsia="arial" w:hAnsi="arial" w:cs="arial"/>
          <w:b/>
          <w:i/>
          <w:color w:val="000000"/>
          <w:sz w:val="20"/>
          <w:lang w:val="en-US" w:eastAsia="en-US" w:bidi="ar-SA"/>
        </w:rPr>
        <w:t>Alberta v. C.T.C.</w:t>
      </w:r>
      <w:r>
        <w:rPr>
          <w:rFonts w:ascii="arial" w:eastAsia="arial" w:hAnsi="arial" w:cs="arial"/>
          <w:color w:val="000000"/>
          <w:sz w:val="20"/>
          <w:lang w:val="en-US" w:eastAsia="en-US" w:bidi="ar-SA"/>
        </w:rPr>
        <w:t xml:space="preserve"> In that case, the government of Alberta challenged the authority of the C.T.C. to require the province's compliance with regulations under the federal </w:t>
      </w:r>
      <w:r>
        <w:rPr>
          <w:rFonts w:ascii="arial" w:eastAsia="arial" w:hAnsi="arial" w:cs="arial"/>
          <w:b/>
          <w:i/>
          <w:color w:val="000000"/>
          <w:sz w:val="20"/>
          <w:lang w:val="en-US" w:eastAsia="en-US" w:bidi="ar-SA"/>
        </w:rPr>
        <w:t>Aeronautics Act</w:t>
      </w:r>
      <w:r>
        <w:rPr>
          <w:rFonts w:ascii="arial" w:eastAsia="arial" w:hAnsi="arial" w:cs="arial"/>
          <w:color w:val="000000"/>
          <w:sz w:val="20"/>
          <w:lang w:val="en-US" w:eastAsia="en-US" w:bidi="ar-SA"/>
        </w:rPr>
        <w:t>, R.S.C. 1970, c. A-3. The issue was whether the Provincial Crown could be bound by federal legislation. Laskin C.J. began his analysis with the following observation at p.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the Crown, whether in right of Canada or in right of a Province, is not a "person" under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or under the </w:t>
      </w:r>
      <w:r>
        <w:rPr>
          <w:rFonts w:ascii="arial" w:eastAsia="arial" w:hAnsi="arial" w:cs="arial"/>
          <w:i/>
          <w:color w:val="000000"/>
          <w:sz w:val="20"/>
          <w:lang w:val="en-US" w:eastAsia="en-US" w:bidi="ar-SA"/>
        </w:rPr>
        <w:t>Air Carrier Regulations</w:t>
      </w:r>
      <w:r>
        <w:rPr>
          <w:rFonts w:ascii="arial" w:eastAsia="arial" w:hAnsi="arial" w:cs="arial"/>
          <w:color w:val="000000"/>
          <w:sz w:val="20"/>
          <w:lang w:val="en-US" w:eastAsia="en-US" w:bidi="ar-SA"/>
        </w:rPr>
        <w:t xml:space="preserve">, ... The Crown can be a "person" for the purposes of the Act and Regulations only if it can be found that it is included in the regulatory scheme by necessary implication. The common law position as to such inclusion is stated in </w:t>
      </w:r>
      <w:r>
        <w:rPr>
          <w:rFonts w:ascii="arial" w:eastAsia="arial" w:hAnsi="arial" w:cs="arial"/>
          <w:b/>
          <w:i/>
          <w:color w:val="000000"/>
          <w:sz w:val="20"/>
          <w:lang w:val="en-US" w:eastAsia="en-US" w:bidi="ar-SA"/>
        </w:rPr>
        <w:t>Bombay Province v. Bombay Municipal Corporation</w:t>
      </w:r>
      <w:r>
        <w:rPr>
          <w:rFonts w:ascii="arial" w:eastAsia="arial" w:hAnsi="arial" w:cs="arial"/>
          <w:color w:val="000000"/>
          <w:sz w:val="20"/>
          <w:lang w:val="en-US" w:eastAsia="en-US" w:bidi="ar-SA"/>
        </w:rPr>
        <w:t xml:space="preserve"> [1947] A.C. 58, where Lord du Parcq said this (at p. 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general principle to be applied in considering whether or not the Crown is bound by general words in a statute is not in doubt. The maxim of the law in early times was that no statute bound the Crown unless the Crown was expressly named therein ... But the rule so laid down is subject to at least one exception. The Crown may be bound, as has often been said, "by necessary implication". If, that is to say, it is manifest from the very terms of the statute, that it was the intention of the Legislature that the Crown should be bound, then the result is the same as if the Crown had been expressly named.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Laskin C.J. noted that the court in </w:t>
      </w:r>
      <w:r>
        <w:rPr>
          <w:rFonts w:ascii="arial" w:eastAsia="arial" w:hAnsi="arial" w:cs="arial"/>
          <w:b/>
          <w:i/>
          <w:color w:val="000000"/>
          <w:sz w:val="20"/>
          <w:lang w:val="en-US" w:eastAsia="en-US" w:bidi="ar-SA"/>
        </w:rPr>
        <w:t>Bombay Province</w:t>
      </w:r>
      <w:r>
        <w:rPr>
          <w:rFonts w:ascii="arial" w:eastAsia="arial" w:hAnsi="arial" w:cs="arial"/>
          <w:color w:val="000000"/>
          <w:sz w:val="20"/>
          <w:lang w:val="en-US" w:eastAsia="en-US" w:bidi="ar-SA"/>
        </w:rPr>
        <w:t xml:space="preserve"> said the Crown may also be bound by necessary inference if the purpose of the legislation would be "wholly frustrated" unless the Crown were 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common law principle of Crown immunity has been replaced by s. 17 of the federal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R.S.C. 1985, c. l-21 (which was s. 16 at the time the decision in </w:t>
      </w:r>
      <w:r>
        <w:rPr>
          <w:rFonts w:ascii="arial" w:eastAsia="arial" w:hAnsi="arial" w:cs="arial"/>
          <w:b/>
          <w:i/>
          <w:color w:val="000000"/>
          <w:sz w:val="20"/>
          <w:lang w:val="en-US" w:eastAsia="en-US" w:bidi="ar-SA"/>
        </w:rPr>
        <w:t>Alberta v. C.T.C.</w:t>
      </w:r>
      <w:r>
        <w:rPr>
          <w:rFonts w:ascii="arial" w:eastAsia="arial" w:hAnsi="arial" w:cs="arial"/>
          <w:color w:val="000000"/>
          <w:sz w:val="20"/>
          <w:lang w:val="en-US" w:eastAsia="en-US" w:bidi="ar-SA"/>
        </w:rPr>
        <w:t xml:space="preserve"> was published)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enactment is binding on Her Majesty or affects Her Majesty or Her Majesty's rights or prerogatives in any manner, except as mentioned or referred to in the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narrow issue in </w:t>
      </w:r>
      <w:r>
        <w:rPr>
          <w:rFonts w:ascii="arial" w:eastAsia="arial" w:hAnsi="arial" w:cs="arial"/>
          <w:b/>
          <w:i/>
          <w:color w:val="000000"/>
          <w:sz w:val="20"/>
          <w:lang w:val="en-US" w:eastAsia="en-US" w:bidi="ar-SA"/>
        </w:rPr>
        <w:t>Alberta v. C.T.C.</w:t>
      </w:r>
      <w:r>
        <w:rPr>
          <w:rFonts w:ascii="arial" w:eastAsia="arial" w:hAnsi="arial" w:cs="arial"/>
          <w:color w:val="000000"/>
          <w:sz w:val="20"/>
          <w:lang w:val="en-US" w:eastAsia="en-US" w:bidi="ar-SA"/>
        </w:rPr>
        <w:t xml:space="preserve"> was whether Crown immunity extended to the Crown in right of the Province in light of the specific provisions of the legislation in question. Laskin C.J. first observed at p. 72 that the immunity of the Federal Crown to provincial legislation is a well-settled rule in Canadian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point that I raise, namely whether Her Majesty or the Crown, where generally referred to in federal or provincial legislation should be taken to mean the Crown in right of Canada or of a Province, as the case may be, </w:t>
      </w:r>
      <w:r>
        <w:rPr>
          <w:rFonts w:ascii="arial" w:eastAsia="arial" w:hAnsi="arial" w:cs="arial"/>
          <w:i/>
          <w:color w:val="000000"/>
          <w:sz w:val="20"/>
          <w:lang w:val="en-US" w:eastAsia="en-US" w:bidi="ar-SA"/>
        </w:rPr>
        <w:t>is influenced by the fact that a Provincial Legislature cannot in valid exercise of its legislative power, embrace the Crown in right of Canada in any compulsory regulation</w:t>
      </w:r>
      <w:r>
        <w:rPr>
          <w:rFonts w:ascii="arial" w:eastAsia="arial" w:hAnsi="arial" w:cs="arial"/>
          <w:color w:val="000000"/>
          <w:sz w:val="20"/>
          <w:lang w:val="en-US" w:eastAsia="en-US" w:bidi="ar-SA"/>
        </w:rPr>
        <w:t>. This does not mean that the federal Crown may not find itself subject to provincial legislation where it seeks to take the benefit thereof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Laskin C.J. concluded that the impugned legislation did not "mention or refer to" the Provincial Crown and accordingly Alberta was entitled to rely on its Crown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Federal Crown immunity from provincial legislation was the central issue in </w:t>
      </w:r>
      <w:r>
        <w:rPr>
          <w:rFonts w:ascii="arial" w:eastAsia="arial" w:hAnsi="arial" w:cs="arial"/>
          <w:b/>
          <w:i/>
          <w:color w:val="000000"/>
          <w:sz w:val="20"/>
          <w:lang w:val="en-US" w:eastAsia="en-US" w:bidi="ar-SA"/>
        </w:rPr>
        <w:t>Keable</w:t>
      </w:r>
      <w:r>
        <w:rPr>
          <w:rFonts w:ascii="arial" w:eastAsia="arial" w:hAnsi="arial" w:cs="arial"/>
          <w:color w:val="000000"/>
          <w:sz w:val="20"/>
          <w:lang w:val="en-US" w:eastAsia="en-US" w:bidi="ar-SA"/>
        </w:rPr>
        <w:t xml:space="preserve">. Keable was appointed Commissioner of an inquiry created by the province of Quebec under its provincial </w:t>
      </w:r>
      <w:r>
        <w:rPr>
          <w:rFonts w:ascii="arial" w:eastAsia="arial" w:hAnsi="arial" w:cs="arial"/>
          <w:b/>
          <w:i/>
          <w:color w:val="000000"/>
          <w:sz w:val="20"/>
          <w:lang w:val="en-US" w:eastAsia="en-US" w:bidi="ar-SA"/>
        </w:rPr>
        <w:t>Public Inquiry Commission Act</w:t>
      </w:r>
      <w:r>
        <w:rPr>
          <w:rFonts w:ascii="arial" w:eastAsia="arial" w:hAnsi="arial" w:cs="arial"/>
          <w:color w:val="000000"/>
          <w:sz w:val="20"/>
          <w:lang w:val="en-US" w:eastAsia="en-US" w:bidi="ar-SA"/>
        </w:rPr>
        <w:t xml:space="preserve"> to investigate allegedly illegal activities of the R.C.M.P. As Commissioner, he sought to inquire into the administration and management of the police force, which operates under the authority of a federal statute. The issue was the scope of Keable's power to do so when his mandate derived from provincial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Pigeon J. (Estey and Pratte JJ. concurring), concluded that while the inquiry was properly constituted under provincial legislation to investigate criminal acts, it could not bind the Federal Crown with respect to the administration of the force. The basis for his conclusion was the rule that provincial legislation cannot bind the Federal Crown. At p. 242, Pigeon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Parliament's authority for the establishment of this force and its management as part of the Government of Canada is unquestioned. It is therefore clear that no provincial authority may intrude into its management. While members of the force enjoy no immunity from the criminal law and the jurisdiction of the proper provincial authorities to investigate and prosecute criminal acts committed by any of them as by any other person, these authorities cannot, under the guise of carrying on such investigations, pursue the inquiry into the administration and management of the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For the same reason, the Commissioner could not compel the Solicitor General to participate in the inquiry. Pigeon J., referring to the earlier decision of the Court in </w:t>
      </w:r>
      <w:r>
        <w:rPr>
          <w:rFonts w:ascii="arial" w:eastAsia="arial" w:hAnsi="arial" w:cs="arial"/>
          <w:b/>
          <w:i/>
          <w:color w:val="000000"/>
          <w:sz w:val="20"/>
          <w:lang w:val="en-US" w:eastAsia="en-US" w:bidi="ar-SA"/>
        </w:rPr>
        <w:t>Alberta v. C.T.C.</w:t>
      </w:r>
      <w:r>
        <w:rPr>
          <w:rFonts w:ascii="arial" w:eastAsia="arial" w:hAnsi="arial" w:cs="arial"/>
          <w:color w:val="000000"/>
          <w:sz w:val="20"/>
          <w:lang w:val="en-US" w:eastAsia="en-US" w:bidi="ar-SA"/>
        </w:rPr>
        <w:t xml:space="preserve"> said the following at p. 244: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 common law, a commission of inquiry has no power to compel the attendance of witnesses and to require the production of documents. Any jurisdiction for such purposes depends on statutory authority, and it seems clear that provincial legislation cannot be effective by itself to confer such jurisdiction as against the Crown in right of Canada. In the recent case of </w:t>
      </w:r>
      <w:r>
        <w:rPr>
          <w:rFonts w:ascii="arial" w:eastAsia="arial" w:hAnsi="arial" w:cs="arial"/>
          <w:b/>
          <w:i/>
          <w:color w:val="000000"/>
          <w:sz w:val="20"/>
          <w:lang w:val="en-US" w:eastAsia="en-US" w:bidi="ar-SA"/>
        </w:rPr>
        <w:t>Her Majesty in right of Canada v. C.T.C.</w:t>
      </w:r>
      <w:r>
        <w:rPr>
          <w:rFonts w:ascii="arial" w:eastAsia="arial" w:hAnsi="arial" w:cs="arial"/>
          <w:color w:val="000000"/>
          <w:sz w:val="20"/>
          <w:lang w:val="en-US" w:eastAsia="en-US" w:bidi="ar-SA"/>
        </w:rPr>
        <w:t>, Laskin C.J., said with the concurrence of all but two of the other members of the Court (at. p. 72):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Provincial Legislature cannot, in the valid exercise of its legislative power, embrace the Crown in right of Canada in any compulsory 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Quebec North Shore Paper v. C.P. Ltd.</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[1977] 2 S.C.R. 1054</w:t>
        </w:r>
      </w:hyperlink>
      <w:r>
        <w:rPr>
          <w:rFonts w:ascii="arial" w:eastAsia="arial" w:hAnsi="arial" w:cs="arial"/>
          <w:color w:val="000000"/>
          <w:sz w:val="20"/>
          <w:lang w:val="en-US" w:eastAsia="en-US" w:bidi="ar-SA"/>
        </w:rPr>
        <w:t>, Laskin C.J., said, speaking for the full court, (at p. 1063):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It should be recalled that the law respecting the Crown came into Canada as part of the public or constitutional law of Great Britain, and there can be no pretence that that law is provincial law. In so far as there is a common law associated with the Crown's position as a litigant it is federal law in relation to the Crown in right of Canada, just as it is provincial law in relation to the Crown in right of a Province, and is subject to modification in each case by the competent Parliament or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Finally, at p. 245 Pigeon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Gautier v. the King</w:t>
      </w:r>
      <w:r>
        <w:rPr>
          <w:rFonts w:ascii="arial" w:eastAsia="arial" w:hAnsi="arial" w:cs="arial"/>
          <w:color w:val="000000"/>
          <w:sz w:val="20"/>
          <w:lang w:val="en-US" w:eastAsia="en-US" w:bidi="ar-SA"/>
        </w:rPr>
        <w:t>, Anglin J., as he then was, said at p. 194: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Provincial legislation cannot </w:t>
      </w:r>
      <w:r>
        <w:rPr>
          <w:rFonts w:ascii="arial" w:eastAsia="arial" w:hAnsi="arial" w:cs="arial"/>
          <w:i/>
          <w:color w:val="000000"/>
          <w:sz w:val="20"/>
          <w:lang w:val="en-US" w:eastAsia="en-US" w:bidi="ar-SA"/>
        </w:rPr>
        <w:t>proprio vigore</w:t>
      </w:r>
      <w:r>
        <w:rPr>
          <w:rFonts w:ascii="arial" w:eastAsia="arial" w:hAnsi="arial" w:cs="arial"/>
          <w:color w:val="000000"/>
          <w:sz w:val="20"/>
          <w:lang w:val="en-US" w:eastAsia="en-US" w:bidi="ar-SA"/>
        </w:rPr>
        <w:t xml:space="preserve"> take away or abridge any privilege of the Crown in right of the Dominion.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the present case, British Columbia argued that the statements in both </w:t>
      </w:r>
      <w:r>
        <w:rPr>
          <w:rFonts w:ascii="arial" w:eastAsia="arial" w:hAnsi="arial" w:cs="arial"/>
          <w:b/>
          <w:i/>
          <w:color w:val="000000"/>
          <w:sz w:val="20"/>
          <w:lang w:val="en-US" w:eastAsia="en-US" w:bidi="ar-SA"/>
        </w:rPr>
        <w:t>Alberta v. C.T.C.</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Keable</w:t>
      </w:r>
      <w:r>
        <w:rPr>
          <w:rFonts w:ascii="arial" w:eastAsia="arial" w:hAnsi="arial" w:cs="arial"/>
          <w:color w:val="000000"/>
          <w:sz w:val="20"/>
          <w:lang w:val="en-US" w:eastAsia="en-US" w:bidi="ar-SA"/>
        </w:rPr>
        <w:t xml:space="preserve"> with respect to the immunity of the Federal Crown from provincial legislation were simply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Further, said British Columbia, in both cases the Court simply accepted as binding some questionable assertions contained in the prior decision of </w:t>
      </w:r>
      <w:r>
        <w:rPr>
          <w:rFonts w:ascii="arial" w:eastAsia="arial" w:hAnsi="arial" w:cs="arial"/>
          <w:b/>
          <w:i/>
          <w:color w:val="000000"/>
          <w:sz w:val="20"/>
          <w:lang w:val="en-US" w:eastAsia="en-US" w:bidi="ar-SA"/>
        </w:rPr>
        <w:t>Gauthier v. The King</w:t>
      </w:r>
      <w:r>
        <w:rPr>
          <w:rFonts w:ascii="arial" w:eastAsia="arial" w:hAnsi="arial" w:cs="arial"/>
          <w:color w:val="000000"/>
          <w:sz w:val="20"/>
          <w:lang w:val="en-US" w:eastAsia="en-US" w:bidi="ar-SA"/>
        </w:rPr>
        <w:t xml:space="preserve"> (1917), 56 S.C.R. 176, </w:t>
      </w:r>
      <w:hyperlink r:id="rId133" w:history="1">
        <w:r>
          <w:rPr>
            <w:rFonts w:ascii="arial" w:eastAsia="arial" w:hAnsi="arial" w:cs="arial"/>
            <w:i/>
            <w:color w:val="0077CC"/>
            <w:sz w:val="20"/>
            <w:u w:val="single"/>
            <w:shd w:val="clear" w:color="auto" w:fill="FFFFFF"/>
            <w:lang w:val="en-US" w:eastAsia="en-US" w:bidi="ar-SA"/>
          </w:rPr>
          <w:t>40 D.L.R. 353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Gauthier</w:t>
      </w:r>
      <w:r>
        <w:rPr>
          <w:rFonts w:ascii="arial" w:eastAsia="arial" w:hAnsi="arial" w:cs="arial"/>
          <w:color w:val="000000"/>
          <w:sz w:val="20"/>
          <w:lang w:val="en-US" w:eastAsia="en-US" w:bidi="ar-SA"/>
        </w:rPr>
        <w:t xml:space="preserve">] that were, themselves,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In its written argument, British Columbia rather boldly stated that "no reasoning of any substance, let alone a provision of the constitution, was offered by the </w:t>
      </w:r>
      <w:r>
        <w:rPr>
          <w:rFonts w:ascii="arial" w:eastAsia="arial" w:hAnsi="arial" w:cs="arial"/>
          <w:b/>
          <w:i/>
          <w:color w:val="000000"/>
          <w:sz w:val="20"/>
          <w:lang w:val="en-US" w:eastAsia="en-US" w:bidi="ar-SA"/>
        </w:rPr>
        <w:t>Gauthier</w:t>
      </w:r>
      <w:r>
        <w:rPr>
          <w:rFonts w:ascii="arial" w:eastAsia="arial" w:hAnsi="arial" w:cs="arial"/>
          <w:color w:val="000000"/>
          <w:sz w:val="20"/>
          <w:lang w:val="en-US" w:eastAsia="en-US" w:bidi="ar-SA"/>
        </w:rPr>
        <w:t xml:space="preserve"> Court to support those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cannot accept British Columbia's argument. First, the statement of Anglin J. in </w:t>
      </w:r>
      <w:r>
        <w:rPr>
          <w:rFonts w:ascii="arial" w:eastAsia="arial" w:hAnsi="arial" w:cs="arial"/>
          <w:b/>
          <w:i/>
          <w:color w:val="000000"/>
          <w:sz w:val="20"/>
          <w:lang w:val="en-US" w:eastAsia="en-US" w:bidi="ar-SA"/>
        </w:rPr>
        <w:t>Gauthier</w:t>
      </w:r>
      <w:r>
        <w:rPr>
          <w:rFonts w:ascii="arial" w:eastAsia="arial" w:hAnsi="arial" w:cs="arial"/>
          <w:color w:val="000000"/>
          <w:sz w:val="20"/>
          <w:lang w:val="en-US" w:eastAsia="en-US" w:bidi="ar-SA"/>
        </w:rPr>
        <w:t xml:space="preserve"> was not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The central issue was whether the Federal Crown could be bound by a provincial statute (in that case, Ontario legislation concerning commercial arbitration). On the basis of the rule that provincial legislation cannot bind the Federal Crown, the Court concluded that Ontario could not compel the Federal Government to submit to arbitration under a regime created by provincial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Second, the statements of the Court in the two earlier referenced decisions are not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In both cases, the Court was discussing the origins of Crown immunity. In </w:t>
      </w:r>
      <w:r>
        <w:rPr>
          <w:rFonts w:ascii="arial" w:eastAsia="arial" w:hAnsi="arial" w:cs="arial"/>
          <w:b/>
          <w:i/>
          <w:color w:val="000000"/>
          <w:sz w:val="20"/>
          <w:lang w:val="en-US" w:eastAsia="en-US" w:bidi="ar-SA"/>
        </w:rPr>
        <w:t>Keable,</w:t>
      </w:r>
      <w:r>
        <w:rPr>
          <w:rFonts w:ascii="arial" w:eastAsia="arial" w:hAnsi="arial" w:cs="arial"/>
          <w:color w:val="000000"/>
          <w:sz w:val="20"/>
          <w:lang w:val="en-US" w:eastAsia="en-US" w:bidi="ar-SA"/>
        </w:rPr>
        <w:t xml:space="preserve"> as in the present case, the very issue was whether the Federal Crown could be bound by provincial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issue has been regarded as well-settled in this province. In </w:t>
      </w:r>
      <w:r>
        <w:rPr>
          <w:rFonts w:ascii="arial" w:eastAsia="arial" w:hAnsi="arial" w:cs="arial"/>
          <w:b/>
          <w:i/>
          <w:color w:val="000000"/>
          <w:sz w:val="20"/>
          <w:lang w:val="en-US" w:eastAsia="en-US" w:bidi="ar-SA"/>
        </w:rPr>
        <w:t>F.B.D.B. v. Hillcrest Motor Inn Inc.</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(1986), 6 B.C.L.R. (2d) 223</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[1986] 6 W.W.R. 444</w:t>
        </w:r>
      </w:hyperlink>
      <w:r>
        <w:rPr>
          <w:rFonts w:ascii="arial" w:eastAsia="arial" w:hAnsi="arial" w:cs="arial"/>
          <w:color w:val="000000"/>
          <w:sz w:val="20"/>
          <w:lang w:val="en-US" w:eastAsia="en-US" w:bidi="ar-SA"/>
        </w:rPr>
        <w:t xml:space="preserve"> (S.C.), the issue was whether the bank, as agent of the Federal Crown, could be bound by the province's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which purported to give priority to assessments levied by the Workers' Compensation Board. There was little doubt, said Low J. (as he then was) that the legislature </w:t>
      </w:r>
      <w:r>
        <w:rPr>
          <w:rFonts w:ascii="arial" w:eastAsia="arial" w:hAnsi="arial" w:cs="arial"/>
          <w:i/>
          <w:color w:val="000000"/>
          <w:sz w:val="20"/>
          <w:lang w:val="en-US" w:eastAsia="en-US" w:bidi="ar-SA"/>
        </w:rPr>
        <w:t>intended</w:t>
      </w:r>
      <w:r>
        <w:rPr>
          <w:rFonts w:ascii="arial" w:eastAsia="arial" w:hAnsi="arial" w:cs="arial"/>
          <w:color w:val="000000"/>
          <w:sz w:val="20"/>
          <w:lang w:val="en-US" w:eastAsia="en-US" w:bidi="ar-SA"/>
        </w:rPr>
        <w:t xml:space="preserve"> to give the assessments priority over claims of the Federal Crown. The question, however, was whether it was within the legislative capacity of the province to do so. Low J. concluded at p. 231 that the case law was "heavily weighted" against the view that provincial legislation could bind the Federal Crown: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federal Crown prerogative is succinctly stated in </w:t>
      </w:r>
      <w:r>
        <w:rPr>
          <w:rFonts w:ascii="arial" w:eastAsia="arial" w:hAnsi="arial" w:cs="arial"/>
          <w:i/>
          <w:color w:val="000000"/>
          <w:sz w:val="20"/>
          <w:lang w:val="en-US" w:eastAsia="en-US" w:bidi="ar-SA"/>
        </w:rPr>
        <w:t>Re Adams Shoe Co.,</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54 O.L.R. 625</w:t>
        </w:r>
      </w:hyperlink>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4 C.B.R. 375</w:t>
        </w:r>
      </w:hyperlink>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[1923] 4 D.L.R. 927</w:t>
        </w:r>
      </w:hyperlink>
      <w:r>
        <w:rPr>
          <w:rFonts w:ascii="arial" w:eastAsia="arial" w:hAnsi="arial" w:cs="arial"/>
          <w:color w:val="000000"/>
          <w:sz w:val="20"/>
          <w:lang w:val="en-US" w:eastAsia="en-US" w:bidi="ar-SA"/>
        </w:rPr>
        <w:t xml:space="preserve"> at 931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has been well settled that no provincial legislation can either bind or affect the prerogative right of the Crown in the right of the Dominion or take away its common law rights. Therefore, provincial legislation passed, which has the effect of attempting to make taxes a claim prior to the claim of the Crown in the right of the Dominion would be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Burrard Power Co. v. R.,</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[1911] A.C. 87</w:t>
        </w:r>
      </w:hyperlink>
      <w:r>
        <w:rPr>
          <w:rFonts w:ascii="arial" w:eastAsia="arial" w:hAnsi="arial" w:cs="arial"/>
          <w:color w:val="000000"/>
          <w:sz w:val="20"/>
          <w:lang w:val="en-US" w:eastAsia="en-US" w:bidi="ar-SA"/>
        </w:rPr>
        <w:t xml:space="preserve"> (P.C.), and </w:t>
      </w:r>
      <w:r>
        <w:rPr>
          <w:rFonts w:ascii="arial" w:eastAsia="arial" w:hAnsi="arial" w:cs="arial"/>
          <w:i/>
          <w:color w:val="000000"/>
          <w:sz w:val="20"/>
          <w:lang w:val="en-US" w:eastAsia="en-US" w:bidi="ar-SA"/>
        </w:rPr>
        <w:t>Gauthier v. R.</w:t>
      </w:r>
      <w:r>
        <w:rPr>
          <w:rFonts w:ascii="arial" w:eastAsia="arial" w:hAnsi="arial" w:cs="arial"/>
          <w:color w:val="000000"/>
          <w:sz w:val="20"/>
          <w:lang w:val="en-US" w:eastAsia="en-US" w:bidi="ar-SA"/>
        </w:rPr>
        <w:t xml:space="preserve"> [citation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decision of Low J. was upheld on appeal (</w:t>
      </w:r>
      <w:r>
        <w:rPr>
          <w:rFonts w:ascii="arial" w:eastAsia="arial" w:hAnsi="arial" w:cs="arial"/>
          <w:b/>
          <w:i/>
          <w:color w:val="000000"/>
          <w:sz w:val="20"/>
          <w:lang w:val="en-US" w:eastAsia="en-US" w:bidi="ar-SA"/>
        </w:rPr>
        <w:t>F.D.B.D. v. Hillcrest Motor Inn Inc.</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(1988), 26 B.C.L.R. (2d) 379</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51 D.L.R. (4th) 464</w:t>
        </w:r>
      </w:hyperlink>
      <w:r>
        <w:rPr>
          <w:rFonts w:ascii="arial" w:eastAsia="arial" w:hAnsi="arial" w:cs="arial"/>
          <w:color w:val="000000"/>
          <w:sz w:val="20"/>
          <w:lang w:val="en-US" w:eastAsia="en-US" w:bidi="ar-SA"/>
        </w:rPr>
        <w:t xml:space="preserve"> (C.A.)). The Court of Appeal cited </w:t>
      </w:r>
      <w:r>
        <w:rPr>
          <w:rFonts w:ascii="arial" w:eastAsia="arial" w:hAnsi="arial" w:cs="arial"/>
          <w:b/>
          <w:i/>
          <w:color w:val="000000"/>
          <w:sz w:val="20"/>
          <w:lang w:val="en-US" w:eastAsia="en-US" w:bidi="ar-SA"/>
        </w:rPr>
        <w:t>Alberta v. C.T.C.</w:t>
      </w:r>
      <w:r>
        <w:rPr>
          <w:rFonts w:ascii="arial" w:eastAsia="arial" w:hAnsi="arial" w:cs="arial"/>
          <w:color w:val="000000"/>
          <w:sz w:val="20"/>
          <w:lang w:val="en-US" w:eastAsia="en-US" w:bidi="ar-SA"/>
        </w:rPr>
        <w:t xml:space="preserve"> for the proposition that, "a provincial legislature cannot in valid exercise of its legislative power embrace the Crown in right of Canada in any compulsory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British Columbia and the Defendants relied on </w:t>
      </w:r>
      <w:r>
        <w:rPr>
          <w:rFonts w:ascii="arial" w:eastAsia="arial" w:hAnsi="arial" w:cs="arial"/>
          <w:b/>
          <w:i/>
          <w:color w:val="000000"/>
          <w:sz w:val="20"/>
          <w:lang w:val="en-US" w:eastAsia="en-US" w:bidi="ar-SA"/>
        </w:rPr>
        <w:t>Alberta Government Telephones v. Canada (Canadian Radio-Television and Telecommunications Commission)</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[1989] 2 S.C.R. 225</w:t>
        </w:r>
      </w:hyperlink>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61 D.L.R. (4th) 193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Alberta Government Telephones</w:t>
      </w:r>
      <w:r>
        <w:rPr>
          <w:rFonts w:ascii="arial" w:eastAsia="arial" w:hAnsi="arial" w:cs="arial"/>
          <w:color w:val="000000"/>
          <w:sz w:val="20"/>
          <w:lang w:val="en-US" w:eastAsia="en-US" w:bidi="ar-SA"/>
        </w:rPr>
        <w:t xml:space="preserve">] to argue that the Supreme Court of Canada has more recently rejected the concept of interjurisdictional immunity. The decision concerned the creation by provincial statute of Alberta Government Telephones ("AGT") in order to provide telecommunications services within the province. CNCP brought an application to the CRTC for various orders requiring AGT to provide telecommunications connections to CNCP. AGT took the position that it did not fall within the federal regulatory authority of the CRTC pursuant to the </w:t>
      </w:r>
      <w:r>
        <w:rPr>
          <w:rFonts w:ascii="arial" w:eastAsia="arial" w:hAnsi="arial" w:cs="arial"/>
          <w:b/>
          <w:i/>
          <w:color w:val="000000"/>
          <w:sz w:val="20"/>
          <w:lang w:val="en-US" w:eastAsia="en-US" w:bidi="ar-SA"/>
        </w:rPr>
        <w:t>Railway Act</w:t>
      </w:r>
      <w:r>
        <w:rPr>
          <w:rFonts w:ascii="arial" w:eastAsia="arial" w:hAnsi="arial" w:cs="arial"/>
          <w:color w:val="000000"/>
          <w:sz w:val="20"/>
          <w:lang w:val="en-US" w:eastAsia="en-US" w:bidi="ar-SA"/>
        </w:rPr>
        <w:t>, R.S.C. 1985, c. R-3 because it was an agent of the Provincial Crown and, as a result of Crown immunity, could not be bound by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narrow issue before the Supreme Court of Canada was whether, despite being a federal undertaking, AGT was an agent of the Provincial Crown and immune to the provisions of the </w:t>
      </w:r>
      <w:r>
        <w:rPr>
          <w:rFonts w:ascii="arial" w:eastAsia="arial" w:hAnsi="arial" w:cs="arial"/>
          <w:b/>
          <w:i/>
          <w:color w:val="000000"/>
          <w:sz w:val="20"/>
          <w:lang w:val="en-US" w:eastAsia="en-US" w:bidi="ar-SA"/>
        </w:rPr>
        <w:t>Railway Act</w:t>
      </w:r>
      <w:r>
        <w:rPr>
          <w:rFonts w:ascii="arial" w:eastAsia="arial" w:hAnsi="arial" w:cs="arial"/>
          <w:color w:val="000000"/>
          <w:sz w:val="20"/>
          <w:lang w:val="en-US" w:eastAsia="en-US" w:bidi="ar-SA"/>
        </w:rPr>
        <w:t xml:space="preserve"> which conferred jurisdiction on the CRTC. The Court concluded that the Provincial Crown was entitled to the same immunity under s. 17 of the federal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as the Federal Crown. That is, the </w:t>
      </w:r>
      <w:r>
        <w:rPr>
          <w:rFonts w:ascii="arial" w:eastAsia="arial" w:hAnsi="arial" w:cs="arial"/>
          <w:b/>
          <w:i/>
          <w:color w:val="000000"/>
          <w:sz w:val="20"/>
          <w:lang w:val="en-US" w:eastAsia="en-US" w:bidi="ar-SA"/>
        </w:rPr>
        <w:t>Railway Act</w:t>
      </w:r>
      <w:r>
        <w:rPr>
          <w:rFonts w:ascii="arial" w:eastAsia="arial" w:hAnsi="arial" w:cs="arial"/>
          <w:color w:val="000000"/>
          <w:sz w:val="20"/>
          <w:lang w:val="en-US" w:eastAsia="en-US" w:bidi="ar-SA"/>
        </w:rPr>
        <w:t xml:space="preserve"> could not bind AGT unless AGT was "mentioned or referred to" in the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Court held that while the common law rule of Crown immunity had been replaced by s. 16 of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the test as to whether the Crown had been "mentioned or referred to" remained substantially the same as the common law rule described in </w:t>
      </w:r>
      <w:r>
        <w:rPr>
          <w:rFonts w:ascii="arial" w:eastAsia="arial" w:hAnsi="arial" w:cs="arial"/>
          <w:b/>
          <w:i/>
          <w:color w:val="000000"/>
          <w:sz w:val="20"/>
          <w:lang w:val="en-US" w:eastAsia="en-US" w:bidi="ar-SA"/>
        </w:rPr>
        <w:t>Bombay Province</w:t>
      </w:r>
      <w:r>
        <w:rPr>
          <w:rFonts w:ascii="arial" w:eastAsia="arial" w:hAnsi="arial" w:cs="arial"/>
          <w:color w:val="000000"/>
          <w:sz w:val="20"/>
          <w:lang w:val="en-US" w:eastAsia="en-US" w:bidi="ar-SA"/>
        </w:rPr>
        <w:t>. The court said the following at p. 281: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scope of the words "mentioned or referred to" must be given an interpretation independent of the supplanted common law. However, the qualifications in </w:t>
      </w:r>
      <w:r>
        <w:rPr>
          <w:rFonts w:ascii="arial" w:eastAsia="arial" w:hAnsi="arial" w:cs="arial"/>
          <w:i/>
          <w:color w:val="000000"/>
          <w:sz w:val="20"/>
          <w:lang w:val="en-US" w:eastAsia="en-US" w:bidi="ar-SA"/>
        </w:rPr>
        <w:t>Bombay, supra,</w:t>
      </w:r>
      <w:r>
        <w:rPr>
          <w:rFonts w:ascii="arial" w:eastAsia="arial" w:hAnsi="arial" w:cs="arial"/>
          <w:color w:val="000000"/>
          <w:sz w:val="20"/>
          <w:lang w:val="en-US" w:eastAsia="en-US" w:bidi="ar-SA"/>
        </w:rPr>
        <w:t xml:space="preserve"> are based on sound principles of interpretation which have not entirely disappeared over time. It seems to me that the words "mentioned or referred to" in s. 16 are capable of encompassing: (1) expressly binding words ("Her Majesty is bound"); (2) a clear intention to bind which, in </w:t>
      </w:r>
      <w:r>
        <w:rPr>
          <w:rFonts w:ascii="arial" w:eastAsia="arial" w:hAnsi="arial" w:cs="arial"/>
          <w:i/>
          <w:color w:val="000000"/>
          <w:sz w:val="20"/>
          <w:lang w:val="en-US" w:eastAsia="en-US" w:bidi="ar-SA"/>
        </w:rPr>
        <w:t>Bombay</w:t>
      </w:r>
      <w:r>
        <w:rPr>
          <w:rFonts w:ascii="arial" w:eastAsia="arial" w:hAnsi="arial" w:cs="arial"/>
          <w:color w:val="000000"/>
          <w:sz w:val="20"/>
          <w:lang w:val="en-US" w:eastAsia="en-US" w:bidi="ar-SA"/>
        </w:rPr>
        <w:t xml:space="preserve"> terminology, "is manifest from the very terms of the statute", in other words, an intention revealed when provisions are read in the context of other textual provisions ...; and, (3) an intention to bind where the purpose of the statute would be "wholly frustrated" if the government were not bound, or, in other words, if an absurdity (as opposed to simply an undesirable result) were produced. These three points should provide a guideline for when a statue has clearly conveyed an intention to bind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Court concluded that the </w:t>
      </w:r>
      <w:r>
        <w:rPr>
          <w:rFonts w:ascii="arial" w:eastAsia="arial" w:hAnsi="arial" w:cs="arial"/>
          <w:b/>
          <w:i/>
          <w:color w:val="000000"/>
          <w:sz w:val="20"/>
          <w:lang w:val="en-US" w:eastAsia="en-US" w:bidi="ar-SA"/>
        </w:rPr>
        <w:t>Railway Act</w:t>
      </w:r>
      <w:r>
        <w:rPr>
          <w:rFonts w:ascii="arial" w:eastAsia="arial" w:hAnsi="arial" w:cs="arial"/>
          <w:color w:val="000000"/>
          <w:sz w:val="20"/>
          <w:lang w:val="en-US" w:eastAsia="en-US" w:bidi="ar-SA"/>
        </w:rPr>
        <w:t xml:space="preserve"> did not mention or refer to the AGT. For that reason, the CRTC could not invoke its regulatory powers under the Act as against AGT.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Alberta Government Telephones</w:t>
      </w:r>
      <w:r>
        <w:rPr>
          <w:rFonts w:ascii="arial" w:eastAsia="arial" w:hAnsi="arial" w:cs="arial"/>
          <w:color w:val="000000"/>
          <w:sz w:val="20"/>
          <w:lang w:val="en-US" w:eastAsia="en-US" w:bidi="ar-SA"/>
        </w:rPr>
        <w:t xml:space="preserve"> case does not address the issue of whether the Federal Crown can be bound by provincial legislation. The Court was faced with the argument that there exists in Canada the doctrine of governmental immunity tied to the division of powers in sections 91 and 92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The Court rejected the concept of an overarching intergovernmental immunity tied to the constitutional division of powers. It reiterated, however, that the Federal Crown has the power to bind the Crowns in right of the Provinces. The decision is entirely silent on the question of whether the Provinces can bind the Federal Crown, and nothing in it can be taken as addressing the question by implication.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Defendants also relied on the decision of </w:t>
      </w:r>
      <w:r>
        <w:rPr>
          <w:rFonts w:ascii="arial" w:eastAsia="arial" w:hAnsi="arial" w:cs="arial"/>
          <w:b/>
          <w:i/>
          <w:color w:val="000000"/>
          <w:sz w:val="20"/>
          <w:lang w:val="en-US" w:eastAsia="en-US" w:bidi="ar-SA"/>
        </w:rPr>
        <w:t>Canadian Western Bank v. Alberta</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2007 SCC 22</w:t>
        </w:r>
      </w:hyperlink>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[2007] 2 S.C.R. 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in which the circumstances were as follows. Alberta had enacted changes to its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to make federally chartered banks subject to the provincial licensing scheme governing the promotion of insurance products. The Court was confronted with the assertion of the banks that, as federal undertakings, they were immune from regulation by the province of Alberta on the basis of interjurisdictional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Court observed that in most cases, it is not possible for a legislature to exercise its jurisdiction effectively over a matter "without incidentally affecting matters within the jurisdiction of another level of government" (para. 29). Most matters have both provincial and federal aspects. The "pith and substance" doctrine recognizes the interplay between federal and provincial powers, and is the conceptual framework usually invoked to determine the validity of impugned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However, said the Court, in certain narrow circumstances the powers of one level of government must be protected against even incidental intrusions by the other level of government. There are some "works or undertakings, things or persons specifically of federal jurisdiction" with respect to which federal jurisdiction is meant to be exclusive (at para. 41). In those instances, "the text and logic of our federal structure justifies the application of interjurisdictional immunity to certain federal activities'" (at para. 42). Thus, where there is a vital and essential federal interest in question, the doctrine will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On the facts of the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case, the Court concluded there was no vital or indispensable federal interest at play. The federal and provincial legislation in question was complementary rather than conflicting. There was no basis on which to invoke the doctrine of interjurisdictional immunity. Once again, the decision is silent on the issue of whether the Federal Crown can be bound by provincial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issue in the present case is the prerogative of the Federal Crown to determine when and in what circumstances it will incur civil liability. The case law is clear: The liability of the Federal Crown cannot be unilaterally determined by provincial legislation, nor can its common law immunity from suit be unilaterally displaced by provincial legislation. It is federal legislation alone which can have such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accept as correct the position of Canada that the rules governing the liability of the Federal Crown comprise an exclusively federal body of common law overlaid by federal legislation. In the words of the Supreme Court of Canada in </w:t>
      </w:r>
      <w:r>
        <w:rPr>
          <w:rFonts w:ascii="arial" w:eastAsia="arial" w:hAnsi="arial" w:cs="arial"/>
          <w:b/>
          <w:i/>
          <w:color w:val="000000"/>
          <w:sz w:val="20"/>
          <w:lang w:val="en-US" w:eastAsia="en-US" w:bidi="ar-SA"/>
        </w:rPr>
        <w:t>Wolff</w:t>
      </w:r>
      <w:r>
        <w:rPr>
          <w:rFonts w:ascii="arial" w:eastAsia="arial" w:hAnsi="arial" w:cs="arial"/>
          <w:color w:val="000000"/>
          <w:sz w:val="20"/>
          <w:lang w:val="en-US" w:eastAsia="en-US" w:bidi="ar-SA"/>
        </w:rPr>
        <w:t>, "it is beyond question" that only the Parliament of Canada is capable of enacting legislation determining the liability of the Federal Crown. Where there is a federal rule prescribing that provincial statutes be taken into account in determining the rights or liabilities of the Federal Crown, then provincial statutes will apply, but only because there is a federal rule calling for their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u w:val="single"/>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u w:val="single"/>
                <w:lang w:val="en-US" w:eastAsia="en-US" w:bidi="ar-SA"/>
              </w:rPr>
              <w:t xml:space="preserve">The Cause of Action created by the </w:t>
            </w:r>
            <w:r>
              <w:rPr>
                <w:rFonts w:ascii="arial" w:eastAsia="arial" w:hAnsi="arial" w:cs="arial"/>
                <w:b/>
                <w:i/>
                <w:color w:val="000000"/>
                <w:sz w:val="18"/>
                <w:u w:val="single"/>
                <w:lang w:val="en-US" w:eastAsia="en-US" w:bidi="ar-SA"/>
              </w:rPr>
              <w:t>Costs Recovery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Defendants argue that even if Canada is otherwise immune from liability, it cannot claim the protection in the present case because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creates or modifies tortious conduct. That being the case, s. 3 of the </w:t>
      </w:r>
      <w:r>
        <w:rPr>
          <w:rFonts w:ascii="arial" w:eastAsia="arial" w:hAnsi="arial" w:cs="arial"/>
          <w:b/>
          <w:i/>
          <w:color w:val="000000"/>
          <w:sz w:val="20"/>
          <w:lang w:val="en-US" w:eastAsia="en-US" w:bidi="ar-SA"/>
        </w:rPr>
        <w:t>CLPA</w:t>
      </w:r>
      <w:r>
        <w:rPr>
          <w:rFonts w:ascii="arial" w:eastAsia="arial" w:hAnsi="arial" w:cs="arial"/>
          <w:color w:val="000000"/>
          <w:sz w:val="20"/>
          <w:lang w:val="en-US" w:eastAsia="en-US" w:bidi="ar-SA"/>
        </w:rPr>
        <w:t xml:space="preserve"> is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lang w:val="en-US" w:eastAsia="en-US" w:bidi="ar-SA"/>
        </w:rPr>
        <w:t>CLPA</w:t>
      </w:r>
      <w:r>
        <w:rPr>
          <w:rFonts w:ascii="arial" w:eastAsia="arial" w:hAnsi="arial" w:cs="arial"/>
          <w:color w:val="000000"/>
          <w:sz w:val="20"/>
          <w:lang w:val="en-US" w:eastAsia="en-US" w:bidi="ar-SA"/>
        </w:rPr>
        <w:t>, which modifies the common law rule concerning liability of the Federal Crown,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Crown is liable for the damages for which, if it were a person, it would be liable ...</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in respect of</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tort committed by a servant of the Crown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To determine whether this section is applicable to the Federal Crown in the present case, the following questions must be answered:</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actions of a servant or servants of the Federal Crown captured by the descriptions under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"direct and distinct action" contemplated by s. 2(1) of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an action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answer to question 1 is likely in the affirmative. On the facts as pleaded in the Third Party Notices, the employees of Agriculture Canada were involved in the production, assembly or packaging of a tobacco product and are therefore, at least arguably, "manufacturers"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Federal Crown advanced the argument that the </w:t>
      </w:r>
      <w:r>
        <w:rPr>
          <w:rFonts w:ascii="arial" w:eastAsia="arial" w:hAnsi="arial" w:cs="arial"/>
          <w:b/>
          <w:i/>
          <w:color w:val="000000"/>
          <w:sz w:val="20"/>
          <w:lang w:val="en-US" w:eastAsia="en-US" w:bidi="ar-SA"/>
        </w:rPr>
        <w:t>CPLA</w:t>
      </w:r>
      <w:r>
        <w:rPr>
          <w:rFonts w:ascii="arial" w:eastAsia="arial" w:hAnsi="arial" w:cs="arial"/>
          <w:color w:val="000000"/>
          <w:sz w:val="20"/>
          <w:lang w:val="en-US" w:eastAsia="en-US" w:bidi="ar-SA"/>
        </w:rPr>
        <w:t xml:space="preserve"> establishes vicarious liability only on behalf of individual servants while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precludes liability for individuals. In my view, this argument is tenuous, particularly in light of "authority [indicating] that shared liability of servants of one or more departments may be possible": Paul Lordon, </w:t>
      </w:r>
      <w:r>
        <w:rPr>
          <w:rFonts w:ascii="arial" w:eastAsia="arial" w:hAnsi="arial" w:cs="arial"/>
          <w:i/>
          <w:color w:val="000000"/>
          <w:sz w:val="20"/>
          <w:lang w:val="en-US" w:eastAsia="en-US" w:bidi="ar-SA"/>
        </w:rPr>
        <w:t>Crown Law.</w:t>
      </w:r>
      <w:r>
        <w:rPr>
          <w:rFonts w:ascii="arial" w:eastAsia="arial" w:hAnsi="arial" w:cs="arial"/>
          <w:color w:val="000000"/>
          <w:sz w:val="20"/>
          <w:lang w:val="en-US" w:eastAsia="en-US" w:bidi="ar-SA"/>
        </w:rPr>
        <w:t xml:space="preserve"> (Vancouver: Butterworths, 1991) at p. 341.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remaining question is whether s. 2 of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creates or modifies an action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For convenience, I will again reproduce subsections (1) and (2) of s. 2 of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government has a direct and distinct action against a manufacturer to recover the cost of health care benefits caused or contributed to by a tobacco related wrong.</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under subsection (1) is brought by the government in its own right and not on the basis of a subrogated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Under s. 1, "tobacco related wrong" is defined to include both torts and breaches of obligations. The question is whether the fact that the action under s. 2(1) is dependent on the existence of a tort (or breach of obligation) renders it an action in tort. In my view,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As noted earlier, the Supreme Court of Canada, in rejecting the constitutional challenge brought by the Defendants, identified the elements of the statutory cause of action created by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The cause of action is the right of British Columbia to seek recovery of its health care costs. The mischief at which the cause of action is aimed is not remediation of breaches of duty by the tobacco manufacturers to consumers of its products: "The Act leaves breaches of duty to be remedied by the law that gives rise to the duty". (</w:t>
      </w:r>
      <w:r>
        <w:rPr>
          <w:rFonts w:ascii="arial" w:eastAsia="arial" w:hAnsi="arial" w:cs="arial"/>
          <w:b/>
          <w:i/>
          <w:color w:val="000000"/>
          <w:sz w:val="20"/>
          <w:lang w:val="en-US" w:eastAsia="en-US" w:bidi="ar-SA"/>
        </w:rPr>
        <w:t>Imperial Tobacco</w:t>
      </w:r>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Section 2(2) makes clear that the cause of action belongs to British Columbia in its own right; it is not a subrogated claim on behalf of consumers of tobacco products who have suffered as a result of the Defendants' activities. There is no requirement that British Columbia establish damage to any particular consumer resulting from the Defendants' conduct. Further, the clear wording of the section precludes any argument that a duty can be seen to exist between the government and tobacco manufacturers on the basis that the government is acting on behalf of individual insured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It is significant that by operation of s. 2(3) of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claims of British Columbia can succeed even where the Defendants have already been held liable to individual consumers in tort or for breach of duty. The damages capable of recovery under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are purely economic. They have no relation to the extent of the actual damage suffered by individual consumers of tobacco products as a result of the alleged breaches of duty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claim of an individual consumer for damages at common law regarding a tobacco related wrong would be an action based in tort. The consumer would be entitled to compensation for the actual damage he or she suffered as a result of the wrong, which is a hallmark of an action in tort. By contrast, the claim of British Columbia arises from the decision of the provincial government to pass legislation permitting it to recover its costs for providing health care services to its residents. That claim does not seek to make the consumer whole for a loss or injury sustained through any unlawful act or omission of the tobacco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action contemplated by s. 2(1) exists even in the absence of any legal duty owed by the tobacco manufacturer to the government. Because no legal duty exists between the plaintiff (the government) and the defendant (the tobacco manufacturer) there can be no breach of duty and no consequent damage for which the plaintiff may bring an action to be made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It is plain and obvious, in my view, that the </w:t>
      </w:r>
      <w:r>
        <w:rPr>
          <w:rFonts w:ascii="arial" w:eastAsia="arial" w:hAnsi="arial" w:cs="arial"/>
          <w:i/>
          <w:color w:val="000000"/>
          <w:sz w:val="20"/>
          <w:lang w:val="en-US" w:eastAsia="en-US" w:bidi="ar-SA"/>
        </w:rPr>
        <w:t>Costs Recovery Act</w:t>
      </w:r>
      <w:r>
        <w:rPr>
          <w:rFonts w:ascii="arial" w:eastAsia="arial" w:hAnsi="arial" w:cs="arial"/>
          <w:color w:val="000000"/>
          <w:sz w:val="20"/>
          <w:lang w:val="en-US" w:eastAsia="en-US" w:bidi="ar-SA"/>
        </w:rPr>
        <w:t xml:space="preserve"> does not create or modify an action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defendants relied on the case of </w:t>
      </w:r>
      <w:r>
        <w:rPr>
          <w:rFonts w:ascii="arial" w:eastAsia="arial" w:hAnsi="arial" w:cs="arial"/>
          <w:b/>
          <w:i/>
          <w:color w:val="000000"/>
          <w:sz w:val="20"/>
          <w:lang w:val="en-US" w:eastAsia="en-US" w:bidi="ar-SA"/>
        </w:rPr>
        <w:t>Knight v. Imperial Tobacco Canada Limited,</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2007 BCSC 964</w:t>
        </w:r>
      </w:hyperlink>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[2007] B.C.J. No. 1461</w:t>
        </w:r>
      </w:hyperlink>
      <w:r>
        <w:rPr>
          <w:rFonts w:ascii="arial" w:eastAsia="arial" w:hAnsi="arial" w:cs="arial"/>
          <w:color w:val="000000"/>
          <w:sz w:val="20"/>
          <w:lang w:val="en-US" w:eastAsia="en-US" w:bidi="ar-SA"/>
        </w:rPr>
        <w:t xml:space="preserve"> (QL) [</w:t>
      </w:r>
      <w:r>
        <w:rPr>
          <w:rFonts w:ascii="arial" w:eastAsia="arial" w:hAnsi="arial" w:cs="arial"/>
          <w:b/>
          <w:i/>
          <w:color w:val="000000"/>
          <w:sz w:val="20"/>
          <w:lang w:val="en-US" w:eastAsia="en-US" w:bidi="ar-SA"/>
        </w:rPr>
        <w:t>Knight</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Knight,</w:t>
      </w:r>
      <w:r>
        <w:rPr>
          <w:rFonts w:ascii="arial" w:eastAsia="arial" w:hAnsi="arial" w:cs="arial"/>
          <w:color w:val="000000"/>
          <w:sz w:val="20"/>
          <w:lang w:val="en-US" w:eastAsia="en-US" w:bidi="ar-SA"/>
        </w:rPr>
        <w:t xml:space="preserve">a class action was brought by consumers against Imperial Tobacco under the </w:t>
      </w:r>
      <w:r>
        <w:rPr>
          <w:rFonts w:ascii="arial" w:eastAsia="arial" w:hAnsi="arial" w:cs="arial"/>
          <w:b/>
          <w:i/>
          <w:color w:val="000000"/>
          <w:sz w:val="20"/>
          <w:lang w:val="en-US" w:eastAsia="en-US" w:bidi="ar-SA"/>
        </w:rPr>
        <w:t>Business Practices and Consumers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BPCPA</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for its allegedly deceptive conduct in the development and marketing of its "light" and "mild" tobacco products. Imperial Tobacco issued a Third Party Notice against Canada, and Canada brought an application to have it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On the issue of Crown immunity, Satanove J. concluded that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did not, by its terms, bind the federal Crown expressly or by implication. However, she went on to consider whether the statute created or modified a cause of action in tort. Satanove J. noted that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imposed an obligation on developers and marketers of products to refrain from any representations, or refrain from engaging in any conduct, that had the tendency or effect of deceiving or misleading a consumer. That obligation, she concluded at para. 15, involved elements "akin to the common law torts of negligent misstatement, deceit and failure to disclose material facts". For that reason, it was not "plain and obvious" that Crown officials, by operation of the </w:t>
      </w:r>
      <w:r>
        <w:rPr>
          <w:rFonts w:ascii="arial" w:eastAsia="arial" w:hAnsi="arial" w:cs="arial"/>
          <w:b/>
          <w:i/>
          <w:color w:val="000000"/>
          <w:sz w:val="20"/>
          <w:lang w:val="en-US" w:eastAsia="en-US" w:bidi="ar-SA"/>
        </w:rPr>
        <w:t>CLPA</w:t>
      </w:r>
      <w:r>
        <w:rPr>
          <w:rFonts w:ascii="arial" w:eastAsia="arial" w:hAnsi="arial" w:cs="arial"/>
          <w:color w:val="000000"/>
          <w:sz w:val="20"/>
          <w:lang w:val="en-US" w:eastAsia="en-US" w:bidi="ar-SA"/>
        </w:rPr>
        <w:t xml:space="preserve">, could not be found liable for tortious conduct under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Unlike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creates a right of action in the consumers of the products who are owed a duty of care by those developing and marketing the impugned products. It is the consumer who suffers the damage and who is entitled to sue for damages. The touchstone of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is remediation of breaches of duty owed to consumers by those who develop or market the products in issue. Satanove J. concluded that the liability created by the statute resembled negligent or fraudulent misrepresentation sufficiently to create, or at least arguably to create, a cause of action in tort. The cause of action created by the legislation at issue in </w:t>
      </w:r>
      <w:r>
        <w:rPr>
          <w:rFonts w:ascii="arial" w:eastAsia="arial" w:hAnsi="arial" w:cs="arial"/>
          <w:b/>
          <w:i/>
          <w:color w:val="000000"/>
          <w:sz w:val="20"/>
          <w:lang w:val="en-US" w:eastAsia="en-US" w:bidi="ar-SA"/>
        </w:rPr>
        <w:t>Knight</w:t>
      </w:r>
      <w:r>
        <w:rPr>
          <w:rFonts w:ascii="arial" w:eastAsia="arial" w:hAnsi="arial" w:cs="arial"/>
          <w:color w:val="000000"/>
          <w:sz w:val="20"/>
          <w:lang w:val="en-US" w:eastAsia="en-US" w:bidi="ar-SA"/>
        </w:rPr>
        <w:t xml:space="preserve"> differs significantly from that created by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statute under consideration in </w:t>
      </w:r>
      <w:r>
        <w:rPr>
          <w:rFonts w:ascii="arial" w:eastAsia="arial" w:hAnsi="arial" w:cs="arial"/>
          <w:b/>
          <w:i/>
          <w:color w:val="000000"/>
          <w:sz w:val="20"/>
          <w:lang w:val="en-US" w:eastAsia="en-US" w:bidi="ar-SA"/>
        </w:rPr>
        <w:t>Knight</w:t>
      </w:r>
      <w:r>
        <w:rPr>
          <w:rFonts w:ascii="arial" w:eastAsia="arial" w:hAnsi="arial" w:cs="arial"/>
          <w:color w:val="000000"/>
          <w:sz w:val="20"/>
          <w:lang w:val="en-US" w:eastAsia="en-US" w:bidi="ar-SA"/>
        </w:rPr>
        <w:t xml:space="preserve"> bears no resemblance to the one at issue in the present case.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creates a stand-alone statutory cause of action permitting British Columbia to recover its health care costs from tobacco manufacturers who have breached their duty to consumers. It does not create or modify an action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Accordingly, it is plain and obvious that the allegations contained in the Third Party Notices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Are the Defendants' Entitled to Claim for Procedural Declaratory Relief?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Third Party Notice of each of the Defendants seeks declaratory relief in substantially similar terms. Imperial Tobacco, for example, claims the following:</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[Imperial Tobacco] committed no "tobacco related wrongs";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 declaration that if the Plaintiff incurred the cost of health care benefits as alleged in the Statement of claim, those costs were caused or contributed to by the conduct, fault, or alternatively, breaches of duty of care of officials of the Federal Government and ITCAN's liability, if any, accordingly be extinguished or reduced;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Defendants, relying principally on the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xml:space="preserve"> case, argue that even if Canada is immune from liability, it ought to remain a third party in the litigation for procedural reasons. They assert that they ought to be permitted to proceed with their third party actions against Canada in order to determine their true liability for losses caused by them as distinct from those caused by Canada. If the Third Party Notices are struck, their ability to defend against the allegations of British Columbia could be severely prejudiced. That is particularly so, say the Defendants, as it is unclear whether Canada would be immune from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concerning non-parties if it is not a party 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Canada argues that where a third party is immune from liability by operation of law, as in the present case, all proceedings against it, including third party proceedings for declaratory relief, are also precluded. In order to address the concern of the Defendants that Canada may be beyond the reach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Canada has agreed to be bound by them as a non-party for purposes of this case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As a result of Canada's agreement to be bound by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the Defendants will be entitled to seek document production under Rule 26 and witness testimony under Rules 28 and 38. They will also continue to have the right to make application under the federal </w:t>
      </w:r>
      <w:r>
        <w:rPr>
          <w:rFonts w:ascii="arial" w:eastAsia="arial" w:hAnsi="arial" w:cs="arial"/>
          <w:b/>
          <w:i/>
          <w:color w:val="000000"/>
          <w:sz w:val="20"/>
          <w:lang w:val="en-US" w:eastAsia="en-US" w:bidi="ar-SA"/>
        </w:rPr>
        <w:t>Access to Information Act</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R.S.C. 1985, c. A-1</w:t>
        </w:r>
      </w:hyperlink>
      <w:r>
        <w:rPr>
          <w:rFonts w:ascii="arial" w:eastAsia="arial" w:hAnsi="arial" w:cs="arial"/>
          <w:color w:val="000000"/>
          <w:sz w:val="20"/>
          <w:lang w:val="en-US" w:eastAsia="en-US" w:bidi="ar-SA"/>
        </w:rPr>
        <w:t xml:space="preserve"> to obtain Canada's tobacco-related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There is nothing in the </w:t>
      </w:r>
      <w:r>
        <w:rPr>
          <w:rFonts w:ascii="arial" w:eastAsia="arial" w:hAnsi="arial" w:cs="arial"/>
          <w:b/>
          <w:i/>
          <w:color w:val="000000"/>
          <w:sz w:val="20"/>
          <w:lang w:val="en-US" w:eastAsia="en-US" w:bidi="ar-SA"/>
        </w:rPr>
        <w:t>Costs Recovery Act</w:t>
      </w:r>
      <w:r>
        <w:rPr>
          <w:rFonts w:ascii="arial" w:eastAsia="arial" w:hAnsi="arial" w:cs="arial"/>
          <w:color w:val="000000"/>
          <w:sz w:val="20"/>
          <w:lang w:val="en-US" w:eastAsia="en-US" w:bidi="ar-SA"/>
        </w:rPr>
        <w:t xml:space="preserve"> to suggest that Canada must be a party in order to allow the court to determine the extent of the Defendants' liability. It is settled law that a trial judge may make an assessment of fault against a non-party in order to reduce the defendant's proportionate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Where a third party is immune by operation of law, all proceedings against it are precluded: </w:t>
      </w:r>
      <w:r>
        <w:rPr>
          <w:rFonts w:ascii="arial" w:eastAsia="arial" w:hAnsi="arial" w:cs="arial"/>
          <w:b/>
          <w:i/>
          <w:color w:val="000000"/>
          <w:sz w:val="20"/>
          <w:lang w:val="en-US" w:eastAsia="en-US" w:bidi="ar-SA"/>
        </w:rPr>
        <w:t>Pearse v. Canpar Transport Ltd. et 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2001 BCSC 594</w:t>
        </w:r>
      </w:hyperlink>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88 B.C.L.R. (3d) 312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the Court of Appeal emphasized at pp. 129-130 that the third party in question had been properly joined, and that "a private accord between plaintiff and third party" should not entirely negate the joinder: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keep in mind that the defendants had a perfect right to bring third party proceedings against the respondents, based on allegations of fault attributed to them in the Third Party Notices. ... It would, in my view, by manifestly wrong if a private accord between plaintiff and third party could work to deprive a defendant of the ability to establish an element of proof essential to the just resolution of the action on which all parties had joined issue. ... In those circumstances, I am of the view that the third party claims for declaratory relief should be allowed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Court of Appeal made clear at p. 129 that such claims for declaratory relief for purely procedural advantage ought to be the exception rather than the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am of the view that the general rule against sanctioning actions brought for purely procedural relief will always be an important consideration governing the exercise of the court's discretion to grant declaratory relief, I do not accept the proposition that it must be regarded as a controlling consideration in all cases. There will be instances, albeit rarely, where the declaratory relief should be granted notwithstanding the fact that it is needed only for such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B.C. Ferry</w:t>
      </w:r>
      <w:r>
        <w:rPr>
          <w:rFonts w:ascii="arial" w:eastAsia="arial" w:hAnsi="arial" w:cs="arial"/>
          <w:color w:val="000000"/>
          <w:sz w:val="20"/>
          <w:lang w:val="en-US" w:eastAsia="en-US" w:bidi="ar-SA"/>
        </w:rPr>
        <w:t xml:space="preserve"> stands for the proposition that a third party which is properly part of an action at the time it is commenced may not, by settling its claim with the plaintiff, escape discovery under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if the result is significant prejudice to another, non-settling party. In the present case, Canada has been immune from liability from the time the action was commenced and, accordingly, was never a proper party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Further, Canada has agreed to submit to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which will permit the Defendants access to all of the procedures necessary to assist the court in determining their liability as distinct from the liability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summary, I have concluded that all of the third party claims issued by the Defendants against Canada, including the claim for procedural declaratory relief,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 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5"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Casey v. Penty, [2000] B.C.J. No. 2446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Registrar Wellburn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17, September 25, 26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20,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99 3070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2446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1733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474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Stephen Casey (Shaw Sauder), solicitors, and Richard Penty, client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6"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9" w:name="Keywords_8"/>
      <w:bookmarkEnd w:id="59"/>
      <w:r>
        <w:rPr>
          <w:rFonts w:ascii="arial" w:eastAsia="arial" w:hAnsi="arial" w:cs="arial"/>
          <w:b/>
          <w:color w:val="000000"/>
          <w:sz w:val="20"/>
          <w:lang w:val="en-US" w:eastAsia="en-US" w:bidi="ar-SA"/>
        </w:rPr>
        <w:t>Barristers and solicitors — Compensation — Taxation or assessment of accounts — Where lawyer withdraws.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0" w:name="Case Summary_8"/>
            <w:bookmarkEnd w:id="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Taxation of a bill of costs. The client Penty was qualified as a solicitor in England and was called to the bar in Ontario. He never practised law in Canada. He invested money in the stock market. When the market collapsed, the brokerage house Green Line sued him for $173,000, the deficit in his account. Penty defended Green Line's action. He hired a series of lawyers who he criticized. Some returned his money. A judgment for $173,000 was obtained against him. He contacted the solicitor Casey in April 1999. He said that he went to Casey because he wanted to sue other lawyers. He said that he did not retain Casey, but only wanted him to study his unpleaded defence and take no more than two hours. Casey filed a Notice of Appeal. Penty said that Casey volunteered to perform this clerical function. Penty gave Casey money. Casey was unable to have the amount of the judgment reduced because Penty retained another lawyer to deal with a mortgage over his home that he was going to use to pay off the judgment. Casey defended an application to sell Penty's house to pay the judgment. Penty criticized Casey's work and requested the return of the money he paid him. Casey ceased to act for Penty.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1" w:name="Holdings of Court_8"/>
            <w:bookmarkEnd w:id="61"/>
            <w:r>
              <w:rPr>
                <w:rFonts w:ascii="arial" w:eastAsia="arial" w:hAnsi="arial" w:cs="arial"/>
                <w:color w:val="000000"/>
                <w:sz w:val="20"/>
                <w:lang w:val="en-US" w:eastAsia="en-US" w:bidi="ar-SA"/>
              </w:rPr>
              <w:t>HELD: Bill allowed in full.</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accepted Casey's version of the events as to his instructions. There was no requirement for a written retainer. The work was done at the request and for the benefit of Penty. All of the work was reasonable and necessary for the conduct of the proceedings. The matter was complex. Casey exercised the skill and responsibility required of him. The amount of time that he recorded was reasonable for the work done.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2" w:name="Legislation Cited_4"/>
      <w:bookmarkEnd w:id="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7"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 Enforcement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Legal Profession Act, s. 71(2).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3" w:name="Counsel_8"/>
      <w:bookmarkEnd w:id="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8"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Stephen Casey, for the solicitors. Richard Penty, the client.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4" w:name="Judgment_8"/>
      <w:bookmarkEnd w:id="64"/>
      <w:r>
        <w:pict>
          <v:line id="_x0000_s1069"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36"/>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5" w:name="REGISTRAR WELLBURN"/>
            <w:bookmarkEnd w:id="65"/>
            <w:r>
              <w:rPr>
                <w:rFonts w:ascii="arial" w:eastAsia="arial" w:hAnsi="arial" w:cs="arial"/>
                <w:b/>
                <w:color w:val="000000"/>
                <w:sz w:val="30"/>
                <w:lang w:val="en-US" w:eastAsia="en-US" w:bidi="ar-SA"/>
              </w:rPr>
              <w:t>REGISTRAR WELLBURN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review brought pursuant to the provisions of the Legal Profession Act. The total outstanding is $6,986.93. $3,500 has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solicitor, Mr. Casey, is a lawyer who has been practising for over 12 years in British Columbia. His practise areas include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commercial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client, Mr. Penty, was qualified as a solicitor in England and was called to the bar in Ontario, at a time when it was unnecessary to take any formal training. He has never practised law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Penty invested money in the stock market in Bre-X and Bresea stocks on margin. When the market for those stocks collapsed, the brokerage house Green Line sued him for $173,000, the deficit in his account. Green Line and its counsel approached the case as a simple debt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Penty defended the action and hired a series of lawyers, all of whom he criticized. He described the statement of defence prepared by one lawyer as "nonsense". It was not filed and the lawyer gave him his money back. He went to Vancouver lawyers, but disagreed with their approach. They also returned his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 hired another lawyer, a Mr. Webber. Mr. Penty said that Mr. Webber "did nothing" on the case although he was his lawyer for about 8 or 9 months. According to Mr. Penty, Mr. Webber knew nothing about pleadings and lost the counterclaim Mr. Penty had against Green Line. Mr. Webber withdrew.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Penty hired another lawyer, Mr. Kitson, to apply for an adjournment about a month before the trial date. According to Mr. Penty, Mr. Kitson refused to state in an affidavit the reason why Mr. Webber had withdrawn, so the judge hearing the application refused to adjourn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date set for trial, Mr. Penty appeared in person with a letter from a lawyer, Mr. Oss-Cech, stating that Mr. Oss-Cech would be willing to act if the matter was adjourned. The judge refused to adjourn the trial. Mr. Penty left the courtroom and Green Line obtained judgment against him for $173,000 plus costs. At the review, Mr. Penty complained that neither the trial judge nor the judge who heard the adjournment application understood margins.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Penty also criticized Mr. Oss-Cech, although he seemed to think that Mr. Oss-Cech was the best of a bad lot. Mr. Penty said that Mr. Oss-Cech gave lots of unsolicited advice, most of which was bad. Mr. Penty also criticized a lawyer from Mr. Oss-Cech's office who had helped him prepare the affidavit material for the review saying that lawyer had made a ghastly mess of the affidavit, and got him to swear an affidavit but would not let him read it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Penty first contacted Mr. Casey on April 13th 1999. He went through the history of the matter and came in to see Mr. Casey on April 16th, bringing a number of documents. Prior to the meeting on April 16th, Mr. Penty had telephoned another lawyer to enquire about Mr. Casey's abilities. Mr. Penty said that he came to Mr. Casey because he wanted to sue Mr. Webber and perhaps Mr. Kitson and he heard that Mr. Casey could handle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What happened on April 13th and April 16th was crucial at the review. Mr. Casey says that Mr. Penty asked him to deal with a number of matters including a possible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Mr. Webber and perhaps Mr. Kitson, handle a possible appeal of the Green Line judgment and try to negotiate the amount of the judgment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Penty says that he did not "retain" Mr. Casey, he merely wanted Mr. Casey to study what was referred to as the "unpleaded defence", and to take no more than two hours to do so. Prior to expending two hours, Mr. Casey would have to get back to Mr. Penty and Mr. Penty could determine whether or not Mr. Casey was qualified to do any work for Mr. Penty.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"unpleaded defence" is set out in a document called "rehash" which was provided by Mr. Penty. The possibility of there being a defence in the original action by Green Line would be significant in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Mr. Webber had relied on a blanket defence and never pleaded any specific defence. Whether or not there was a good defence to the claim would also be relevant to the appeal and the negotiation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Casey filed the Notice of Appeal on behalf of Mr. Penty and his two sons. Mr. Penty's evidence was he wanted to act in person but that Mr. Casey volunteered to perform the clerical function of filing the Notice of Appeal. His evidence was that Mr. Casey filed the Notice of Appeal purporting to act for Mr. Penty and his sons without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Similarly, Mr. Penty says that any attempts by Mr. Casey to negotiate the amount of the judgment down was something that Mr. Penty had absolutely no interest in, because he had a case against Mr. Webber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any amount that the judgment was negotiated down would just mean that Mr. Webber would have to pay less damages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In cross-examination he agreed that there may be some benefit to him if the judgment was reduced depending on the net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Casey's strategy of trying to negotiate the amount of the judgment down was made less effective because Mr. Penty retained another lawyer, Mr. Stevenson, to deal with a mortgage over his house which Mr. Penty was going to use to pay off the judgment. Mr. Stevenson telephoned defence counsel to enquire about the payout figures, so opposing counsel was well aware that despite the negotiations, Mr. Penty had the money available to him through a mortgage to pay the full amount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accept Mr. Casey's version of the events as to his instructions. Mr. Penty's proposition that he only authorized Mr. Casey to do a study as to the "unpleaded defence" and never gave him instructions to handle any of the other matters is illogical and not borne out by the evidence. In particular, his letter to Mr. Casey of May 1st, 1991 indicates that Mr. Penty wants Mr. Casey to handle the appeal and any negotiations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As well, Mr. Casey wrote Mr. Penty an opinion letter May 6th, 1999 in which he gives his opinion and advice with respect to the appeal, the potential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and recommends to Mr. Penty that he not pay the judgment and not allow the lawyer, Mr. Stevenson, who was arranging a mortgage to pay off the judgment to contact plaintiff's counsel, since Mr. Casey hoped to use non-payment of the judgment as a lever to negotiate the amount down. Mr. Casey's letter also notes that he will be giving a further, more detailed opinion (which he did on May 14th, 1999), with respect to the various issues. Mr. Penty referred to these opinion letters as "rubbish". However, I note that he did not respond to either of the letters until he wrote to Mr. Casey on May 28th. It is unclear if this letter reached Mr. Casey and if so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If Mr. Penty had not instructed Mr. Casey to undertake the matters Mr. Casey referred to in his letters, it would be logical for Mr. Penty to advise Mr. Casey that he was acting without instructions. In my view, the obvious conclusion from his failure to do so is that indeed, Mr. Casey was acting in accordance with Mr. Penty's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Casey's view is also supported by the fact that Mr. Penty gave Mr. Casey a further $2,500 on May 20, 1999 and an affidavit in which Mr. Penty depones that he has instructed his counsel (Mr. Casey) to file an appeal and take all necessary procedural steps. I do not accept Mr. Penty's evidence that these statements in his affidavit are untrue or that Mr. Casey got him to swear the affidavit without reading it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Casey sent Mr. Penty a retainer letter on May 6. Mr. Penty never signed and returned the retainer letter and made no comment on it at the time. His position is that having tried to obtain a written retainer and failed, Mr. Casey cannot now rely on an oral retainer. I do not agree. As provided by section 71(2) of the Legal Profession Act:</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(4) and (5), the registrar must allow:</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reasonably necessary and proper to conduct the proceeding or business to which they relate;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authorized by the client or subsequently approved by the client, whether or not the services were reasonably necessary and proper to conduct the proceeding or business to which they relate.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requirement for a written retainer although prudent counsel often obtain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Penty did tell Mr. Casey to stop work in a letter dated June 3rd, 1999, stating that unless some contingency fee arrangement could be worked out, Mr. Casey's services were beyond Mr. Penty's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on June 4th, Mr. Casey received a Notice of Motion for an application pursuant to the Court Order Enforcement Act to sell Mr. Penty's house to pay the judgment. Mr. Penty then instructed Mr. Casey to try to settle the amount of the judgment for up to $160,000 plus costs. Mr. Casey offered $135,000 on behalf of Mr. Penty. Mr. Penty's evidence was that he didn't want Mr. Casey to do any work, he just wanted to pay the judgment at this point. However, I note that his letter only gives authority to settle for $160,000 which is less than the full value of the judgment. Plaintiff's counsel did not get instructions with respect to the offer prior to the application which was heard on June 9th.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Casey prepared material to oppose the application, including an affidavit of Mr. Penty. Mr. Casey and Mr. Penty both attended in court on the date of the application. Master Horn ordered the next step in the process for sale of land, a reference to the Registrar, but postponed that event for four weeks to allow Mr. Penty to apply for a stay in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Penty wrote to Mr. Casey criticizing his work and requesting that Mr. Casey return the money that Mr. Penty had paid to him, noting that a previous law firm had returned the money he had paid them. Mr. Casey then wrote confirming that he no longer acted as Mr. Penty's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that the work done by Mr. Casey was done at the request and for the benefit of the client, Mr. Penty. All of the work was reasonable and necessary for the conduct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matter was complex and there was a number of discrete matters undertaken by Mr. Casey, including the possible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appeal and negotiations, whether or not there was an unpleaded defence that had merit, as well as the work concerning the proceedings for the sale of Mr. Penty's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Casey exercised the skill and responsibility required of him. Mr. Casey's hourly rate of $190 per hour is reasonable, and the amount of time that he recorded, which I note was reduced on the bills, was reasonable for the work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amount involved was $173,000. The results achieved were not good in that although payment of the judgment was delayed, Mr. Casey was not successful in negotiating the amount of the judgment down. The reason for the unsuccessful negotiations were due, at least in part, to Mr. Penty retaining a separate lawyer to handle the mortgage negotiations who unwittingly told plaintiff's counsel about the mortgage to satisfy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Mr. Casey's work with respect to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was only a preliminary opinion so it is unknown what the product of that work will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that the amounts charged by Mr. Casey for the work which he did were reasonable and allow the bills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Casey is entitled to court order interest on those amounts and costs of the four days of hearing before me and the two half day hearings before Madam Justice Dorgan and Registrar Powers. I will set costs at $4,000 including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REGISTRAR WELLBURN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0"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Chances Housing Cooperative v. Progressive Homes Ltd., [2000] B.C.J. No. 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25 and 26,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C984517 and C993283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50 C.L.R. (2d) 255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93 A.C.W.S. (3d) 980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Chances Housing Cooperative, plaintiff, and Progressive Homes Ltd., Gombergoff Policzer Architects, Julio Gomberoff, City of Burnaby and Access Building Association, defendants, and Canadian Mortgage and Housing Corporation and City of Burnaby, third parties (Vancouver Registry No. C984517) And between Sapperton Terrace Housing Cooperative, plaintiff, and Budding Construction Inc., Gomberoff Policzer Architects, Peter Ross Ltd. and City of New Westminster, defendants, and Commercial Union Assurance Company of Canada La Compagnie d'Assurance Union Commerciale du Canada and Canada Mortgage and Housing Corporation, third parties (Vancouver Registry No. C993283)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1"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6" w:name="Keywords_9"/>
      <w:bookmarkEnd w:id="66"/>
      <w:r>
        <w:rPr>
          <w:rFonts w:ascii="arial" w:eastAsia="arial" w:hAnsi="arial" w:cs="arial"/>
          <w:b/>
          <w:color w:val="000000"/>
          <w:sz w:val="20"/>
          <w:lang w:val="en-US" w:eastAsia="en-US" w:bidi="ar-SA"/>
        </w:rPr>
        <w:t>Practice — Parties — Adding or substituting parties — Adding or substituting defendants — Requirement that plaintiff have cause of action against party to be added — Application of limitation periods — Circumstances when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7" w:name="Case Summary_9"/>
            <w:bookmarkEnd w:id="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Chances Housing Cooperative and Sapperton Terrace Housing Cooperative, for orders to add the Canada Housing and Mortgage Corporation (CMHC) as a defendant in actions for compensation for water damage. The actions had been brought against the contractors and architects of two different housing developments, as well as against the relevant municipalities. The architects brought third party proceedings against CMHC, alleging that CMHC breached its duty and failed to exercise all reasonable care and skill in the conduct of its inspection and approval or architectural plans and specifications. Shortly after substantial completion, each project began experiencing isolated incidents of small leaks. Despite attempts at repairs, the water penetration and resulting damage continued. The proposed amendments to the statements of claim alleged that CMHC was negligent carrying out compliance reviews and construction inspections, and that CMHC negligently misrepresented the conformance of plans, specifications and construction work to applicable codes and standards. The plaintiffs further alleged breach of contract against CMHC, as well as breach of fiduciary duty. CMHC argued that there were no facts pleaded to establish any of the proposed causes of action, that CMHC's role was simply to provide mortgage insurance and subsidies, and that the applicable limitation period had expired.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8" w:name="Holdings of Court_9"/>
            <w:bookmarkEnd w:id="6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 of the claims against the defendants and CMHC involved issues relating to the design and construction of the housing projects and allegations of defects and deficiencies. The allegations by the defendant architects against CMHC supported the possibility of a real question or issue to be decided between the plaintiffs and CMHC. The addition of CMHC as a defendant was just and convenient, as it would have been uneconomical to require the plaintiffs to commence separate proceedings. CMHC was not estopped from pursuing its limitation defence.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9" w:name="Legislation Cited_5"/>
      <w:bookmarkEnd w:id="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2"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15(5)(a), 19(24), 24(1)(a).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National Housing Loan Regulations, 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57"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0" w:name="Counsel_9"/>
      <w:bookmarkEnd w:id="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3"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Chances: Jennifer L. Conkie, for Chances Housing Cooperative. Karen S. Thompson, for Progressive Homes Ltd. C. Thomson, for Gomberoff Policzer Architects and Julio Gomberoff. Vernon Pahl, for City of Burnaby. John Vance, for Access Building Association. D. Ross Clark and Emmet Duncan, for Canadian Mortgage and Housing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Sapperton: Jennifer L. Conkie, for Sapperton Terrace Housing Cooperative. Gregory Miller, for Budding Construction Inc. Stephen Coyle, for Gomberoff Policzer Architects. D. Ross Clark and Emmet Duncan, for Canadian Mortgage and Housing Corporation.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1" w:name="Judgment_9"/>
      <w:bookmarkEnd w:id="71"/>
      <w:r>
        <w:pict>
          <v:line id="_x0000_s1074"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2" w:name="ALLAN J."/>
            <w:bookmarkEnd w:id="72"/>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Chances Housing Cooperative ("Chances") and Sapperton Terrace Housing Cooperative ("Sapperton"), are housing cooperatives which have commenced actions seeking compensation for loss and damage arising from water damage to their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September 4, 1998, Chances commenced its action against five defendants who were involved in the design and construction of a 44-unit housing development in Burnaby, British Columbia (the "Chances Project") between 1988 and 1990. The defendants named in the style of cause are, respectively, the general contractor, ("Progressive"), the architects who designed and monitored the construction of the building, ("GPA" and "Gomberoff"), the relevant municipality, ("Burnaby"), and a housing advisory association, ("Access"). On March 31, 1999, GPA issued a third party notice against Canada Housing and Mortgage Corporation ("CMHC"). The trial is set for 40 days commencing October 22,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April 18, 1997, Sapperton commenced its action against four defendants who were involved in the construction of apartment units (the "Sapperton Project") between 1988 and 1989. The defendants named in the style of cause are, respectively, the contractor, ("Budding"), the architects, ("GPA"), the company that installed the waterproofing, ("Peter Ross"), and the relevant municipality, ("New Westminster"). GPA commenced third party proceedings against CMHC on April 19, 1999 alleging, inter alia, that CMHC changed aspects of Gomberoff's design and unilaterally authorized changes during construction which caused or contributed to the damages suffered by Sapperton. The trial is set for 35 days commencing October 23,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May 29, 1998, Sapperton commenced a separate action against the Affordable Housing Advisory Association. Sapperton intends to seek to have that action joined with the current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Both plaintiffs apply for orders pursuant to Rules 15(5)(a) and 24(1)(a) that CMHC be added as a defendant to the proceedings and the statements of claim be amended accordingly. The applications were supported by the present defendants but vigorously opposed by CMHC. All parties agree that both applications are substantially similar in fact and law and counsel's oral submissions focussed on Chances'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Clark, counsel for CMHC, submits that the facts support a characterization of CMHC as a mortgage insurer of the Chances and Sapperton Projects. His material describes the genesis of CMHC's involvement in social housing projects. In the late 1980's, CMHC offered mortgage insurance of up to 100% on social housing projects and administered a federal rent subsidy program for social housing projects once they were occupied. CMHC invited proposals for social housing projects and established standards that such applications must meet in respect of the financial and the physical and technical specifications of the proposal. After 1985, those standards required that the applicants be a co-operative association incorporated under provincial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Chances was established in 1987 and, in or about 1988, it applied to CMHC for mortgage insurance and rent subsidies in respect of the construction of the Chances Project. It was represented in its application and the subsequent development of the Chances Project by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Hopkins, CMHC's Program Officer on the Chances Project, has deposed that Access was a private "resource group." Generally, resource groups had no connection to CMHC nor to the federal government, receiving their fees from co-operatives out of the projects' mortgage financing. Resource groups contacted individuals interested in joining social housing projects and worked with contractors and architects to identify potential sites. They applied on behalf of co-operatives to CMHC for approval of mortgage financing and rental subsidies to make the projects viable. They also managed the construction of the building and worked with the architects, contractors, and CMHC through to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Clark notes that in this case, Chances paid Access $104,073 to manage its Project. Further, Chances entered into contractual arrangements with GPA and Progressive in May and September 1988, respectively, long before CMHC entered into the Letter Agreement with Chances on February 22, 1989, wherein CMHC agreed to provide 100% mortgage financing. The Letter Agreement required Chances to adhere to its plans already submitted or obtain CMHC's agreement to any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his extensive written argument, Mr. Clark describes the typical involvement of CMHC in co-operative projects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material time, the standard operating procedure of CMHC in these kinds of projects was to review applications prepared by co-operatives for compliance with CMHC's financial and technical requirements. The review process included review of detailed construction plans prepared by a co-operative's professional consultants, such as architects. Plans would be reviewed by a CMHC technician who compared them to CMHC's standardized housing requirements. The standardized housing requirements were publicly available and known to consultants that dealt with these kinds of projects. The CMHC technician's job was to note divergences from those standards and to pass that information along to the Program Officer for Social Housing, who was the primary point of contact between CMHC and applicant co-operatives. Upon receiving details of divergences from the standards, CMHC would request changes to the technical plans to bring them into compliance with those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Smith, an employee of CMHC who reviewed the plans for the Chances Project, has deposed that he was never asked for any advice on any aspect of the design or construction. Ms. Hopkins described CMHC's involvement in the Chances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construction, CMHC had the right as insurer of the mortgage to approve interim mortgage advances to the builder by the lender. Before approving advances, and generally to protect its investment, CMHC dispatched inspectors at regular intervals to check on the progress of the project. The inspectors would ensure that the project was proceeding according to schedule and generally according to the plans that had been approved by CMHC before authorizing funding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Shortly after substantial completion on May 31, 1990, the Chances Project began experiencing isolated incidents of small leaks. In late 1993, Chances retained consultants and trades people to address repairs of the leaks and make recommendations. Nevertheless, the water penetration and resulting damage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Soroski, a representative of Chances, has deposed that the co-operative commenced this action in September 1998 after receiving advice that the water problems were caused by defects and deficiencies in the design and construction of the building. Ms. Conkie, counsel for Chances, states that while Chances knew CMHC had played a large role in the Chances Project, the present membership of Chances had no detailed knowledge or experience of CMHC's role during the design and construction. Further, it was reluctant to join CMHC as a party because it relies on CMHC for funding for the remedial work required to repair the damage resulting from the water penetration. Ms. Conkie says that, at the present time, CMHC provides mortgage insurance to Chances; it pays Chances subsidies exceeding $10,000 monthly; and Chances must obtain its approval before making any expenditure from its replacement reserve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Despite its initial reluctance to sue CMHC, Chances reconsidered its position when GPA brought CMHC into the action as a third party. Ms. Conkie submits that in the event that fault is apportioned to CMHC at trial and Chances is found to be contributorily negligent, Chances would be unable to recover part of its losses unless CMHC was a defendant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Chances, which was established pursuant to a federal government initiative to provide socially affordable housing, describes CMHC as the developer and overseer of the construction of the Chances Project. Chances pleads that it was required by CMHC to hire Access to provide administration and set up services and that it was reliant on both CMHC and Access. Ms. Conkie points out that the reliance was significant because until the Chances Project was ready for occupancy, Chances lacked a directing mind or cohesive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CMHC opposes both applications on two grounds:</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pleadings, which are essentially bare assertions of conclusions without the necessary supporting material facts and particulars, are insufficient at law;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seek to add claims against CMHC where the applicable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CMHC also objects to the admissibility of some affidavit evidence in both applications, characterizing it as "unattributed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Conkie is adamant that CMHC's limitation defences are without merit and thus should be dismissed summarily. Without commenting on the merits of those defences, I note that the other defendants (or most of them) have raised limitation defences in their pleadings and propose to bring interlocutory applications prior to trial in an attempt to have the actions against them struck out. In those circumstances, I advised Ms. Conkie that if CMHC is added as a defendant in these actions, CMHC could raise limitation defences that could be dealt with in the same manner as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Accordingly, the sole issue on these applications is whether CMHC should be joined to either or both of these actions pursuant to Rule 15(5)(a) and the pleadings amended accordingly pursuant to Rule 24(1)(a).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Rule 15(5)(a)(iii) grants the Court a broad discretion to order that CMHC be added as a defendant where an issue between Chances and CMHC relates to a matter in the proceeding and would be justly and conveniently determined as part of the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15(5)(a) At any stage of a proceeding, the court on application by any person may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 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Rule 15(5)(a) imposes a low threshold. As Mr. Justice McFarlane stated in MacMillan Bloedel v. Binstead </w:t>
      </w:r>
      <w:hyperlink r:id="rId158"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 at 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clear that one of the functions of the chambers judge hearing an application under this rule must be to decide whether there may exist between the appropriate parties a question which can be answered or an issue which can be decided by a court of law ... and to see, through whatever means, and not necessarily affidavits, that the question or issue is a real one in the sense that it is not entirely frivolous and would result in courts wasting judicial time. It is not the function, in my opinion, to decide whether on any kind of a balance it is likely that the plaintiff would be able to prove its allegations on a balance of probabilities or to any other degree beyond showing that there may exist such a question or such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nature of the claims made by Chances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proposed amendments to the statement of claim allege that CMHC acted as the developer and overseer of the construction of the Chances Project. Particulars of that involvement include the following: providing mortgage insurance to fund the cost of construction; reviewing and approving the architectural agreement with GPA; having the right of review and approval regarding several items in the construction contract with Progressive; reviewing and approving the Project budget and construction schedule; performing preliminary and final technical, architectural and code compliance reviews; making changes to the architectural design drawings, details, specifications and working drawings; approving the final plans issued for construction purposes; reviewing and approving all progress draws; reviewing and approving GPA's fees; carrying out site inspections and preparing written site inspection reports; and advising Chances on an ongoing basis regarding CMHC's reviews and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proposed claims against CMHC sound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breach of contract, and breach of fiduciary duty. However, Mr. Clark asserts that the proposed pleadings and the evidence on these applications do not establish the material facts necessary to disclose a single cause of action. Hence, he characterizes the issues raised as frivolous.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useful to consider Chances' pleadings under each alleged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Chances pleads that CMHC was negligent in carrying out compliance reviews and construction inspections. CMHC was statutorily required to monitor construction and ensure the conformance of work with its own building standards pursuant to s. 15 of the National Housing Loan Regulations. Also, CMHC required, as a term of the Letter Agreement with Chances, that the Chances Project comply with plans and specifications issued by CMHC and with all applicable building codes. CMHC made a policy decision to conduct plan and specification reviews and to inspect construction work, yet it failed to detect defects and deficiencies that created a danger or potential danger for the building's occupants. Chances submits that in seeking to recover the cost of repairing defects which are dangerous to the Chances Project's occupants, it has made out a valid cause of action, pursuant to the principles set out in such cases as Kamloops v. Nielsen </w:t>
      </w:r>
      <w:hyperlink r:id="rId109" w:history="1">
        <w:r>
          <w:rPr>
            <w:rFonts w:ascii="arial" w:eastAsia="arial" w:hAnsi="arial" w:cs="arial"/>
            <w:i/>
            <w:color w:val="0077CC"/>
            <w:sz w:val="20"/>
            <w:u w:val="single"/>
            <w:shd w:val="clear" w:color="auto" w:fill="FFFFFF"/>
            <w:lang w:val="en-US" w:eastAsia="en-US" w:bidi="ar-SA"/>
          </w:rPr>
          <w:t>(1984), 10 D.L.R. (4th) 641</w:t>
        </w:r>
      </w:hyperlink>
      <w:r>
        <w:rPr>
          <w:rFonts w:ascii="arial" w:eastAsia="arial" w:hAnsi="arial" w:cs="arial"/>
          <w:color w:val="000000"/>
          <w:sz w:val="20"/>
          <w:lang w:val="en-US" w:eastAsia="en-US" w:bidi="ar-SA"/>
        </w:rPr>
        <w:t xml:space="preserve"> (S.C.C.) and Strata Plan VR 1534 v. Regent Development Corp.. </w:t>
      </w:r>
      <w:hyperlink r:id="rId159" w:history="1">
        <w:r>
          <w:rPr>
            <w:rFonts w:ascii="arial" w:eastAsia="arial" w:hAnsi="arial" w:cs="arial"/>
            <w:i/>
            <w:color w:val="0077CC"/>
            <w:sz w:val="20"/>
            <w:u w:val="single"/>
            <w:shd w:val="clear" w:color="auto" w:fill="FFFFFF"/>
            <w:lang w:val="en-US" w:eastAsia="en-US" w:bidi="ar-SA"/>
          </w:rPr>
          <w:t>[1996] B.C.J. No. 6</w:t>
        </w:r>
      </w:hyperlink>
      <w:r>
        <w:rPr>
          <w:rFonts w:ascii="arial" w:eastAsia="arial" w:hAnsi="arial" w:cs="arial"/>
          <w:color w:val="000000"/>
          <w:sz w:val="20"/>
          <w:lang w:val="en-US" w:eastAsia="en-US" w:bidi="ar-SA"/>
        </w:rPr>
        <w:t>, (2 January 1996), Vancouver Registry, C911957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Chances also alleges that CMHC negligently misrepresented the conformance of plans, specifications and construction work to applicable codes and standards. Chances pleads that it relied on CMHC and its expertise in housing matters to ensure that the Chances Project complied with all applicable codes and further relied on it to detect defects and deficiencies in the course of its review and inspection work. Chances says that CMHC negligently misrepresented that the building complied with all codes, was free of defects, and safe for occupation. Chances submits it has made out a triable cause of action based upon, inter alia, inspection reports which CMHC negligently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Ms. Conkie referred to the case of Cumby v. Snow </w:t>
      </w:r>
      <w:hyperlink r:id="rId160" w:history="1">
        <w:r>
          <w:rPr>
            <w:rFonts w:ascii="arial" w:eastAsia="arial" w:hAnsi="arial" w:cs="arial"/>
            <w:i/>
            <w:color w:val="0077CC"/>
            <w:sz w:val="20"/>
            <w:u w:val="single"/>
            <w:shd w:val="clear" w:color="auto" w:fill="FFFFFF"/>
            <w:lang w:val="en-US" w:eastAsia="en-US" w:bidi="ar-SA"/>
          </w:rPr>
          <w:t>(1983), 30 R.P.R. 179</w:t>
        </w:r>
      </w:hyperlink>
      <w:r>
        <w:rPr>
          <w:rFonts w:ascii="arial" w:eastAsia="arial" w:hAnsi="arial" w:cs="arial"/>
          <w:color w:val="000000"/>
          <w:sz w:val="20"/>
          <w:lang w:val="en-US" w:eastAsia="en-US" w:bidi="ar-SA"/>
        </w:rPr>
        <w:t xml:space="preserve"> (Nfld.D.C.), aff'd </w:t>
      </w:r>
      <w:hyperlink r:id="rId161" w:history="1">
        <w:r>
          <w:rPr>
            <w:rFonts w:ascii="arial" w:eastAsia="arial" w:hAnsi="arial" w:cs="arial"/>
            <w:i/>
            <w:color w:val="0077CC"/>
            <w:sz w:val="20"/>
            <w:u w:val="single"/>
            <w:shd w:val="clear" w:color="auto" w:fill="FFFFFF"/>
            <w:lang w:val="en-US" w:eastAsia="en-US" w:bidi="ar-SA"/>
          </w:rPr>
          <w:t>(1986), 31 D.L.R. (4th) 192</w:t>
        </w:r>
      </w:hyperlink>
      <w:r>
        <w:rPr>
          <w:rFonts w:ascii="arial" w:eastAsia="arial" w:hAnsi="arial" w:cs="arial"/>
          <w:color w:val="000000"/>
          <w:sz w:val="20"/>
          <w:lang w:val="en-US" w:eastAsia="en-US" w:bidi="ar-SA"/>
        </w:rPr>
        <w:t xml:space="preserve"> (Nfld.C.A.). There, CMHC was found liable for negligent misstatement to the purchasers of a home who relied upon a negligently prepared inspection report issued by CMHC that failed to disclose serious inadequacies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Chances pleads that it and CMHC were parties to a contract evidenced by the Letter Agreement dated February 25, 1989. In that agreement, CMHC required that the Chances Project comply with plans and specifications issued by CMHC, and that working drawings and specifications be reviewed and approved by CMHC. Ms. Conkie submits that Chances has pleaded the existence of a contract with express or implied terms which, if made out, will render CMHC liable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Chances has also pleaded a relationship of trust sufficient to support an ad hoc fiduciary relationship between Chances and CMHC. Chances alleges that CMHC was in a fiduciary relationship with Chances which required CMHC to take care in its administration of the Chances Project. Chances submits that it should have a full and fair opportunity to argue and to prove at trial that the specific nature of CMHC's fiduciary role involved an equitable duty to carry out activities undertaken by it and entrusted to it with a minimum degree of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CMHC's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Clark asserts that there are no facts pleaded to establish any of the proposed causes of action. He submits that CMHC's role was simply to provide mortgage insurance and subsidies. Further, the plaintiff can point to no contractual obligation imposing a duty on CMHC to act as "developer" or "overseer" of the Chances Project. The only assertion to that effect is, he says, based on "unattributed hearsay" in the affidavit of Ms. Soroski, who did not join Chances until August 1994 and had no earlier involvement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for CMHC urges a detailed analysis of the Letter Agreement in an effort to demonstrate that there was no express or implied contractual term obliging CMHC to undertake the duties alleged by the plaintiff. He submits that a reading of the Letter Agreement reveals that CMHC's right to review and approve plans and specifications and code compliance was for the sole protection of CMHC as mortgage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Mr. Clark also submits that Chances' claim against CMHC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succeed because it does not fall within one of the exceptions to the general rule that there can be no recovery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loss amounting to pure economic loss. He cites some ten cases in support of that argument. However, those authorities are trial or appeal judgments dealing with the merits of the claims and defences. In my opinion, the meticulous analysis embarked upon by CMHC is inappropriate at this stage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CMHC also urges the court to reject as groundless, Chances' claim that it was in a fiduciary relationship with CMHC. While recognizing that the categories of fiduciary relationships are never closed, Mr. Clark cites extensive authority for the proposition that commercial transactions rarely invoke fiduciary considerations. Again, I consider it inappropriate to determine that issue on an application pursuant to Rule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Finally, Mr. Clark objects to Chances' plea of negligent misrepresentation on the basis that Chances has not provided full particulars of the alleged misrepresentations. In my opinion, an allegation that a pleading does not meet the requirements of Rule 19(24) is not properly dealt with on an application under Rule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with respect to whether Chances'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agree with Ms. Conkie that the allegations in paragraphs 32 to 43 of its proposed statement of claim are sufficient to make out a real issue. As Baker J. stated in Traff v. Evancic, </w:t>
      </w:r>
      <w:hyperlink r:id="rId162" w:history="1">
        <w:r>
          <w:rPr>
            <w:rFonts w:ascii="arial" w:eastAsia="arial" w:hAnsi="arial" w:cs="arial"/>
            <w:i/>
            <w:color w:val="0077CC"/>
            <w:sz w:val="20"/>
            <w:u w:val="single"/>
            <w:shd w:val="clear" w:color="auto" w:fill="FFFFFF"/>
            <w:lang w:val="en-US" w:eastAsia="en-US" w:bidi="ar-SA"/>
          </w:rPr>
          <w:t>[1997] B.C.J. No. 1469</w:t>
        </w:r>
      </w:hyperlink>
      <w:r>
        <w:rPr>
          <w:rFonts w:ascii="arial" w:eastAsia="arial" w:hAnsi="arial" w:cs="arial"/>
          <w:color w:val="000000"/>
          <w:sz w:val="20"/>
          <w:lang w:val="en-US" w:eastAsia="en-US" w:bidi="ar-SA"/>
        </w:rPr>
        <w:t xml:space="preserve"> (B.C.S.C.)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applicant must establish that there is a possible cause of action against the parties sought to be joined. Where an applicant relies on the pleadings, without adducing evidence, the present or proposed statement of claim must allege facts which, if assumed to be true and provable, would establish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this case, Chances has clearly shown that "there may exist" a "real" question or issue to be decided between it and CMHC. The proposed amended statement of claim alleges facts that, if proven true, would establish at least one cause of action against CMHC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breach of contract, or breach of fiduciary duty. That conclusion is supported by the allegations of fact made by GPA in its third party proceedings brought against CMHC. In its third party notice, GPA alleges that CMHC breached its duty, and failed to exercise all reasonable care, skill, diligence and competence in the conduct of its inspection and approval of the architectural plans and specifications. In particular, it is alleged that CMHC required and approved the installation of an impermeable vapour barrier notwithstanding CMHC knew or should have known that the barrier would cause or contribute to the alleged loss by Chances by preventing the ingress and egress of moisture in the building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interrelationship between the proposed issues and the current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All of Chances' claims against the present defendants and CMHC involve issues relating to the design and construction of the Chances Project and allegations of defects and deficiencies. Specifically, Chances alleges that CMHC negligently reviewed and approved GPA's designs which are alleged to contain errors and omissions. GPA, in turn, alleges that if it is found liable to Chances, CMHC (and/or Burnaby) must be held liable for any damages and must indemnify GPA. Further, Chances alleges that CMHC negligently failed in its site inspections to detect defects in the work performed by Progressive.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Whether adding CMHC is just and convenient in relation to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There is no question that the addition of CMHC as a defendant to the proceedings at this stage would be both just and convenient. The allegations against the present defendants and CMHC are interrelated. CMHC has already been joined as a third party by GPA who alleges that CMHC breached a duty to them to exercise "all reasonable care, skill diligence and competence in the conduct" of CMHC's inspection of the plans and specifications. The plaintiffs are concerned that, because of the operation of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the addition of CMHC to the proceedings by GPA may render them unable to recover part of its losses attributable to CMHC if the plaintiffs are found to be contributorily negligent. The proceedings are at a relatively early stage and neither CMHC nor the present defendants will be prejudiced if CMHC is joined as a defendant in this action. Rather, it would be uneconomical and inefficient for the parties and the court to require the plaintiffs to commence separate proceedings against CMHC.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CMHC protests that it would be unjust to add CMHC as a defendant because the applicable limitation period has expired. In Teal Cedar Products (1977) v. Dale Intermediaries Ltd </w:t>
      </w:r>
      <w:hyperlink r:id="rId163"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the Court held that, in determining whether to exercise its discretion to add a third party pursuant to Rule 24, or to add a defendant under Rule 15(5)(a)(iii) where there otherwise would be a limitation defence, the court should look at the length of delay, the reasons for delay and the expiry of the limitation period. McEachern C.J.B.C. identified the most important considerations as "the length of the delay, prejudice to the respondents, and the overriding question of what is just and convenient."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its written argument, CMHC says: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this application is dismissed, Chances is free to commence a new action against CMHC and then to apply to consolidate it with the present action. This will allow CMHC to raise its limitation defence and to be treated at law in the same fashion as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Requiring the plaintiff to commence further litigation would be uneconomical, inefficient, and unnecessary. Here, CMHC is already a party to both actions. I have indicated that CMHC will not be estopped from pursuing its limitation defence as a result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Sapperton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proposed statement of claim in the Sapperton action alleges facts supporting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and breach of fiduciary duty by CMHC. Mr. Clark notes that Sapperton has further alleged that it has suffered consequential damage which he characterizes as a mere "conclusion of law" without the plaintiff pleading the material facts necessary to support a valid cause of action. He does not suggest that the additional allegation is sufficient to distinguish the two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conceded that the material facts and issues in both the Sapperton and Chances actions are sufficiently similar that the result in the Chances application is determinative of the result in the Sapperton application. For the reasons I have outlined with respect to the Chances application, Sapperton is also entitled to an order joining CMHC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factual issue of whether CMHC was an insurer of loans or a developer of "socially desirable housing" is a complex one for determination by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 merit to CMHC's opposition to the plaintiffs' applications to add CMHC to these actions. Even before the plaintiffs have had an opportunity to avail themselves of the discovery process, they have adduced evidence that supports their claims against CMHC with respect to its involvement during the construction of the Chances and Sapperton Projects. Both plaintiffs must be given the opportunity to pursue those claims in the litigation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will be an order in both proceedings that CMHC be added as a defendant and the plaintiffs may amend their statements of claim in the form attached to their material in these applications. CMHC may raise limitations defences in their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have liberty to address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5"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Clayburn Industries Ltd. v. Piper, [2000] B.C.J. No. 1429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C940644 and C941324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1429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1069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78 B.C.L.R. (3d) 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 C.C.E.L. (3d) 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1132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Clayburn Industries Ltd. and Clayburn Refractories Ltd., plaintiffs, and Recor Services Inc., Paul T. Piper and Craig R. Schoen, defendants, and Craig R. Schoen and Recor Services Inc.,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6"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3" w:name="Keywords_10"/>
      <w:bookmarkEnd w:id="73"/>
      <w:r>
        <w:rPr>
          <w:rFonts w:ascii="arial" w:eastAsia="arial" w:hAnsi="arial" w:cs="arial"/>
          <w:b/>
          <w:color w:val="000000"/>
          <w:sz w:val="20"/>
          <w:lang w:val="en-US" w:eastAsia="en-US" w:bidi="ar-SA"/>
        </w:rPr>
        <w:t>Torts — Joint and concurrent tortfeasors — Contribution between tortfeasors — Claim for.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4" w:name="Case Summary_10"/>
            <w:bookmarkEnd w:id="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defendant Piper for an order of indemnification from the defendants Schoen and Recor for damages and costs awarded to the plaintiff Clayburn. Schoen and Piper left the employ of Clayburn and entered into a contract of employment with the competing business run by Recor. An action by Clayburn for damages against Recor, Schoen and Piper jointly and severally was allowed on finding that Schoen and Piper had misused confidential information contrary to their obligations to Clayburn. Piper joined Schoen and Recor as third parties claiming indemnity for amounts payable to Clayburn as well as costs. Recor had paid $245,000 of the $450,000 judgment. Piper paid Clayburn $60,000. Schoen had made no payment and there was no motion seeking contribution from him. Recor argued that there could be no obligation on it to indemnify Piper where Piper had been found in breach of the employment contract and where Recor was also found to be liable for the same damages arising out of the breach.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5" w:name="Holdings of Court_10"/>
            <w:bookmarkEnd w:id="7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Because it could not be said that Piper was not blameworthy or without personal fault in respect of breach of his employment contract, he was not in a position to look to Recor for indemnification. However, the amount of judgment and costs were to be shared equally between Recor, Piper and Schoen. As joint or several concurrent wrongdoers, Piper and Recor could look to each other and to Schoen for contribution under section 53(3) of the Law and Equity Act. Legal fees and disbursements subsequent to trial were separate debts to which the concept of contribution did not apply. Piper was directed to pay Recor $92,500 in order that the $305,000 paid could be shared equally. Because Clayburn decided not to pursue Schoen for any balance owing under the judgment, the total amount of $305,000 already paid was the only amount which would be paid and was the amount which had to be shared equally.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6" w:name="Legislation Cited_6"/>
      <w:bookmarkEnd w:id="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7"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English Civil Liability (Contribution) Act, (1978) ss. 1(1), 2(1),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171" w:history="1">
        <w:r>
          <w:rPr>
            <w:rFonts w:ascii="arial" w:eastAsia="arial" w:hAnsi="arial" w:cs="arial"/>
            <w:i/>
            <w:color w:val="0077CC"/>
            <w:sz w:val="20"/>
            <w:u w:val="single"/>
            <w:shd w:val="clear" w:color="auto" w:fill="FFFFFF"/>
            <w:lang w:val="en-US" w:eastAsia="en-US" w:bidi="ar-SA"/>
          </w:rPr>
          <w:t>R.S.B.C. 1996, c. 253, s.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72"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7" w:name="Counsel_10"/>
      <w:bookmarkEnd w:id="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8"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C.S. Lott, for Paul T. Piper. M.K. Woodall, for Recor Services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8" w:name="Judgment_10"/>
      <w:bookmarkEnd w:id="78"/>
      <w:r>
        <w:pict>
          <v:line id="_x0000_s1079"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9" w:name="BURNYEAT J."/>
            <w:bookmarkEnd w:id="79"/>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Paul T. Piper ("Mr. Piper") applies pursuant to Rule 18A of the Rules of Court for an order that he be: "... indemnified by the defendants Schoen and Recor jointly and severally for damages and costs awarded to the Plaintiffs in this action." The third party, Recor Services Inc. ("Recor") defends the application on the basis that there is no common law obligation on Recor to indemnify Mr. Piper in the circumstances of this case, that the court cannot make a finding that the contract of employment between the parties contained a contractual obligation on Recor to indemnify Mr. Piper, and that, if Mr. Piper can seek contribution from it, Recor can seek contribution from Mr. Piper.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main issue between Mr. Piper and Recor revolves around the question of whether indemnification or contribution can be sought where there has been a finding that Mr. Piper was in breach of his contract of employment with his former employer (the plaintiffs) and Recor was also found to be liable for the same damages arising out of that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1994, Messrs. Schoen and Piper left the employ of the plaintiffs and entered the employ of Recor. Recor then became a competitor of the plaintiffs in the refractory business. The plaintiffs claimed that Messrs. Schoen and Piper breached their obligations to the plaintiffs in the manner they terminated their employment with the plaintiffs and that they breached fiduciary duties owed, duties of loyalty and good faith owed and the duties as set out the Confidentiality Agreement signed by both of them in the manner in which they terminated their employment and in their activities as potential and as actual employees of Recor.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my December 3, 1998 Reasons for Judgment, </w:t>
      </w:r>
      <w:hyperlink r:id="rId173" w:history="1">
        <w:r>
          <w:rPr>
            <w:rFonts w:ascii="arial" w:eastAsia="arial" w:hAnsi="arial" w:cs="arial"/>
            <w:i/>
            <w:color w:val="0077CC"/>
            <w:sz w:val="20"/>
            <w:u w:val="single"/>
            <w:shd w:val="clear" w:color="auto" w:fill="FFFFFF"/>
            <w:lang w:val="en-US" w:eastAsia="en-US" w:bidi="ar-SA"/>
          </w:rPr>
          <w:t>[1998] B.C.J. No. 2831</w:t>
        </w:r>
      </w:hyperlink>
      <w:r>
        <w:rPr>
          <w:rFonts w:ascii="arial" w:eastAsia="arial" w:hAnsi="arial" w:cs="arial"/>
          <w:color w:val="000000"/>
          <w:sz w:val="20"/>
          <w:lang w:val="en-US" w:eastAsia="en-US" w:bidi="ar-SA"/>
        </w:rPr>
        <w:t>, I found that Mr. Schoen could be classified as "top management", that Mr. Piper was a "mere employee", that both used confidential information they had obtained as a result of their employment with the plaintiffs both before and after they left the employment of the plaintiffs and both before and after they began work with Recor, that the mis-use of confidential information caused damages to the plaintiffs, that the use of this confidential information violated the obligations owed by Messrs. Schoen and Piper to the plaintiffs, that Recor benefited from the confidential information received or alternatively, was vicariously liable for the activities of Messrs. Schoen and Piper, that the lost profit of the plaintiffs as a result of the activities of Messrs. Schoen and Piper and Recor amounted to $450,000, that the plaintiffs would have judgment in the amount of $450,000 against each of Schoen, Piper and Recor, that special costs were justified against Mr. Piper and Recor and that the plaintiffs would be entitled to Party and Party (Scale 3) Costs against Mr. Schoen.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nothing in the written employment contract of Mr. Piper which would suggest that Recor was prepared to indemnify Mr. Piper for damages or costs arising generally out of actions against Mr. Piper or out of this particular action. However, Mr. Piper claims that part-way through the trial he asked Mr. Ryan of Recor whether Recor had insurance and that Mr. Ryan then replied: "Don't worry, Paul, we will look after you." In his March 24, 2000 affidavit, Mr. Piper states that all legal costs to the date of the judgment were paid by Recor and that counsel for Recor, Messrs. Schoen and Piper was always the same person throughout except towards the end of the trial when that counsel continued to represent Recor and Mr. Piper but no longer represented Mr. Schoen. Mr. Piper also states that all accounts for legal services were paid directly by Recor "... who maintained conduct of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his May 10, 2000 affidavit in response, Mr. Ryan of Recor states that Recor did not force Mr. Piper to accept representation by the same lawyer it was employing and the fact that Recor was paying the accounts rendered by the lawyer: "... did not mean that only Recor alone determined the direction taken before and during the trial." He also states that the second lawyer representing Recor and Mr. Piper only agreed to act if both Recor and Mr. Piper: "... agreed with the conduct of the case at each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Ryan also states in his May 10, 2000 affidavit that an offer was made by Recor to Mr. Piper that Recor would make a proposal to the plaintiffs to settle the judgment if Mr. Piper would make a "modest contribution of $30,000" to that settlement offer. Mr. Ryan states in his affidavit: "Paul Piper refused to discuss any contribution to a joint settlement." As to the conversation that Mr. Piper claims took place between himself and Mr. Ryan, Mr. Ryan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recall any such conversation. Whether or not there was a discussion about insurance, I can say that at no time did I say to Paul Piper that Recor would be responsible for all the damages or costs payable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appealed the December 3, 1998 Judgment. Prior to that appeal being heard, settlements were reached between Recor and the plaintiffs and Mr. Piper and the plaintiffs. As a result of those settlements, Recor paid $245,000 and Mr. Piper paid $60,000 to the plaintiffs. The plaintiffs did not seek recovery from Mr. Schoen and, accordingly, no settlement funds were provided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January 24, 2000 after the settlements were concluded, Mr. Piper issued a Third Party Notice naming Mr. Schoen and Recor and claiming:</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Indemnity from the third parties for all and any amounts payable pursuant to the claim of the Plaintiff herein.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Indemnity for all costs incurred for legal representation in defending the Plaintiff's claim.</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contribution to the aforesaid costs and legal fees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c. 333, s. 4 and the Law and Equity Act </w:t>
      </w:r>
      <w:hyperlink r:id="rId171" w:history="1">
        <w:r>
          <w:rPr>
            <w:rFonts w:ascii="arial" w:eastAsia="arial" w:hAnsi="arial" w:cs="arial"/>
            <w:i/>
            <w:color w:val="0077CC"/>
            <w:sz w:val="20"/>
            <w:u w:val="single"/>
            <w:shd w:val="clear" w:color="auto" w:fill="FFFFFF"/>
            <w:lang w:val="en-US" w:eastAsia="en-US" w:bidi="ar-SA"/>
          </w:rPr>
          <w:t>R.S.B.C. 1996 c. 253, s. 53</w:t>
        </w:r>
      </w:hyperlink>
      <w:r>
        <w:rPr>
          <w:rFonts w:ascii="arial" w:eastAsia="arial" w:hAnsi="arial" w:cs="arial"/>
          <w:color w:val="000000"/>
          <w:sz w:val="20"/>
          <w:lang w:val="en-US" w:eastAsia="en-US" w:bidi="ar-SA"/>
        </w:rPr>
        <w: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Recor filed a Statement of Defence to the Third Party Notice which stated in part: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 has no duty in law or equity, or by contract express or implied, to indemnify Piper for the costs or damages he has paid, or for the legal expenses he has incurred.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Piper has not satisfied the judgment herein.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c. 333, and s. 53 of the Law and Equity Act, R.S.B.C. c. 253, have no application to the facts of this case.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to paragraphs 9-11:</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portion of the legal fees, costs, and damages paid by Recor exceeds the degree to which Recor was at fault; and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portion of the legal fees, costs, and damages which Piper has paid is less than the degree to which he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same time, Recor filed a Counterclaim to the Third Party Notice which stated in part:</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Recor has paid an amount to the Plaintiffs in satisfaction of the judgment herein against the defendants which exceeds the degree of its fault.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Piper has paid an amount to the Plaintiffs in satisfaction of the judgment herein, that amount is less than the degree of his fault.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contribution is available between the parties in this case, Piper is liable to pay contribution to Recor such that the payments of both parties is commensurate with the degree of their respective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STATUTORY PROVISIONS RELIED UPON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provides: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damage or loss has been caused by the fault of 2 or more persons, the court must determine the degree to which each person was at fault.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if 2 or more persons are found at fault</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Section 53 of the Law and Equity Act provides:</w:t>
      </w:r>
      <w:r>
        <w:rPr>
          <w:rFonts w:ascii="arial" w:eastAsia="arial" w:hAnsi="arial" w:cs="arial"/>
          <w:sz w:val="20"/>
          <w:lang w:val="en-US" w:eastAsia="en-US" w:bidi="ar-SA"/>
        </w:rPr>
        <w:cr/>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party has a demand recoverable against 2 or more persons jointly liable ... an order may be obtained and execution issues against the person served even if others jointly liable may not have been served or sued or may not be within the jurisdiction of the court.</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obtaining of an order against one person jointly liable does not release any others jointly liable who have been sued in the proceeding, whether the others may have been served with process or not.</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against whom an order has been obtained who has satisfied the order is entitled to demand and recover in the court contribution from any other person jointly liable with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claim of the plaintiffs against Messrs. Piper and Schoen was for their breach of obligations owing under their contracts of employment. The damages awarded to the plaintiffs arose as a result of those breaches. The claim of the plaintiffs against Recor was founded in tort. The damages awarded to the plaintiffs arose because of that tort but also because of a finding that Recor was also vicariously liable for the damages flowing from the acts of Messrs. Schoen and Piper. The claim of Mr. Piper pursuant to s. 4(2)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must fail as Mr. Piper and Recor are not two persons who have caused the plaintiffs damages or loss as a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Merely because I found Mr. Schoen could be classified as "top management" so that he owed certain fiduciary duties to the plaintiffs, it cannot be said that the breach of those fiduciary duties was tortious. It is clear that s. 4(2)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could only apply if both Mr. Piper and Recor were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Similarly, the claim of Mr. Piper based on the alleged conversation he had with Mr. Ryan of Recor must also fail. Mr. Piper does not allege that he offered any consideration in return for the alleged undertaking. In any event, Mr. Piper did not alter his position to his detriment in reliance on the statement alleged to have been made. The statement alleged to have been made by Mr. Ryan cannot be the source of an equitable obligation based on detrimental reliance. I find that neither a contractual term in the employment contract of Mr. Piper nor an equitable obligation arose as a result of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Accordingly, any claim which Mr. Piper may have against Recor for indemnification or contribution and any claim which Recor may have against Mr. Piper for indemnification or contribution must be based either on their obligations to the plaintiffs arising out of the December 3, 1998 judgment or on a common law or statutory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RIGHT TO INDEMNIFICATION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right to indemnification has traditionally been available to a person who, without active fault on his or her own part, has been required to pay damages that are rightly the primary responsibility of another party. The right is based on the principle that everyone is responsible for his or her own wrongdoing: McFee v. Joss </w:t>
      </w:r>
      <w:hyperlink r:id="rId174" w:history="1">
        <w:r>
          <w:rPr>
            <w:rFonts w:ascii="arial" w:eastAsia="arial" w:hAnsi="arial" w:cs="arial"/>
            <w:i/>
            <w:color w:val="0077CC"/>
            <w:sz w:val="20"/>
            <w:u w:val="single"/>
            <w:shd w:val="clear" w:color="auto" w:fill="FFFFFF"/>
            <w:lang w:val="en-US" w:eastAsia="en-US" w:bidi="ar-SA"/>
          </w:rPr>
          <w:t>(1924), 56 O.L.R. 578</w:t>
        </w:r>
      </w:hyperlink>
      <w:r>
        <w:rPr>
          <w:rFonts w:ascii="arial" w:eastAsia="arial" w:hAnsi="arial" w:cs="arial"/>
          <w:color w:val="000000"/>
          <w:sz w:val="20"/>
          <w:lang w:val="en-US" w:eastAsia="en-US" w:bidi="ar-SA"/>
        </w:rPr>
        <w:t xml:space="preserve"> (C.A.). The principles of indemnity with respect to employers and employees have developed in the context of actions in tort where the employee is found liable to a third party for the commission of a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Where the precise act constituting the alleged misconduct is expressly authorized and instructed by the employer, there is an implied obligation on the part of the employer to indemnify an employee against the consequences of obedience to the employer's orders: Proctor v. Seagram, </w:t>
      </w:r>
      <w:hyperlink r:id="rId175" w:history="1">
        <w:r>
          <w:rPr>
            <w:rFonts w:ascii="arial" w:eastAsia="arial" w:hAnsi="arial" w:cs="arial"/>
            <w:i/>
            <w:color w:val="0077CC"/>
            <w:sz w:val="20"/>
            <w:u w:val="single"/>
            <w:shd w:val="clear" w:color="auto" w:fill="FFFFFF"/>
            <w:lang w:val="en-US" w:eastAsia="en-US" w:bidi="ar-SA"/>
          </w:rPr>
          <w:t>[1925] 2 D.L.R. 1112</w:t>
        </w:r>
      </w:hyperlink>
      <w:r>
        <w:rPr>
          <w:rFonts w:ascii="arial" w:eastAsia="arial" w:hAnsi="arial" w:cs="arial"/>
          <w:color w:val="000000"/>
          <w:sz w:val="20"/>
          <w:lang w:val="en-US" w:eastAsia="en-US" w:bidi="ar-SA"/>
        </w:rPr>
        <w:t xml:space="preserve"> (Ont.C.A.). However, that implied obligation does not extend to indemnification of an employee against the consequences of that employee's own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appear to be no case authorities which extend the right to indemnity to situations where the underlying "wrong" is a breach of contract by an employee. That is the case because a party cannot claim indemnification in respect of a loss which he or she has brought about by his or her own fault. Even if it could be said that Recor urged Mr. Piper to adopt his actionable course of conduct, it cannot be said that Mr. Piper is not blameworthy or without personal fault in respect of the breach of his employment contract with the plaintiffs. Clearly, Mr. Piper actively and aggressively breached his contract with the plaintiffs. He used the confidential information he had obtained as an employee of the plaintiffs to his own economic advantage. Because he is not blameworthy or without personal fault in respect of the breach of contract with the plaintiffs, he is not in a position to look to Recor for indemnification. The question which then arises is whether he can look to Recor for contribution and whether, at the same time, Recor can look to Mr. Piper for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RIGHT TO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Originally, the right to contribution was only available as between co-sureties for the same debt. The following description is given for the contribution between co-sureties in Snells's Principles of Equity, Sweet &amp; Maxwell Ltd., 1982, 28th 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there are two or more sureties for the same debts, and one of them pays the whole debt or more than his proportion of it, he has a right to contribution from his co-surety or co-sureties if he cannot obtain indemnity from the principle debtor. (at p. 469)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action for contribution could be brought at law until the surety had actually paid more than his proportion of the debt. In equity, however, even before payment it has always been possible for a surety to bring an action in the nature of quia timet against his co-sureties if judgment has been obtained against him by the creditor for more than his proportion, or perhaps if he is merely threatened by the creditor with an action for more than his proportion. (at p. 470)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principle of contribution is based on the concept of unjust enrichment and, because it is general in nature, it is not restricted to surety cases. Although the application of the doctrine generally arises in the context of co-sureties or guarantors, the rules extend in general to persons who, in one way or another, incur a common liability where one of them has discharged more than his or her proportionate share of that mutual obligation. The principles of contribution have been extended to cases involving co-insurers, co-mortgagors, co-trustees, corporate directors and partners and other co-obligors but the right to contribution at common law does not apply among joint tortfeasors: Merryweather v. Nixan (1799), 8 T.R.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right to contribution originally did not apply to wrongdoers such as joint tortfeasors or those who were in breach of contract where their separate or joint breaches of contract caused the same damage. As a result, one joint tortfeasor or one person jointly in breach of contract could be required to satisfy the whole of a plaintiff's claim without any avenue of redress from the other wrongdoer. To remedy this situation, most common law jurisdictions enacted legislation dealing with contribution among joint tortfeasors when legislation such as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1996, c. 333, where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right to contribution between persons jointly in breach of contract was extended by virtue of legislation such as ss. 1(1) and 6(1) of the English Civil Liability (Contribution) Act (1978) where two or more persons are made liable in respect of the same damage whatever the legal basis of the liability: "Whether tort, breach of contract, breach of trust or otherwise." Under s. 2(1) of that Act, the court fixes the amount of the contribution at such a figure as it considers just and equitable having regard to the extent of the contributor's liability for the damage in question. As there is no similar legislation in British Columbia, Mr. Piper and Recor are only in a position to rely on either the common law doctrine of contribution or s. 53 of the Law and Equity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What is now s. 53 of the Law and Equity Act was added to avoid problems which arose where the liability of individuals was joint rather than several. Where the liability was only joint, it was long established that the failure to commence an action against all of those potentially liable would release those not joined as parties and that a judgment taken as against only one person eliminated the ability of a plaintiff to later apply for judgment against other defendants thought to be jointly liable. Section 53 was enacted to allow a plaintiff to commence an action against only one joint obligant without that another person being released if not sued or, if sued, not served or if served, not having a judgment taken against them. Section 53 was also enacted to allow a person who was jointly liable and who had paid a creditor to recover from another person jointly liable even though that person had not been previously named as a party or had not a judgment issued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judgment against one defendant to a several obligation was never a bar to an action against another contractor. This is the case because two separate causes of action existed. Accordingly, s. 53 was not required in order to and did not affect the obligations of those who had a several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effect of s. 53(3) is narrower in scope than the legislation adopted in the United Kingdom in that it allows the right of contribution only to joint wrongdoers and not several concurrent wrongdoers who are liable to the plaintiff for the same damage. However, s. 53(3) accurately sets out the principles of contribution which are in effect between several concurrent wrongdoers. The principle of contribution promotes equality in bearing a common burden. Once it is determined that the respective wrongs have caused the same damage for which both parties are liable, the difference in the initial wrongs is irrelevant and the distinction between joint current wrongdoers and several current wrongdoers is questionable. Accordingly, Mr. Piper can look to Recor and Recor can look to Mr. Piper for contribution. Similarly, Mr. Piper and Recor can also look to Mr. Schoen for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judgments against Recor and Messrs. Piper and Schoen were all in the amount of $450,000. The principle of contribution would create an obligation of $150,000 each so that each of the judgment debtors bear a common burden. However, the full amount of $450,000 was not paid. Recor paid the plaintiffs $245,000. Mr. Piper paid the plaintiffs $60,000. Recor submits that the total amount paid was $305,000, that half of that is $152,500 and that Mr. Piper should pay to Recor the sum of $92,500 in order that the relative sharing of the $305,000 can be equal. That order is made as it then creates an equality between Mr. Piper and Recor as to the balances they have paid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no motion before the court dealing with contribution from Mr. Schoen. Accordingly, no order can be made against Mr. Schoen. Because the plaintiffs have decided not to pursue Mr. Schoen for any balance owing under the $450,000 judgment, the total amount of $305,000 already paid to the plaintiffs is the only amount which will be paid to them and is the amount which must be shared equally between Recor, Mr. Piper and Mr. Schoen. Accordingly, this order does not affect the ability of Recor and/or Mr. Piper to claim contribution from Mr. Schoen so that both Recor and Mr. Piper can reduce their share of the $305,000 from $152,500 each to $101,666.66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Recor and Mr. Piper also claimed contribution relating to the legal fees paid by them. Payment of these fees and disbursements does not create any right of contribution between the parties. It was apparently the agreement between the parties that Recor was obligated to pay the legal fees up to the date of judgment. If that was the agreement, Recor cannot look to Mr. Piper for contribution as there was no joint debt owing by Mr. Piper which has been paid by Recor. As to the legal fees and disbursements subsequent to the trial, these are separate debts and, in the absence of a contract between Recor and Mr. Piper, they are separate obligations incurred with separate lawyers. Again, the concept of contribution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Recor Services Inc. will have judgment against Paul T. Piper in the amount of $92,500. Recor Services Inc. will also be entitled to its Party and Party (Scale 3) Costs against Mr. Piper for this application. In order to avoid the necessity of an assessment of the same before the Registrar, I will assess the fees and disbursements of Recor Services Inc. at $650.00 inclusive of fees, disbursements, and government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Coleman v. Yen Hoy Enterprises Ltd., [2000] B.C.J. No. 403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11,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25, 2000.</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44045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403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276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94 A.C.W.S. (3d) 1236</w:t>
      </w:r>
    </w:p>
    <w:p>
      <w:pPr>
        <w:spacing w:before="120" w:line="260" w:lineRule="atLeast"/>
        <w:rPr>
          <w:lang w:val="en-US" w:eastAsia="en-US" w:bidi="ar-SA"/>
        </w:rPr>
      </w:pPr>
      <w:r>
        <w:rPr>
          <w:rFonts w:ascii="arial" w:eastAsia="arial" w:hAnsi="arial" w:cs="arial"/>
          <w:color w:val="000000"/>
          <w:sz w:val="20"/>
          <w:lang w:val="en-US" w:eastAsia="en-US" w:bidi="ar-SA"/>
        </w:rPr>
        <w:t>Between Linda Coleman, plaintiff, and Yen Hoy Enterprises Ltd., J.V. Holdings Ltd., George Yen &amp; Associates Ltd., Westcoast Properties Ltd., Robco Enterprises Ltd. and Royal Bank of Canada,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81" style="position:absolute;z-index:25167052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0" w:name="Keywords_11"/>
      <w:bookmarkEnd w:id="80"/>
      <w:r>
        <w:rPr>
          <w:rFonts w:ascii="arial" w:eastAsia="arial" w:hAnsi="arial" w:cs="arial"/>
          <w:b/>
          <w:color w:val="000000"/>
          <w:sz w:val="20"/>
          <w:lang w:val="en-US" w:eastAsia="en-US" w:bidi="ar-SA"/>
        </w:rPr>
        <w:t xml:space="preserve">Torts — Occupiers' liability for dangerous premises — Duty of occupier, warning of danger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Sidewalks — Stairs or steps.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1" w:name="Case Summary_11"/>
            <w:bookmarkEnd w:id="8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application by the defendants for summary judgment dismissing Coleman's personal injury action. Coleman was approaching the entrance to a Royal Bank of Canada branch. She had never visited the branch before. As she approached, she tripped over a five-inch step and fell. The step was made from the same material and was the same colour as the rest of the sidewalk. It was located on the north side of the building and would often be in the shadow. At some time in the past, someone had painted a line on the step but the paint was faded on the day Coleman was injured. The defendants presented affidavit evidence from bank employees and also relied on portions of Coleman's examination for discovery transcripts. There were some inconsistencies between the discovery and the affidavits of the defence witnesses. One bank employee indicated that Coleman told her that at the time of the accident Coleman had been looking across the street. Coleman had indicated that when the accident occurred she was looking at the front entrance of the bank. </w:t>
            </w:r>
            <w:r>
              <w:rPr>
                <w:lang w:val="en-US" w:eastAsia="en-US" w:bidi="ar-SA"/>
              </w:rPr>
              <w:cr/>
            </w:r>
          </w:p>
          <w:p>
            <w:pPr>
              <w:spacing w:before="120" w:line="260" w:lineRule="atLeast"/>
              <w:ind w:left="240"/>
              <w:jc w:val="both"/>
              <w:rPr>
                <w:lang w:val="en-US" w:eastAsia="en-US" w:bidi="ar-SA"/>
              </w:rPr>
            </w:pPr>
            <w:bookmarkStart w:id="82" w:name="Holdings of Court_11"/>
            <w:bookmarkEnd w:id="82"/>
            <w:r>
              <w:rPr>
                <w:rFonts w:ascii="arial" w:eastAsia="arial" w:hAnsi="arial" w:cs="arial"/>
                <w:color w:val="000000"/>
                <w:sz w:val="20"/>
                <w:lang w:val="en-US" w:eastAsia="en-US" w:bidi="ar-SA"/>
              </w:rPr>
              <w:t>HELD: Application dismissed; Coleman's claim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Coleman's injuries. The step should have been marked to make it more visible to pedestrians. Where the evidence of the defence witnesses diverged from Coleman's evidence, Coleman's evidence was accepted. While there was a duty on Coleman to be aware of her surroundings, she was not required to walk around with her eyes glued to the ground. Even if she had looked across the street in the moments before she tripped, that did not absolve the defendants of liability. </w:t>
            </w:r>
            <w:r>
              <w:rPr>
                <w:lang w:val="en-US" w:eastAsia="en-US" w:bidi="ar-SA"/>
              </w:rPr>
              <w:cr/>
            </w:r>
          </w:p>
          <w:p>
            <w:pPr>
              <w:rPr>
                <w:lang w:val="en-US" w:eastAsia="en-US" w:bidi="ar-SA"/>
              </w:rPr>
            </w:pPr>
          </w:p>
        </w:tc>
      </w:tr>
    </w:tbl>
    <w:p>
      <w:pPr>
        <w:jc w:val="both"/>
        <w:rPr>
          <w:lang w:val="en-US" w:eastAsia="en-US" w:bidi="ar-SA"/>
        </w:rPr>
      </w:pPr>
      <w:bookmarkStart w:id="83" w:name="Legislation Cited_7"/>
      <w:bookmarkEnd w:id="8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82" style="position:absolute;z-index:25172172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Occupier's Liability Act, </w:t>
      </w:r>
      <w:hyperlink r:id="rId183" w:history="1">
        <w:r>
          <w:rPr>
            <w:rFonts w:ascii="arial" w:eastAsia="arial" w:hAnsi="arial" w:cs="arial"/>
            <w:i/>
            <w:color w:val="0077CC"/>
            <w:sz w:val="20"/>
            <w:u w:val="single"/>
            <w:shd w:val="clear" w:color="auto" w:fill="FFFFFF"/>
            <w:lang w:val="en-US" w:eastAsia="en-US" w:bidi="ar-SA"/>
          </w:rPr>
          <w:t>R.S.B.C. 1996, c. 337, ss. 3</w:t>
        </w:r>
      </w:hyperlink>
      <w:r>
        <w:rPr>
          <w:rFonts w:ascii="arial" w:eastAsia="arial" w:hAnsi="arial" w:cs="arial"/>
          <w:color w:val="000000"/>
          <w:sz w:val="20"/>
          <w:lang w:val="en-US" w:eastAsia="en-US" w:bidi="ar-SA"/>
        </w:rPr>
        <w:t>, 3(1).</w:t>
      </w:r>
      <w:r>
        <w:rPr>
          <w:lang w:val="en-US" w:eastAsia="en-US" w:bidi="ar-SA"/>
        </w:rPr>
        <w:cr/>
      </w:r>
    </w:p>
    <w:p>
      <w:pPr>
        <w:keepNext/>
        <w:spacing w:before="240" w:line="340" w:lineRule="atLeast"/>
        <w:rPr>
          <w:lang w:val="en-US" w:eastAsia="en-US" w:bidi="ar-SA"/>
        </w:rPr>
      </w:pPr>
      <w:bookmarkStart w:id="84" w:name="Counsel_11"/>
      <w:bookmarkEnd w:id="8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83" style="position:absolute;z-index:25177292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S.T. Cope, for the plaintiff. D. van Beek, for the defendants.</w:t>
      </w:r>
      <w:r>
        <w:rPr>
          <w:lang w:val="en-US" w:eastAsia="en-US" w:bidi="ar-SA"/>
        </w:rPr>
        <w:cr/>
      </w:r>
    </w:p>
    <w:p>
      <w:pPr>
        <w:spacing w:after="240"/>
        <w:rPr>
          <w:lang w:val="en-US" w:eastAsia="en-US" w:bidi="ar-SA"/>
        </w:rPr>
      </w:pPr>
      <w:bookmarkStart w:id="85" w:name="Judgment_11"/>
      <w:bookmarkEnd w:id="85"/>
      <w:r>
        <w:pict>
          <v:line id="_x0000_s1084" style="position:absolute;z-index:25182412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6" w:name="BURNYEAT J._0"/>
            <w:bookmarkEnd w:id="86"/>
            <w:r>
              <w:rPr>
                <w:rFonts w:ascii="arial" w:eastAsia="arial" w:hAnsi="arial" w:cs="arial"/>
                <w:b/>
                <w:color w:val="000000"/>
                <w:sz w:val="30"/>
                <w:lang w:val="en-US" w:eastAsia="en-US" w:bidi="ar-SA"/>
              </w:rPr>
              <w:t>BURNYEAT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February 27, 1997, Ms. Coleman fell as she approached the entrance of the Royal Bank of Canada Branch at 33780 South Fraser Way in Abbotsford. As a result of her fall, she fractured her arm, sustained soft tissue injuries to her right arm and wrist and soft injuries to her right shoulder. The plaintiff claims general and special damages arising out of that incident based on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for: (a) Failing to mark the stairs leading to the Bank in a manner that would allow the same to be seen as a hazard to pedestrian traffic; (b) Failing to provide the plaintiff with any warning that her health and well-being were at risk; and (c) Failure to keep and maintain the premises in a reasonably safe condition, contrary to the provisions of Section 3 of the Occupier's Liability Act, R.S.B.C. 1996, s. 337 and amendments thereto. Ultimately, the plaintiff chose to concentrate on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as "(c)".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All defendants deny liability and say that the area was not a hazard that required any degree of special identification or marking and that the fall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who failed to take care for her own safety and to maintain an adequate or any lookout.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trial of the matter is set to start before a jury on March 20, 2000. The defendants now apply pursuant to Rule 18A of the Rules of Court for an order that the defendants are not liable to the plaintiff for her trip and fall, that the action be dismissed, and that the defendants be awarded their costs. In support of that application, the defendants rely on a number of affidavits filed as well as questions and answers 1 through 3, 25, 55 through 57, 60 through 61, 65 through 89, 107 through 110, 113 through 127, 270 through 280 and 283 through 287 of an October 27, 1998 discovery of Ms. Coleman.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her January 27, 2000 affidavit, Ms. Coleman states that she had never visited the Royal Bank of Canada Branch at that location prior to February 27, 1997 and that she was "unfamiliar with the layout of the Bank premises and the approaches thereto." Ms. Coleman also states that she went to the building to withdraw money from the A.T.M. machine, she walked north on Montrose Street toward the Bank, that there is a "planter box" at the northwest corner of the Bank building which is located at the intersection of Montrose and South Fraser Way, that she was walking in the middle of the sidewalk on Montrose as she made her turn towards the Bank, that as she passed the planter she saw the front doors of the Bank as well as a walkway leading to the front doors, that she was looking in the direction in which she was walking and: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After two or three steps, I was tripped by something, which caught my foot. I fell forward onto a concrete step attached to the protruding concrete planter box.</w:t>
      </w:r>
    </w:p>
    <w:p>
      <w:pPr>
        <w:spacing w:before="120" w:line="260" w:lineRule="atLeast"/>
        <w:ind w:left="720"/>
        <w:rPr>
          <w:lang w:val="en-US" w:eastAsia="en-US" w:bidi="ar-SA"/>
        </w:rPr>
      </w:pPr>
      <w:r>
        <w:rPr>
          <w:rFonts w:ascii="arial" w:eastAsia="arial" w:hAnsi="arial" w:cs="arial"/>
          <w:color w:val="000000"/>
          <w:sz w:val="20"/>
          <w:lang w:val="en-US" w:eastAsia="en-US" w:bidi="ar-SA"/>
        </w:rPr>
        <w:t>I landed on my right arm/elbow.</w:t>
      </w:r>
    </w:p>
    <w:p>
      <w:pPr>
        <w:spacing w:before="120" w:line="260" w:lineRule="atLeast"/>
        <w:ind w:left="720"/>
        <w:rPr>
          <w:lang w:val="en-US" w:eastAsia="en-US" w:bidi="ar-SA"/>
        </w:rPr>
      </w:pPr>
      <w:r>
        <w:rPr>
          <w:rFonts w:ascii="arial" w:eastAsia="arial" w:hAnsi="arial" w:cs="arial"/>
          <w:color w:val="000000"/>
          <w:sz w:val="20"/>
          <w:lang w:val="en-US" w:eastAsia="en-US" w:bidi="ar-SA"/>
        </w:rPr>
        <w:t>At no time did I see any concrete steps leading towards the front doors of the Bank. Apart from the round flower pot near the front doors of the Bank, all I saw was concrete ground of the same colour and pattern leading to the front doors of the Bank. I thought from what I could see, that I was walking on an extension or continuation of the sidewalk and not into a concrete step.</w:t>
      </w:r>
    </w:p>
    <w:p>
      <w:pPr>
        <w:spacing w:before="120" w:line="260" w:lineRule="atLeast"/>
        <w:ind w:left="720"/>
        <w:rPr>
          <w:lang w:val="en-US" w:eastAsia="en-US" w:bidi="ar-SA"/>
        </w:rPr>
      </w:pPr>
      <w:r>
        <w:rPr>
          <w:rFonts w:ascii="arial" w:eastAsia="arial" w:hAnsi="arial" w:cs="arial"/>
          <w:color w:val="000000"/>
          <w:sz w:val="20"/>
          <w:lang w:val="en-US" w:eastAsia="en-US" w:bidi="ar-SA"/>
        </w:rPr>
        <w:t>On the day of my Fall, the weather was cloudy, grey and there was no shadow lines of any kind on the concrete walkway leading to the front doors of the Bank.</w:t>
      </w:r>
    </w:p>
    <w:p>
      <w:pPr>
        <w:spacing w:before="120" w:line="260" w:lineRule="atLeast"/>
        <w:ind w:left="720"/>
        <w:rPr>
          <w:lang w:val="en-US" w:eastAsia="en-US" w:bidi="ar-SA"/>
        </w:rPr>
      </w:pPr>
      <w:r>
        <w:rPr>
          <w:rFonts w:ascii="arial" w:eastAsia="arial" w:hAnsi="arial" w:cs="arial"/>
          <w:color w:val="000000"/>
          <w:sz w:val="20"/>
          <w:lang w:val="en-US" w:eastAsia="en-US" w:bidi="ar-SA"/>
        </w:rPr>
        <w:t>After I fell forward from tripping on the first step, I got up and using the ramped area beside the steps, I walked around the first concrete step and into the Bank.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Looking east from Montrose, the area at the northwest corner of the Bank building leading towards the entrance to the Bank includes a planter box against the north face of the building, what appears to be about a six foot wide ramp-sidewalk and then a gently slopped sidewalk surface which leads both up to the door of the Bank building and to the north and east of the Bank building where there is a parking lot. The ramp-sidewalk leads both to the Bank entrance and to the A.T.M. machine. The ramp-sidewalk has two small concrete steps: one at the beginning of the ramp-sidewalk and one about half-way between the beginning of the ramp-sidewalk and the end of the planter box. From the photographs available, it appears that the first step is about five inches high and the second step is about three inches high. It is apparent that the face and the edge of both steps and the face and edge of the north side of the ramp-sidewalk have been painted in the past. It is also apparent that the painting has not been re-done recently and that the demarcation provided by the paint has been allowed to fade. It is probably the case that the ramp-sidewalk is often in an area of shade as it is on the north side of the Bank building.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question which arises on this case is whether the defendants have taken reasonable care to make the area surrounding the Bank entrance reasonably safe.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APPLICABLE PROVISIONS OF THE OCCUPIER'S LIABILITY ACT, 1996, R.S.C. 337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6a</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spacing w:before="120" w:line="260" w:lineRule="atLeast"/>
        <w:ind w:firstLine="240"/>
        <w:rPr>
          <w:lang w:val="en-US" w:eastAsia="en-US" w:bidi="ar-SA"/>
        </w:rPr>
      </w:pPr>
      <w:r>
        <w:rPr>
          <w:rFonts w:ascii="arial" w:eastAsia="arial" w:hAnsi="arial" w:cs="arial"/>
          <w:color w:val="000000"/>
          <w:sz w:val="20"/>
          <w:lang w:val="en-US" w:eastAsia="en-US" w:bidi="ar-SA"/>
        </w:rPr>
        <w:t>[The Court did not number this paragraph. Quicklaw has assigned number 6a.]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CASE AUTHORITIES AND 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Affidavits by Bank employees, Ms. Laury, Ms. Liebe and Ms. Baker were filed in support of the application of the defendants. Both Ms. Laury and Ms. Baker state that their inquiries led them to conclude that there was no record or recollection of any complaints or accidents regarding the steps in question in the several years leading up to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While "prior safe use" will not determine the issue, it has always been a relevant factor: Jolley v. Pacific National Exhibition, </w:t>
      </w:r>
      <w:hyperlink r:id="rId184" w:history="1">
        <w:r>
          <w:rPr>
            <w:rFonts w:ascii="arial" w:eastAsia="arial" w:hAnsi="arial" w:cs="arial"/>
            <w:i/>
            <w:color w:val="0077CC"/>
            <w:sz w:val="20"/>
            <w:u w:val="single"/>
            <w:shd w:val="clear" w:color="auto" w:fill="FFFFFF"/>
            <w:lang w:val="en-US" w:eastAsia="en-US" w:bidi="ar-SA"/>
          </w:rPr>
          <w:t>[1986] B.C.J. No. 2284</w:t>
        </w:r>
      </w:hyperlink>
      <w:r>
        <w:rPr>
          <w:rFonts w:ascii="arial" w:eastAsia="arial" w:hAnsi="arial" w:cs="arial"/>
          <w:color w:val="000000"/>
          <w:sz w:val="20"/>
          <w:lang w:val="en-US" w:eastAsia="en-US" w:bidi="ar-SA"/>
        </w:rPr>
        <w:t xml:space="preserve"> (B.C.S.C.); Crerar v. Dover </w:t>
      </w:r>
      <w:hyperlink r:id="rId185" w:history="1">
        <w:r>
          <w:rPr>
            <w:rFonts w:ascii="arial" w:eastAsia="arial" w:hAnsi="arial" w:cs="arial"/>
            <w:i/>
            <w:color w:val="0077CC"/>
            <w:sz w:val="20"/>
            <w:u w:val="single"/>
            <w:shd w:val="clear" w:color="auto" w:fill="FFFFFF"/>
            <w:lang w:val="en-US" w:eastAsia="en-US" w:bidi="ar-SA"/>
          </w:rPr>
          <w:t>[1984] 3 W.W.R. 236</w:t>
        </w:r>
      </w:hyperlink>
      <w:r>
        <w:rPr>
          <w:rFonts w:ascii="arial" w:eastAsia="arial" w:hAnsi="arial" w:cs="arial"/>
          <w:color w:val="000000"/>
          <w:sz w:val="20"/>
          <w:lang w:val="en-US" w:eastAsia="en-US" w:bidi="ar-SA"/>
        </w:rPr>
        <w:t xml:space="preserve"> (B.C.S.C.); Trojan v. Buena Vista Holdings Ltd., </w:t>
      </w:r>
      <w:hyperlink r:id="rId186" w:history="1">
        <w:r>
          <w:rPr>
            <w:rFonts w:ascii="arial" w:eastAsia="arial" w:hAnsi="arial" w:cs="arial"/>
            <w:i/>
            <w:color w:val="0077CC"/>
            <w:sz w:val="20"/>
            <w:u w:val="single"/>
            <w:shd w:val="clear" w:color="auto" w:fill="FFFFFF"/>
            <w:lang w:val="en-US" w:eastAsia="en-US" w:bidi="ar-SA"/>
          </w:rPr>
          <w:t>[1987] B.C.J. No. 2919</w:t>
        </w:r>
      </w:hyperlink>
      <w:r>
        <w:rPr>
          <w:rFonts w:ascii="arial" w:eastAsia="arial" w:hAnsi="arial" w:cs="arial"/>
          <w:color w:val="000000"/>
          <w:sz w:val="20"/>
          <w:lang w:val="en-US" w:eastAsia="en-US" w:bidi="ar-SA"/>
        </w:rPr>
        <w:t xml:space="preserve"> (B.C.S.C.). I accept the evidence of Ms. Laury and Ms. Baker as to the absence of accidents during the two years leading up to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some dispute in the evidence as to where the plaintiff fell. In her affidavit, Ms. Laury states that the plaintiff advised her:</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 . that, as she was approaching the front door of the Bank, something caught her eye across the street and, as she was looking across the street, she tripped on one of the concrete steps on the sidewalk, and fell into the bushes in the concrete planter next to the sidewalk.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Laury further states that, after the plaintiff left for the hospital in an ambulance, she went outside and checked the sidewalk area and confirmed that there was ". . . some evidence in the planter box of the disturbance which would be consistent with a person having fallen partly into the bushes." This area is beyond and to the right of the second step.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issue is conclusively dealt with in the October 28, 1998 examination for discovery of Ms. Coleman. As counsel for the defendants has seen fit to read the following portions of that examination for discovery into the record as part of the defendants' case, I am satisfied that I should prefer the version of the events as set out in that discovery: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6"/>
        <w:gridCol w:w="237"/>
        <w:gridCol w:w="721"/>
        <w:gridCol w:w="237"/>
        <w:gridCol w:w="7306"/>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82</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Can you indicate to me on the picture approximately where it is that you tripped and fell?</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35"/>
        <w:gridCol w:w="723"/>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When I looked up I saw this area here. I was laying right there. [In the middle of the landing after the first concrete step on the ramp-sidewalk leading towards the front doors of the Bank.]</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83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I'm sorry. Did you say there?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 I was laying in here.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6"/>
        <w:gridCol w:w="237"/>
        <w:gridCol w:w="721"/>
        <w:gridCol w:w="237"/>
        <w:gridCol w:w="7306"/>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84</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All right. You've marked that with black ink and that's the area where you found yourself lying on the ground, is that correct?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 sir.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two photographs which were placed before Ms. Coleman at her Discovery, Ms. Coleman marked in black in the same location on the landing after the first concrete step where she indicated that she was laying after she tripped. I prefer the evidence of Ms. Coleman and I therefore find that she was tripped by the first concrete step and fell in the landing area just beyond that first step.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question which must be first answered is whether the defendants took the care that is required of them under s. 3(1) of the Occupier's Liability Act. It is clear that the steps taken must not approach "perfection." In this regard, McEachern C.J.S.C. (as he then was) stated in Hunning v. Huang, </w:t>
      </w:r>
      <w:hyperlink r:id="rId187" w:history="1">
        <w:r>
          <w:rPr>
            <w:rFonts w:ascii="arial" w:eastAsia="arial" w:hAnsi="arial" w:cs="arial"/>
            <w:i/>
            <w:color w:val="0077CC"/>
            <w:sz w:val="20"/>
            <w:u w:val="single"/>
            <w:shd w:val="clear" w:color="auto" w:fill="FFFFFF"/>
            <w:lang w:val="en-US" w:eastAsia="en-US" w:bidi="ar-SA"/>
          </w:rPr>
          <w:t>[1984] B.C.J. No. 2087</w:t>
        </w:r>
      </w:hyperlink>
      <w:r>
        <w:rPr>
          <w:rFonts w:ascii="arial" w:eastAsia="arial" w:hAnsi="arial" w:cs="arial"/>
          <w:color w:val="000000"/>
          <w:sz w:val="20"/>
          <w:lang w:val="en-US" w:eastAsia="en-US" w:bidi="ar-SA"/>
        </w:rPr>
        <w:t xml:space="preserve"> (B.C.S.C.):</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 . To impose liability upon the defendants in these circumstances could only be justified by a standard beyond reasonableness approaching perfection and would constitute not just reasonableness but a guarantee of safety. If the accident could have been avoided by a modicum of awareness on the part of the plaintiff, as I believe it could have been, then it cannot be said that the defendant breached its duty of reasonable care. at pp. 4-5)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cannot come to the conclusion that the accident could have been avoided by a "modicum of awareness on the part of the plaintiff." The colour and texture of the surfaces leading up to the entrance of the Bank and the A.T.M. machine are exactly the same. In those circumstances, the defendants should have taken steps to mark the edge of what I have referred to as the "ramp-sidewalk" so that it would be clear to all persons approaching the Bank or the A.T.M. machine that there were two different surfaces separated by anywhere from three to five inches.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fact, steps had been taken in the past to provide for such a demarcation. However that demarcation had been allowed to fade to the extent that the necessary warning of the difference in the levels of the avenues of approach to the Bank and the A.T.M. machine were no longer fully present. In many parts of sunny days these two surfaces would be in the shade provided by the Bank building. This would only exacerbate the inability of a person approaching the Bank or the A.T.M. machine to differentiate between the height differences of the two areas and to see the two steps. As well, persons approaching the Bank out of bright sunlight into the shade provided by the building might well be under additional difficulties.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evidence was a photograph of a different entrance to the Bank at the east of the front door of the Bank building. That photograph shows two concrete steps leading into a door which is used by staff entering the branch prior to business hours and by customers entering during regular business hours. The face of the steps has been painted yellow and it was the evidence of Ms. Baker that the steps had been painted as long as she had been at the branch (since November 3, 1995). While the appropriate care had been taken with those steps which are more visible than the area where the plaintiff fell, no similar steps had been taken by any of the defendants to maintain the paint which was previously added to the edges and surfaces of the ramp-sidewalk in question which is much less visible than the east side separate entrance.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I take into account the evidence that there had not been previous accidents relating to the site in issue in the two years leading up to this accident, I also take into account the fact that one of the defendants had good reason to mark the edge and surface of the area in question in the past but had not taken proper steps to maintain the demarcation. The failure to maintain the demarcation was not reasonable in the circumstances and I find that the defendants did not take the care that is required of them under s. 3(1) of the Occupier's Liability Act. It can hardly be said that the maintenance of a demarcation thought to be necessary initially could be considered as "reasonableness approaching perfection."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While it is clear that there is a duty on the plaintiff to be aware of her surroundings, it is also not the case that she is required to "glue her eyes to the ground." See in this regard Hunning v. Huang, supra; Pedan v. Lark Holdings Ltd., </w:t>
      </w:r>
      <w:hyperlink r:id="rId188" w:history="1">
        <w:r>
          <w:rPr>
            <w:rFonts w:ascii="arial" w:eastAsia="arial" w:hAnsi="arial" w:cs="arial"/>
            <w:i/>
            <w:color w:val="0077CC"/>
            <w:sz w:val="20"/>
            <w:u w:val="single"/>
            <w:shd w:val="clear" w:color="auto" w:fill="FFFFFF"/>
            <w:lang w:val="en-US" w:eastAsia="en-US" w:bidi="ar-SA"/>
          </w:rPr>
          <w:t>[1981] B.C.J. No. 1052</w:t>
        </w:r>
      </w:hyperlink>
      <w:r>
        <w:rPr>
          <w:rFonts w:ascii="arial" w:eastAsia="arial" w:hAnsi="arial" w:cs="arial"/>
          <w:color w:val="000000"/>
          <w:sz w:val="20"/>
          <w:lang w:val="en-US" w:eastAsia="en-US" w:bidi="ar-SA"/>
        </w:rPr>
        <w:t xml:space="preserve"> (B.C.S.C.); Jones v. Vancouver, </w:t>
      </w:r>
      <w:hyperlink r:id="rId189" w:history="1">
        <w:r>
          <w:rPr>
            <w:rFonts w:ascii="arial" w:eastAsia="arial" w:hAnsi="arial" w:cs="arial"/>
            <w:i/>
            <w:color w:val="0077CC"/>
            <w:sz w:val="20"/>
            <w:u w:val="single"/>
            <w:shd w:val="clear" w:color="auto" w:fill="FFFFFF"/>
            <w:lang w:val="en-US" w:eastAsia="en-US" w:bidi="ar-SA"/>
          </w:rPr>
          <w:t>[1979] 2 W.W.R. 138</w:t>
        </w:r>
      </w:hyperlink>
      <w:r>
        <w:rPr>
          <w:rFonts w:ascii="arial" w:eastAsia="arial" w:hAnsi="arial" w:cs="arial"/>
          <w:color w:val="000000"/>
          <w:sz w:val="20"/>
          <w:lang w:val="en-US" w:eastAsia="en-US" w:bidi="ar-SA"/>
        </w:rPr>
        <w:t xml:space="preserve"> at 140; Snitzer v. Becker Milk Co. Ltd., </w:t>
      </w:r>
      <w:hyperlink r:id="rId190" w:history="1">
        <w:r>
          <w:rPr>
            <w:rFonts w:ascii="arial" w:eastAsia="arial" w:hAnsi="arial" w:cs="arial"/>
            <w:i/>
            <w:color w:val="0077CC"/>
            <w:sz w:val="20"/>
            <w:u w:val="single"/>
            <w:shd w:val="clear" w:color="auto" w:fill="FFFFFF"/>
            <w:lang w:val="en-US" w:eastAsia="en-US" w:bidi="ar-SA"/>
          </w:rPr>
          <w:t>15 O.R. (2d) 345</w:t>
        </w:r>
      </w:hyperlink>
      <w:r>
        <w:rPr>
          <w:rFonts w:ascii="arial" w:eastAsia="arial" w:hAnsi="arial" w:cs="arial"/>
          <w:color w:val="000000"/>
          <w:sz w:val="20"/>
          <w:lang w:val="en-US" w:eastAsia="en-US" w:bidi="ar-SA"/>
        </w:rPr>
        <w:t>, at 355.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accept the evidence of the plaintiff regarding where she was looking as she moved towards the front doors of the Bank: "I was looking in the direction in which I was walking." In her affidavit, Ms. Laury states that while she and the plaintiff were waiting for the ambulance to arrive the plaintiff advised her that: "... as she was approaching the front door of the Bank, something caught her eye across the street and, as she was looking across the street, she tripped on one of the concrete steps on the sidewalk ... ." While I prefer the evidence of Ms. Coleman on this point, I am also satisfied that it should never be necessary for a plaintiff in similar circumstances to "glue her eyes to the ground" and not be in a position to look around or look across the street. In the circumstances of this case, I am satisfied that the plaintiff took reasonable care for her own safety and to maintain an adequate lookout even if I had found that she temporarily was looking across the street when she approached what to her would look like a flat surface without steps.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Even if it could be said that the defendants had failed to meet the duty of care owed to the plaintiff, the plaintiff must still prove that the breach of that duty caused or contributed to the damages claimed: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 . Causation is a question of fact and a necessary component if a successful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the Occupier's Liability Act can be founded. A finding of no causation, as was made here, does not lead to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leads to a dismissal of the action. (per Hollinrake J.A. in Wickham v. 270792 B.C. Ltd., </w:t>
      </w:r>
      <w:hyperlink r:id="rId191" w:history="1">
        <w:r>
          <w:rPr>
            <w:rFonts w:ascii="arial" w:eastAsia="arial" w:hAnsi="arial" w:cs="arial"/>
            <w:i/>
            <w:color w:val="0077CC"/>
            <w:sz w:val="20"/>
            <w:u w:val="single"/>
            <w:shd w:val="clear" w:color="auto" w:fill="FFFFFF"/>
            <w:lang w:val="en-US" w:eastAsia="en-US" w:bidi="ar-SA"/>
          </w:rPr>
          <w:t>[1997] B.C.J. No. 671</w:t>
        </w:r>
      </w:hyperlink>
      <w:r>
        <w:rPr>
          <w:rFonts w:ascii="arial" w:eastAsia="arial" w:hAnsi="arial" w:cs="arial"/>
          <w:color w:val="000000"/>
          <w:sz w:val="20"/>
          <w:lang w:val="en-US" w:eastAsia="en-US" w:bidi="ar-SA"/>
        </w:rPr>
        <w:t xml:space="preserve"> (B.C.C.A.))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circumstances of this case, I am satisfied that the plaintiff has proven on a balance of probabilities that the failure of the defendants to provide appropriate demarcation of the different levels of the areas leading up to the front doors of the Bank branch caused the damages suffered by the plaintiff so that the plaintiff should have judgment as against the defendants. I cannot be satisfied that the plaintiff in any way contributed to the cause of the accident.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will have judgment against the defendants and each of them with those damages to be assessed by the court if the parties cannot reach an agreement regarding those damages. The plaintiff will also be entitled to her Party and Party (Scale 3)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BURNYEAT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Craig v. Insurance Corp. of British Columbia, [2003] B.C.J. No. 2787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Satanove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17 and November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B995136 and S013840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2787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1856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C.C.L.I. (4th) 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46 M.V.R. (4th) 102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127 A.C.W.S. (3d) 995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Barbara Craig, plaintiff, and Insurance Corporation of British Columbia and John Doe, a person whose name is unknown, defendants (Vancouver Registry No. B995136) And between Barbara Craig, plaintiff, and Insurance Corporation of British Columbia and Robert Spence, defendants (Vancouver Registry No. S013840)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6"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7" w:name="Keywords_12"/>
      <w:bookmarkEnd w:id="87"/>
      <w:r>
        <w:rPr>
          <w:rFonts w:ascii="arial" w:eastAsia="arial" w:hAnsi="arial" w:cs="arial"/>
          <w:b/>
          <w:color w:val="000000"/>
          <w:sz w:val="20"/>
          <w:lang w:val="en-US" w:eastAsia="en-US" w:bidi="ar-SA"/>
        </w:rPr>
        <w:t>Limitation of actions — Actions in tort — When time begins to run — Motor vehicle accidents.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8" w:name="Case Summary_12"/>
            <w:bookmarkEnd w:id="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plaintiff Craig for a declaration that the limitation period had been postponed and that neither her December 1999 nor July 2001 actions were time barred by the Limitation Act. Craig was involved in a motor vehicle accident in 1978 when she was 15. The school bus she was in at the time, was hit by a car. She was injured, and the driver of the car was killed. An Insurance Corporation of BC (ICBC) adjuster came to the school and offered Craig a cheque for $525 if she would sign a release. She did this without telling her parents. From the time of the accident until her visit in 1983 with Dr. Grant, Craig had suffered from constant headaches, dizziness and neck pain. Dr. Grant told her that the source of her problems was the traumatic fracture to her spine. She concluded that the fracture had been caused by the accident five years before. It was not until 1999 and 2001 that she commenced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against the driver, the owner and the ICBC. She claimed that she had not started the action sooner because she believed that she had waived her rights. She also argued that prior to this time, she did not know all the facts necessary for her to obtain appropriate legal advice. She indicated that it was not until November 28, 2000, that she learned the identity of the driver.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9" w:name="Holdings of Court_12"/>
            <w:bookmarkEnd w:id="8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After her visit to Dr. Grant in 1983, Craig had sufficient facts to indicate that there was a reasonable possibility of success in an action against the potential defendants. As of that time, Craig regarded the fracture as the root of her ongoing ailment, whether or not it was in fact the cause. It was not sufficient that Craig did not in fact know the identity of a potential defendant in order to delay the running of time. With reasonable diligence, Craig could easily have identified the driver and owner of the car.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0" w:name="Legislation Cited_8"/>
      <w:bookmarkEnd w:id="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7"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199" w:history="1">
        <w:r>
          <w:rPr>
            <w:rFonts w:ascii="arial" w:eastAsia="arial" w:hAnsi="arial" w:cs="arial"/>
            <w:i/>
            <w:color w:val="0077CC"/>
            <w:sz w:val="20"/>
            <w:u w:val="single"/>
            <w:shd w:val="clear" w:color="auto" w:fill="FFFFFF"/>
            <w:lang w:val="en-US" w:eastAsia="en-US" w:bidi="ar-SA"/>
          </w:rPr>
          <w:t>R.S.B.C. 1996, c. 231, s. 24</w:t>
        </w:r>
      </w:hyperlink>
      <w:r>
        <w:rPr>
          <w:rFonts w:ascii="arial" w:eastAsia="arial" w:hAnsi="arial" w:cs="arial"/>
          <w:color w:val="000000"/>
          <w:sz w:val="20"/>
          <w:lang w:val="en-US" w:eastAsia="en-US" w:bidi="ar-SA"/>
        </w:rPr>
        <w:t>(1)(a), 24(1)(b).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ss. 2, 6(3)(a), 6(4), 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1" w:name="Counsel_12"/>
      <w:bookmarkEnd w:id="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Patrick Poyner and James M. Poyner, for the plaintiff. Terrence L. Robertson, Q.C., for the defendant, Insurance Corporation of British Columbia. Leonard J. Bell, for the defendant, Robert Spence.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2" w:name="Judgment_12"/>
      <w:bookmarkEnd w:id="92"/>
      <w:r>
        <w:pict>
          <v:line id="_x0000_s1089"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3" w:name="SATANOVE J._0"/>
            <w:bookmarkEnd w:id="93"/>
            <w:r>
              <w:rPr>
                <w:rFonts w:ascii="arial" w:eastAsia="arial" w:hAnsi="arial" w:cs="arial"/>
                <w:b/>
                <w:color w:val="000000"/>
                <w:sz w:val="30"/>
                <w:lang w:val="en-US" w:eastAsia="en-US" w:bidi="ar-SA"/>
              </w:rPr>
              <w:t>SATANOVE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application concerns a 25 year old motor vehicle accident and the effect of the Limitation Act, </w:t>
      </w:r>
      <w:hyperlink r:id="rId20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on the causes of action arising from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When the plaintiff was 15 years old she was travelling down Highway 99 in Vancouver in a school bus with a number of other children. The bus was hit by a car. The driver of the car was killed and the plaintiff and some other children suffered injuries for which they were later compensated by ICBC. The ICBC adjuster came to the school and offered the plaintiff a cheque for $525 if she would sign a release. The plaintiff did so and spent the money without telling her parents. This all happened in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continued to suffer from neck pain and headaches. Five years later, in May 1983, Dr. Grant examined X rays of the plaintiff's spine and he informed her that she had a fracture in her C7 vertebra from a past traumatic incident. The only traumatic incident she had experienced was the bus accident in 1978 and in the plaintiff's words, it was not rocket science to figure out that the injury was caused by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1983 X rays also showed that the odontoid peg at the plaintiff's C1 - C2 junction had not developed. The evidence is somewhat conflicting but it appears likely that Dr. Grant did not tell the plaintiff about the odontoid peg deformity.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Notwithstanding the fact that the plaintiff continued to suffer from headaches, neck aches and dizziness, all of which she attributed to the 1978 accident, the plaintiff never pursued the issue of her neck fracture with ICBC because she thought the release she had signed was valid, final and binding. However, in August 1998 a chiropractor reviewed X rays of the plaintiff's neck and advised her of an abnormality. She attended before Dr. Hunt, an orthopaedic specialist, who explained to her the problem with her odontoid peg and the potential life threatening repercussions of a further injury to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Hunt advised the plaintiff to contact ICBC and referred her to Dr. Thompson, an orthopaedic surgeon, for an opinion. Dr. Thompson conducted an MRI scan in August 1999 and advised the plaintiff in October 1999 that she had a condition known as odontoidium and hypoplastic odontoid, likely caused by the 1978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Four days after having received Dr. Thompson's opinion, the plaintiff met with legal counsel for the first time. She commenced an action on December 8, 1999 against ICBC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sections 24(1)(a) and (b)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the unidentified driver provisions. The writ also included a claim for fraudulent or negligent misrepresentation against John Doe, the unknown adjuster who made the settlement with the plaintiff while she was an infant, and against ICBC as the employer vicariously responsible for John Doe's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By November 2000 the plaintiff learned that the unidentified driver was Mrs. Spence, who was killed in the 1978 accident. The plaintiff applied before Master Bolton to add as a defendant Mr. Spence, the owner of the vehicle, but Master Bolton denied her application without prejudice to commence a separate action against Mr. Spence. In July 2001 the plaintiff commenced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Spence and against ICBC for the actions of another unidentified driver who may have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the ordinary course, section 2 of the Limitation Act would have required the plaintiff to launch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by March 9, 1980 and the misrepresentation claim by 1984. The plaintiff applies before me under Rule 18A for a declaration that the limitation period has been postponed and that neither the December 1999 nor the July 2001 actions are time barred by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relies on section 6 of the Limitation Act which states:</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Section 7 of the Limitation Act postpones the time during which a person may bring an action until the person is no longer a minor. The defendants concede that the two year limitation period for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would have been postponed, at a minimum, until 1982 when the plaintiff reached the age of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submits that she did not know all the facts necessary for her to obtain appropriate legal advice until she received the opinion of Dr. Thomas on October 4, 1999. As she commenced both actions within two years of that date, the plaintiff submits that she should be allowed to proceed. Alternatively, the plaintiff submits that the limitation period was postponed until she learned of her odontoid condition from Dr. Hunt on October 26,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further submits that from the time of the accident in 1978 until she learned of her odontoid condition in 1998 she took reasonable steps at all times to deal with her condition. The more serious injury to her odontoid peg was in fact a different injury altogether from the C7 fracture and was one of which she reasonably had no knowledge whatsoever. She submits that her individual circumstances are such that she could not reasonably have brought the action until she was made aware of her odontoid condition in the fall of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Alternatively, the plaintiff submits that she was satisfied that she had received adequate compensation from ICBC for the injury of which she was aware. She argues that there is no reason why, in those circumstances, she should have been required to commence 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submit firstly, that the claims in the December 1999 action against ICBC under the unknown driver provisions of the Insurance (Motor Vehicle) Act are no longer viable because the plaintiff has identified the driver and has sued the owner of the vehicle in the July 2001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Secondly, the defendants submit that the December 1999 action and the July 2001 actions are mutually exclusive and cannot co-exist. If the July 2001 action is not statute barred then the plaintiff has suffered no damages from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fraudulent misrepresentation in the December 1999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Thirdly, the defendants submit that the fact that the plaintiff has allegedly only discovered recently that her damages are more severe than she initially believed is not a basis upon which to postpone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postponement provisions of the Limitation Act require, firstly, that a plaintiff be able to identify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With respect to this first requirement there must be read in to the statute an obligation on the plaintiff to exercise due diligence. If a plaintiff made no effort to discover the identity of a potential defendant, the running of time could be postponed up to the ultimate 30 year limitation period, notwithstanding that facts showing the existence of a cause of action against that person may have been within the plaintiff's knowledge. Accordingly, it is not sufficient that a plaintiff does not in fact know the identity of a potential defendant in order to delay the running of time; it is necessary that the plaintiff could not have been expected, with reasonable diligence discover that person's identity (Krusel v. Firth, </w:t>
      </w:r>
      <w:hyperlink r:id="rId201" w:history="1">
        <w:r>
          <w:rPr>
            <w:rFonts w:ascii="arial" w:eastAsia="arial" w:hAnsi="arial" w:cs="arial"/>
            <w:i/>
            <w:color w:val="0077CC"/>
            <w:sz w:val="20"/>
            <w:u w:val="single"/>
            <w:shd w:val="clear" w:color="auto" w:fill="FFFFFF"/>
            <w:lang w:val="en-US" w:eastAsia="en-US" w:bidi="ar-SA"/>
          </w:rPr>
          <w:t>[1991] 6 W.W.R. 651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submits that she did not learn the driver's identity until November 28, 2000. ICBC would not co-operate and her counsel had been trying to obtain the information since December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submit that with reasonable diligence, the plaintiff could easily have identified Mr. and Mrs. Spence as the owner and driver of the vehicle on that fateful day. I agree. There was in existence the police report, results of the coroner's inquiry, newspaper articles and up until 1987, the contents of the ICBC file relating to the accident, all of which disclosed Mrs. Spence as the deceased driver of the car that collided with the school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real issue for me to decide is when the plaintiff, acting reasonably in light of her own circumstances and interests, had sufficient facts within her means of knowledge indicating that there was a reasonable possibility of success in an action against the potential defendant (Cowen v. Gray, </w:t>
      </w:r>
      <w:hyperlink r:id="rId202" w:history="1">
        <w:r>
          <w:rPr>
            <w:rFonts w:ascii="arial" w:eastAsia="arial" w:hAnsi="arial" w:cs="arial"/>
            <w:i/>
            <w:color w:val="0077CC"/>
            <w:sz w:val="20"/>
            <w:u w:val="single"/>
            <w:shd w:val="clear" w:color="auto" w:fill="FFFFFF"/>
            <w:lang w:val="en-US" w:eastAsia="en-US" w:bidi="ar-SA"/>
          </w:rPr>
          <w:t>[2001] B.C.J. No. 662</w:t>
        </w:r>
      </w:hyperlink>
      <w:r>
        <w:rPr>
          <w:rFonts w:ascii="arial" w:eastAsia="arial" w:hAnsi="arial" w:cs="arial"/>
          <w:color w:val="000000"/>
          <w:sz w:val="20"/>
          <w:lang w:val="en-US" w:eastAsia="en-US" w:bidi="ar-SA"/>
        </w:rPr>
        <w:t xml:space="preserve"> (S.C.); Levitt v. Carr </w:t>
      </w:r>
      <w:hyperlink r:id="rId203" w:history="1">
        <w:r>
          <w:rPr>
            <w:rFonts w:ascii="arial" w:eastAsia="arial" w:hAnsi="arial" w:cs="arial"/>
            <w:i/>
            <w:color w:val="0077CC"/>
            <w:sz w:val="20"/>
            <w:u w:val="single"/>
            <w:shd w:val="clear" w:color="auto" w:fill="FFFFFF"/>
            <w:lang w:val="en-US" w:eastAsia="en-US" w:bidi="ar-SA"/>
          </w:rPr>
          <w:t>(1992), 66 B.C.L.R. (2d) 58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the point in time when the above criteria were met was within a couple of months after the plaintiff visited Dr. Grant, in May 1983. From the time of the accident up until this visit the plaintiff had suffered from constant headaches, dizziness and neck pain. She had received treatment from two different chiropractors and a physiotherapist from 1978 to 1980. When Dr. Grant told her that the source of the headaches, neck aches and dizziness was the traumatic fracture of her spine at C7, she reasonably concluded that the fracture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1983 she was 20 years old. If she had consulted a lawyer after this visit with Dr. Grant she presumably would have received the same advice as she received from her counsel in 1999. It would have been relatively easy then to ascertain the identity of both Spences and the insurance adjuster. The allegedly fraudulent misrepresentation of the ICBC adjuster could have been raised in Reply, if ICBC had attempted to defend on the basis of the signed release. (I note that ICBC is not doing so today and the evidence indicates that the adjuster proffered the release in circumstances contrary to the ICBC policy in existence in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proposition that the odontoid condition was a different and more severe injury than the fractured C7 vertebra and consequently the time limit for claiming damages for this injury should not commence until the plaintiff discovered this injury in 1998, is not sound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1967 the Supreme Court of Canada in Cahoon v. Franks </w:t>
      </w:r>
      <w:hyperlink r:id="rId204" w:history="1">
        <w:r>
          <w:rPr>
            <w:rFonts w:ascii="arial" w:eastAsia="arial" w:hAnsi="arial" w:cs="arial"/>
            <w:i/>
            <w:color w:val="0077CC"/>
            <w:sz w:val="20"/>
            <w:u w:val="single"/>
            <w:shd w:val="clear" w:color="auto" w:fill="FFFFFF"/>
            <w:lang w:val="en-US" w:eastAsia="en-US" w:bidi="ar-SA"/>
          </w:rPr>
          <w:t>(1967), 63 D.L.R. (2d) 274</w:t>
        </w:r>
      </w:hyperlink>
      <w:r>
        <w:rPr>
          <w:rFonts w:ascii="arial" w:eastAsia="arial" w:hAnsi="arial" w:cs="arial"/>
          <w:color w:val="000000"/>
          <w:sz w:val="20"/>
          <w:lang w:val="en-US" w:eastAsia="en-US" w:bidi="ar-SA"/>
        </w:rPr>
        <w:t xml:space="preserve"> clearly stated that there is only one cause of action for a single wrongful or negligent act and damages resulting from that single tort must be assessed in one proceeding, regardless of their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Grayson v. Canada Safeway Limited, </w:t>
      </w:r>
      <w:hyperlink r:id="rId205" w:history="1">
        <w:r>
          <w:rPr>
            <w:rFonts w:ascii="arial" w:eastAsia="arial" w:hAnsi="arial" w:cs="arial"/>
            <w:i/>
            <w:color w:val="0077CC"/>
            <w:sz w:val="20"/>
            <w:u w:val="single"/>
            <w:shd w:val="clear" w:color="auto" w:fill="FFFFFF"/>
            <w:lang w:val="en-US" w:eastAsia="en-US" w:bidi="ar-SA"/>
          </w:rPr>
          <w:t>[1981] 2 W.W.R. 321</w:t>
        </w:r>
      </w:hyperlink>
      <w:r>
        <w:rPr>
          <w:rFonts w:ascii="arial" w:eastAsia="arial" w:hAnsi="arial" w:cs="arial"/>
          <w:color w:val="000000"/>
          <w:sz w:val="20"/>
          <w:lang w:val="en-US" w:eastAsia="en-US" w:bidi="ar-SA"/>
        </w:rPr>
        <w:t xml:space="preserve"> (B.C.C.A.), Seaton J.A. was dealing with the Limitations Act, S.B.C. 1975, c. 37. He cited with approval the following passage from a decision of Lord Denning in Goodchild v. Greatness Timber Co. Ltd., [1968] 2 Q.B. 372 at 379 (C.A.), who was dealing with a three year limitation period in the English Limitation Act of 1963: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plaintiff's] time will not be extended under the Limitation Act, 1963, simply because he finds out more about the accident or because his injuries turn out to be worse than he thought. ...But if the injury was from the beginning fairly serious, or at any rate sufficiently serious to make it worth while to bring an action, then he must bring it within the first three years. The time will not be extended simply because it turns out after three years to be more serious than he at first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More recently, Quijano J. in Hughes v. Proline Management Ltd., </w:t>
      </w:r>
      <w:hyperlink r:id="rId206" w:history="1">
        <w:r>
          <w:rPr>
            <w:rFonts w:ascii="arial" w:eastAsia="arial" w:hAnsi="arial" w:cs="arial"/>
            <w:i/>
            <w:color w:val="0077CC"/>
            <w:sz w:val="20"/>
            <w:u w:val="single"/>
            <w:shd w:val="clear" w:color="auto" w:fill="FFFFFF"/>
            <w:lang w:val="en-US" w:eastAsia="en-US" w:bidi="ar-SA"/>
          </w:rPr>
          <w:t>[1996] B.C.J. No. 1669</w:t>
        </w:r>
      </w:hyperlink>
      <w:r>
        <w:rPr>
          <w:rFonts w:ascii="arial" w:eastAsia="arial" w:hAnsi="arial" w:cs="arial"/>
          <w:color w:val="000000"/>
          <w:sz w:val="20"/>
          <w:lang w:val="en-US" w:eastAsia="en-US" w:bidi="ar-SA"/>
        </w:rPr>
        <w:t xml:space="preserve"> (S.C.) made similar comments after having considered the decision of our Court of Appeal in Levitt v. Carr,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Of course if the plaintiff's injury to the C7 vertebra discovered in 1983 had been of a trifling nature, my opinion might be different since insignificant injuries will affect the assessment of the action's likelihood of success. However, Dr. Grant obviously regarded the fractured C7 as the more significant injury, not the absence of the odontoid peg, because he attributed the plaintiff's complaints to the former injury and likely never mentioned the latter. Furthermore, as of 1983 the plaintiff regarded the C7 fracture as the root of her ongoing ailment, whether or not it was in fact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Therefore, for all of the above reasons I find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ICBC and Mr. Spence were time barred after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limitation period for bringing a negligent or fraudulent misrepresentation action is six years. In the plaintiff's case, all the elements of the cause of action in misrepresentation arose when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became statute barred in 1985 (Bera v. Marr </w:t>
      </w:r>
      <w:hyperlink r:id="rId207" w:history="1">
        <w:r>
          <w:rPr>
            <w:rFonts w:ascii="arial" w:eastAsia="arial" w:hAnsi="arial" w:cs="arial"/>
            <w:i/>
            <w:color w:val="0077CC"/>
            <w:sz w:val="20"/>
            <w:u w:val="single"/>
            <w:shd w:val="clear" w:color="auto" w:fill="FFFFFF"/>
            <w:lang w:val="en-US" w:eastAsia="en-US" w:bidi="ar-SA"/>
          </w:rPr>
          <w:t>(1986), 1 B.C.L.R. (2d) 1</w:t>
        </w:r>
      </w:hyperlink>
      <w:r>
        <w:rPr>
          <w:rFonts w:ascii="arial" w:eastAsia="arial" w:hAnsi="arial" w:cs="arial"/>
          <w:color w:val="000000"/>
          <w:sz w:val="20"/>
          <w:lang w:val="en-US" w:eastAsia="en-US" w:bidi="ar-SA"/>
        </w:rPr>
        <w:t xml:space="preserve"> (C.A.)). Thus the general limitation period for such an action would have expired some time in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argued that she was satisfied with the compensation she received from ICBC and had no reason to doubt the validity of the release until she received legal advice in 1999. However, quite apart from the credibility issues raised by the defendants, I am concerned that the plaintiff had ample opportunity over the years to enquire about the accuracy of the adjuster's representations to her. She knew by May 1983 that she had injured her cervical spine in the 1978 accident. In 1984 or 1985 she was involved in another motor vehicle accident and in 1985 or 1986 she was involved in a further motor vehicle accident. As a result of each of these accidents she was involved with the ICBC compensation system and had plenty of opportunity to ask about the 1978 incident. The plaintiff put forth no credible explanation as to why she did not make any such inquiries in the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Instead, the plaintiff waited until 1999 to seek legal advice and commence an action with respect to the 1978 accident. By 1999, ICBC and the Underwriters Adjustment Bureau had destroyed their file relating to the accident, the transcript and list of witnesses from the coroners inquest had been destroyed, and the medical records with respect to the plaintiff's injuries as they appeared in 1978 had been destroyed. It would be highly prejudicial to the defendants and contrary to the underlying policy of the Limitation Act to grant the plaintiff the declaration she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result I decline to grant the declaration sought by the plaintiff as in my opinion the limitation period has expired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SATANOVE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0"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Falconar v. Le, [2003] B.C.J. No. 2214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16 - 20,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SO67678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1434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126 A.C.W.S. (3d) 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Keith Falconar, plaintiff, and Lay Le,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1"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4" w:name="Keywords_13"/>
      <w:bookmarkEnd w:id="94"/>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Keeping a proper lookout — Damage awards — Body injuries — Back, vertebral fracture or displacement — Soft tissue injuries — Special damage awards — General damage awards — Cost of future care and treatment — Pain and suffering, loss of amenities and other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5" w:name="Case Summary_13"/>
            <w:bookmarkEnd w:id="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Falconar for damages for personal injuries. Falconar was operating an electric scooter on the sidewalk when he collided with a vehicle operated by the defendant Le, who was emerging from a mall parking lot. Falconar was 80 years old, and although prior to the accident he was partially disabled, he was able to maintain his own apartment and look after himself. Following the accident, he was diagnosed with soft tissue injuries and a compression fracture of a lumbar vertebra. His physical condition worsened to the point where he was no longer able to live independently, and he moved into a care facility. He submitted that as he approached the parking lot exit on his scooter, he slowed, saw no approaching vehicles, then accelerated so as to clear the exit quickly. His scooter was then struck on the left side by the Le vehicle. Le claimed that he had stopped before crossing the sidewalk, then as he crossed the sidewalk, his vehicle was struck on the right front fender by the scooter.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6" w:name="Holdings of Court_13"/>
            <w:bookmarkEnd w:id="9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damage to the scooter was consistent with Falconar's version of the events. Falconer was there to be seen and since Le did not see him, Le was not keeping a proper lookout. As such, was responsible for the collision. There was no evidence to suggest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Falconar's part. The accident caused the soft tissue injuries and the fracture, which resulted in the loss of Falconar's ability to live independently. He was awarded non-pecuniary damages of $65,000, plus special damages of $405 and damages of $25,500 for the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7" w:name="Legislation Cited_9"/>
      <w:bookmarkEnd w:id="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2"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15" w:history="1">
        <w:r>
          <w:rPr>
            <w:rFonts w:ascii="arial" w:eastAsia="arial" w:hAnsi="arial" w:cs="arial"/>
            <w:i/>
            <w:color w:val="0077CC"/>
            <w:sz w:val="20"/>
            <w:u w:val="single"/>
            <w:shd w:val="clear" w:color="auto" w:fill="FFFFFF"/>
            <w:lang w:val="en-US" w:eastAsia="en-US" w:bidi="ar-SA"/>
          </w:rPr>
          <w:t>R.S.B.C. 1996, c. 318, s. 176</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8" w:name="Counsel_13"/>
      <w:bookmarkEnd w:id="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3"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D.W. McHarg, for the plaintiff. C.E. Hickey,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9" w:name="Judgment_13"/>
      <w:bookmarkEnd w:id="99"/>
      <w:r>
        <w:pict>
          <v:line id="_x0000_s1094"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0" w:name="SLADE J."/>
            <w:bookmarkEnd w:id="100"/>
            <w:r>
              <w:rPr>
                <w:rFonts w:ascii="arial" w:eastAsia="arial" w:hAnsi="arial" w:cs="arial"/>
                <w:b/>
                <w:color w:val="000000"/>
                <w:sz w:val="30"/>
                <w:lang w:val="en-US" w:eastAsia="en-US" w:bidi="ar-SA"/>
              </w:rPr>
              <w:t>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OVERVIEW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Falconar was travelling westbound on the south side sidewalk at Broadway Street when his electric scooter and a vehicle operated by Mr. Le collided. This occurred at the entrance/exit to a strip mall located at the southwest corner of Broadway and Prince Albert Street. Mr. Falconar was thrown from the scooter when it tipped over from the force of the impact. He sustained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Falconar was 80 years of age at the time of this accident. He had numerous health issues, but lived an independent lifestyle. He was able to walk only short distances, but with the use of his electric scooter, he was highly 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Falconar's physical condition worsened as a result of injuries sustained in this accident, and he now resides in a care facility. There has been a significant change in his lifestyle, in that he can no longer live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for the accident, and quantum of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have concluded that Mr. Le is responsible for the accident, with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Mr. Falconar's part. I award Mr. Falconar damages in the sum of $90,905.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September 14, 2000 was a bright, sunny day. At around 2:00 p.m., Mr. Falconar was on his way to a follow-up visit with his ophthalmologist, where he expected to receive some eye test results. He suffered from various disabling medical conditions, including a significant measure of visual impairment. Despite this, he ventured out on his electric scooter. He made daily use of the scooter for shopping, visiting, appointments, and outings around town. He regularly attended football games, as a supporter of the home team, the B.C. Lions.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Falconar's scooter is of the larger type. It is 52" long, and travels on four 10" wheels with pneumatic tires. The seat is positioned higher than his hip when standing beside the scooter. His height is 5'11 1/2", and, due to the position of the seat, he would be around that height when seated on the scooter.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Mr. Falconar approached the mall entrance/exit, his view was partially obstructed by bushes to his left. He slowed, then, having seen no approaching vehicles, accelerated so to clear the entry/exit quickly. He and Mr. Le, who was driving a minivan,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a conflict between the evidence of Mr. Falconar and that of Mr. Le over the point of impact on the Le vehicle and the scooter. Mr. Le testified that Mr. Falconar had run into the right front fender of his vehicle as he exited the mall to turn right on Broadway. He said that he had stopped before crossing the sidewalk, and, with the coast clear, had moved onto the sidewalk area when Mr. Falconar collided with his right front fender. Damage to the right front fender, front bumper, and underside of the Le vehicle below the bumper, was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Le testified that the fender was scratched in the collision, and that there was previous damage to the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damage to the scooter, as shown in photographs exhibited at trial, is consistent with Mr. Falconar's version of the event. The left side is scraped along the edge of the platform between the wheel wells, and at the leading edge of the rear wheel well. He and his adult son testified that the damage was not there before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Falconar was born on November 21, 1919, in Valhalla, Alberta. He joined the army on September 25, 1939, at 19 years of age. He sailed for Europe on the "Aquitainia" on December 8, 1939, and returned to Canada on November 25, 1945.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time of the accident, Mr. Falconar was receiving a partial disability pension related to his war service. While serving with allied forces after the invasion of Europe, he twisted his back and right knee when he jumped from the second storey of a building on to a German tank which was turning to fire on Allied positions. He disabled the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Falconar testified that he experienced some pain and discomfort for around a month after this incident, but received no treatment. He continued in active duty. On discharge, he received a medical examination and, on January 8, 1945, he was found to be in "A-1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Falconar's evidence of his post-war educational history, family life, and involvement in business, reveals him to be an energetic and strongly-motivated person. Despite numerous health problems, primarily associated with his advanced chronological age at the time of the accident, he maintained his own apartment, shopped, and cooked for himself and members of his family at gatherings at his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late 1980s Mr. Falconar suffered what he described as a freak accident. He was in his late sixties, and maintained his physical condition with weightlifting. He bent down to pick up a pair of shorts, and his back went out. He was hospitalized for two weeks. By his account, his back cleared up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1990s, he had a cataract operation on his left eye. A year later, in the summer of 1993, a benign tumour on his left lung was surgically removed. The wound from the surgery was slow in healing. He was advised by his doctor that this was due to excessive physical activity, and recommended that he use a scooter. He applied to the Department of Veterans Affairs for funding, and purchased the scooter in the fall of 1993. He used it for transportation up to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1994, Mr. Falconar was struck by a vehicle while operating the scooter. He sustained various soft tissue injuries. In May, 1996, he was again struck by a vehicle while crossing a parking lot exit. This was a slow speed impact, and the injuries from his 1994 accident were aggravated.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Falconar's litigation in relation to these two accidents was settled on January 10, 2000, at which time he felt that he was fully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April, 1999, Mr. Falconar contracted pneumonia, and spent nine days in the hospital. The bout of pneumonia was accompanied by a heart disorder, which cleared up on his recovery. He was diagnosed in September, 1999 with Type II diabetes, which was managed with oral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Falconar also suffers from hypothyroidism.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Falconar was also diagnosed with osteoarthritis in his lower back, and he was taking medication for this condition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Falconar's eye problems progressed over time, and he became legally blind in his left eye due to macular degeneration. In July, 2000, his ophthalmologist informed him that he had reached the stage of legal blindness in both eyes. However, he was able to see adequately to get around. He could read street signs, observe pedestrians and vehicles, and, with eyeglasses, watch television. His vision was at its best outdoors in sunny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collision with the Le vehicle threw Mr. Falconar on to his right side on the roadway. He struck his head, shoulder, hip, knee, thigh and foot. His right shoulder, hip and ankle were particularly painful at the time. He was taken to Mount St. Joseph Hospital, where he was examined and x-rayed. His elbow, which had been scraped, was bandaged. One of his sons picked him up, and he returned to his apartment in a taxi. On his arrival home, he experienced pain to his right ankle, lower back, right shoulder and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Falconar remained in bed after he returned to his home. His family physician came to see him some five days later, at which time he was unable to sit up due to low back pain. When he became able to get out of bed he moved about in a wheelchair, and preferred to rest in his recliner chair. The chair was adjustable for weight distribution. On occasion, he was unable to make it to the bathroom in time, and his daughter assisted in cleaning him up. This troubled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first week of October, 2000, the shoulder and ankle pain had diminished, but Mr. Falconar continued to experience severe pain in his hip, groin, and throughout his lower back. He was not eating well due to his poor mobility and constant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October 9, 2000, he went to Burnaby General Hospital with severe pain. He returned home, but within a few days returned to the hospital. Medical test results revealed him to be hypoglycaemic.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in the hospital, he was prescribed intravenous morphine for pain. He remained in the hospital, bedridden, until November 28, 2000. His pain was managed with the administration of regular dosages of slow-acting morphine, and periodic dosages of fast-acting morphine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in the hospital, Mr. Falconar was assessed for his ability to participate in a rehabilitative program, and to live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November 28, he was transferred to Queen's Park Hospital for treatment and assessment in the Geriatric Evaluation and Management (GEM) Programme. He remained there until February 1, 2001, and continued to take prescribed morphine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January 22, 2001, Mr. Falconar met with his physician, a nurse, and an occupational therapist. He was assessed for his ability to live independently. They concluded that he was not able to live independently and, though he balked at this assessment, agreed, after consultation with his family, to enter a care facility. He then moved to George Derby House where he continued to reside at the date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Falconar lives in a ten foot square room at George Derby. He has a single bed, a lift chair, a desk, and a small dresser for his clothing. He cannot walk unaided, and can manage to get to the restroom with a four wheel walker. For longer distances, he uses a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attends Wednesday outings in company with other residents of the care facility. If he wants to go out on his own, he must pay an attendant, at a cost of $80.00 a day. He also pays the cost of travel by taxi.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Mr. Falconar describes the George Derby care facility as excellent for a care home, it is a regimented environment, with fixed breakfast, lunch and dinner times, and scheduled group outings.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cost of the care facility is covered by the Department of Veterans Affairs. Mr. Falconar has also received a pension since 1995. Part of the pension reflects the fact that he sustained a low back injury during the war. This portion of his pension entitlement (originally 20% of a full pension, now 30%) is paid without regard for any intervening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Falconar testified that his condition has not improved since he entered George Derby. He does not foresee a return to independence. He had a good life before, going places and socializing with people of all ages. He said that he now "exists, waiting to die", then revealed the old spark with his testimony that he views his present condition as a challenge. He takes some enjoyment in life, but not that of an independent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MEDICAL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Patrick Ma, Ophthalmologist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Ma summarized the results of eye examinations performed by him and by a referring physician, Dr. Mikelberg.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1998, Mr. Falconar's vision was near normal in the right eye, and the left eye was legally blind due to macular degeneration. He was also being treated for glaucoma in both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examination made August 14, 2000, Dr. Ma found that Mr. Falconar was now legally blind in his right eye. Mr. Falconar's eyesight has deteriorated further, but this is not due to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following admission of fact was tendered in evidence:</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Objectively, Dr. Ma is not concerned with an individual who is legally blind operating a motorized scooter independently in public, although such a person would not be permitted to drive a motor vehicle.</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G. Thauli,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Thauli was Mr. Falconar's family physician between December, 1997, and November, 2000. He became acquainted with Mr. Falconar when he took over the medical practice of Mr. Falconar's former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Thauli's report dated February 26, 2001 was introduced in evidence, and he was called for the purpose of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Thauli saw Mr. Falconar at his home on September 19, 2000. Mr. Falconar was "sore all over". His right neck and right shoulder were sore, and he was tender throughout the right lumbar region, right hip, right knee, and right ankle. He was unable to sit up properly. Dr. Thauli's assessment was that he had sustained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X-rays taken on October 4, 2000 revealed a compression fracture of the second lumbar vertebra. There was also an approximately 10% loss of anterior vertebral body height. The latter appeared to be due to osteoarthritis, not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October 9, 2000, Mr. Falconar was attended by Dr. Moseley, the emergency room physician at Burnaby General Hospital. He was complaining of low back pain and right leg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Falconar was again seen in emergency on October 11, 2000. He had suffered two hypoglycaemic episodes in the past two days. He was not able to get out of bed. Mr. Falconar was admitted with soft tissue injuries to his shoulders, right hip, and the recent episodes of hypoglycaemia. Another lumbar spine x-ray was done on October 12, 2000. The radiologist's report indicated that the lumbar spine was "suspicious for recent trauma to the L2 vertebra".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Mr. Falconar was at the Burnaby General Hospital, the physiotherapist observed that he was developing progressively worsening foot drop bilaterally. A CT scan revealed degenerative changes in the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November 8, 2000, Mr. Falconar was assessed by Dr. Chin, a geriatric specialist. Dr. Chin's assessment is summarized by Dr. Thauli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Chin's assessment at the time, was that Mr. Falconar's decreased mobility had multiple contributing factors, including the bilateral foot drop, spinal stenosis, his recent injuries, and deconditioning. ... Dr. Chin also noted that the bilateral foot drop had an etiology that was not yet known, although it was suspected that it may be peripheral neuropathy. It was noted, though, that the physiotherapist did note that Mr. Falconar's foot drop worsened during his stay in hospital. Mr. Falconar also had some right groin pain, and it was felt to be related to his recent injury and possibly to the spinal stenosis. Mr. Falconar's diabetes status and problem with chronic obstructive pulmonary disease were felt to be 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Thauli's diagnosis on the day of Mr. Falconar's discharge from Burnaby General Hospital, November 28, 2000, was compression factor of the second lumbar vertebra, secondary to the motor vehicle accident, and sustained soft tissue injuries to his right neck and right trapezius. The right knee and ankle ligaments were strained. Dr. Thauli observes that the injuries that Mr. Falconar sustained in the motor vehicle accident resulted in a significant impairment of his mobility. These resulted in Mr. Falconar not managing at home and developing problems with hypoglycaemia from not being able to get up and make food for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Thauli's prognosis for recovery and ultimate return to the community and his apartment is "guarded". It is the doctor's opinion that his patient will likely require ongoing care facility placement, due to poor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Thauli testified that he had seen his patient twelve times in the year 2000, before the accident. On no occasion did Mr. Falconar complain of lower back pain.</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P. O'Connor, Geriatrician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O'Connor's medical report sets out his assessment of Mr. Falconar's progress in the GEM programme, his capacity for independent living, and his future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O'Connor's report includes the following observations: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Falconar's mobility improved while in the 9 week GEM programme to the point of having independent short range mobility, but he remained in need of supervision for longer distances;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discharge, Mr. Falconar was independent for doing assisted daily living (ADL) activities such as grooming and toileting. He required help with setting up when doing washing, dressing, or feeding. He says: "In terms of more complex IADL (independent assisted daily living) tasks, Mr. Falconar is no longer able to do many of these, primarily due to a culmination of poor mobility, poor vision and poor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O'Connor goes on to observe: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reviewing the notes, it is clear that there has been a significant reduction in function for Mr. Falconar over the time from the summer of 2000 to his discharge from the GEM Programme in February of 2001. The start of this decline in function seems to coincide with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O'Connor's opinion of the cause of Mr. Falconar's limited recovery in function and mobility include the effect of the motor vehicle accident, the subsequent lengthy period of deconditioning, and the accompanying back pain. He identifies other "relevant issues", including leg weakness and limited lung capacity. The limited lung capacity is not related to the accident, and, with respect to leg weakness, Dr. O'Connor says "however neurological consultation suggests that factors such as diabetic neuropathy are also relevant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O'Connor concludes that Mr. Falconar will continue to require the resources of a care facility for the future.</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T.W. Anderson, Occupational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Anderson's report sets out his opinion on the life expectancy of Mr. Falconar. It is based on an examination conducted on August 6, 2002, and a review of the relevant epidemiological data. There was a subsequent examination on June 16, 2003, the result of which was the alteration of the life expectancy figures set out in his August 14, 2002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of June 16, 2003, Mr. Falconar's life expectancy, based on the average for males of this age, was 5.8 years. After adjustment for negative factors and positive factors specific to Mr. Falconar, Dr. Anderson concluded that his life expectancy would be between 4.6 and 5.2 years.</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Clinical records kept by various physicians attending on Mr. Falconar reflected the medical history noted generally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 AND CONCLUSIONS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Falconar's evidence is in conflict with Mr. Le with respect to the point of impact in the collision between the scooter and the vehicle. Mr. Falconar says that he was broadsided by the Le vehicle. Mr. Le says that Mr. Falconar ran into the left front fender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apparent from the damage to the scooter that it was struck broadside. There is uncontroverted evidence from Mr. Falconar's sons that they had seen the scooter not long before the accident, and that the damage apparent on the photographs in evidence was not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it more probable that Mr. Falconar was passing in front of the Le vehicle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Section 176(1) of the Motor Vehicle Act, R.S. 1996, c. 318 provides: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in a business or residence district and emerging from an alley, driveway, building or private road must stop the vehicle immediately before driving onto the sidewalk or the sidewalk area extending across an alleyway or private driveway, and must yield the right of way to a pedestrian on the sidewalk or sidewalk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Le was emerging from a driveway. The sidewalk on which Mr. Falconar was travelling extends across that driveway. Mr. Le was required by s. 176(1) to stop his vehicle immediately before driving on to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If Mr. Falconar was a pedestrian, Mr. Le was obligated by s. 176 to yield the right of way to him. Although, in ordinary usage, the term "pedestrian" refers to a person on foot, the term must, as used in the Motor Vehicle Act, be construed liberally so as to give effect to the purposes of the Act. The plain purpose of s. 176 is to ensure that motorists stop and yield the right of way to persons proceeding along the sidewalk. The pace of Mr. Falconar's progress along the sidewalk was roughly equivalent to that of a person out for a brisk walk. The top speed of his scooter is 5.7 miles per hour, and he slowed on his approach to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was Mr. Falconar's evidence that he did not observe the Le vehicle until he was approximately one half way across the driveway, and the vehicle did not stop. It was Mr. Le's evidence that he stopped his vehicle before entering the sidewalk, looked both ways, then proceeded across. I have concluded that he struck Mr. Falconar broadside. It makes no difference whether Mr. Falconar was or was not a pedestrian. Nor was it of any consequence if Mr. Le did in fact stop. Mr. Falconar was there, and visible. If Mr. Le did not see him, he was not keeping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above findings render the issue around Mr. Falconar's eyesight moot. Given that Mr. Le was obligated to stop before entering the sidewalk, and that he struck Mr. Falconar when the latter was in front of him, it would make no difference whether Mr. Falconar had perfect eyesight or was completely blind. He was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There is, on the evidence, no basis for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Mr. Falconar's part. He could neither foresee that a vehicle exiting the parking lot would proceed across the sidewalk without stopping, or that a vehicle stopped at the sidewalk would proceed as he crossed in front of it.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on the balance of probabilities, that the accident caused the soft tissue injuries and the injury to Mr. Falconar's second lumbar vertebra, all as set out in the medical report prepared by Dr. Thauli.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plain that Mr. Falconar suffered from numerous ailments before the accident. These included the degenerative conditions of osteoarthritis and diabetes. These various ailments resulted in partial disability. He was disabled to the extent that his mobility was to some extent limited. However, he was able to maintain his own apartment, shop and cook for himself, entertain guests on his own, go to sporting events, take other pleasurable outings. All these he could do without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the evidence establishes that Mr. Falconar's loss of ability to live independently was caused by the injuries sustained in the accident and the deconditioning effect of the sedentary period that, consequently,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Although prior ailments contribute to his present condition, there is no evidence that would support a finding that Mr. Falconar's pre-existing ailments would, in the absence of the accident, have been further disabling prior to the trial, or would, absent the accident, have become so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Despite his medical problems, Mr. Falconar enjoyed an independent lifestyle. As a consequence of injuries sustained in the accident, Mr. Falconar is unable to maintain the independent lifestyle that he previously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An award of non-pecuniary damages must take into account Mr. Falconar's pain, suffering, and loss of enjoyment of life. To the extent that it can be achieved by an award of damages, he must be placed in the position he would have been had the accident not occurred. He is not to be placed in a position better than previously (Athey v. Leonati,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Bracey (Public Trustee of) v. Jahnke, </w:t>
      </w:r>
      <w:hyperlink r:id="rId216" w:history="1">
        <w:r>
          <w:rPr>
            <w:rFonts w:ascii="arial" w:eastAsia="arial" w:hAnsi="arial" w:cs="arial"/>
            <w:i/>
            <w:color w:val="0077CC"/>
            <w:sz w:val="20"/>
            <w:u w:val="single"/>
            <w:shd w:val="clear" w:color="auto" w:fill="FFFFFF"/>
            <w:lang w:val="en-US" w:eastAsia="en-US" w:bidi="ar-SA"/>
          </w:rPr>
          <w:t>[1995] B.C.J. No. 1850</w:t>
        </w:r>
      </w:hyperlink>
      <w:r>
        <w:rPr>
          <w:rFonts w:ascii="arial" w:eastAsia="arial" w:hAnsi="arial" w:cs="arial"/>
          <w:color w:val="000000"/>
          <w:sz w:val="20"/>
          <w:lang w:val="en-US" w:eastAsia="en-US" w:bidi="ar-SA"/>
        </w:rPr>
        <w:t xml:space="preserve"> (S.C.), varied on other grounds </w:t>
      </w:r>
      <w:hyperlink r:id="rId217" w:history="1">
        <w:r>
          <w:rPr>
            <w:rFonts w:ascii="arial" w:eastAsia="arial" w:hAnsi="arial" w:cs="arial"/>
            <w:i/>
            <w:color w:val="0077CC"/>
            <w:sz w:val="20"/>
            <w:u w:val="single"/>
            <w:shd w:val="clear" w:color="auto" w:fill="FFFFFF"/>
            <w:lang w:val="en-US" w:eastAsia="en-US" w:bidi="ar-SA"/>
          </w:rPr>
          <w:t>(1997) 34 B.C.L.R. (3d) 191</w:t>
        </w:r>
      </w:hyperlink>
      <w:r>
        <w:rPr>
          <w:rFonts w:ascii="arial" w:eastAsia="arial" w:hAnsi="arial" w:cs="arial"/>
          <w:color w:val="000000"/>
          <w:sz w:val="20"/>
          <w:lang w:val="en-US" w:eastAsia="en-US" w:bidi="ar-SA"/>
        </w:rPr>
        <w:t xml:space="preserve"> (C.A.), Oliver J. captured the essence of the present circumstance, with his observation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rob a disabled person of what little she has left is a monstrous injury, for that little she has is, for her, the whole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assess non-pecuniary damages at $65,000.</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for Mr. Falconar, Mr. McHarg, submits that costs to be incurred for assistance and transportation fares are compensable as cost of future care, on the basis that this activity is necessary to maintain his emotional well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test for establishing a claim for future care is stated by McLachlin J. (as she then was) in Milina v. Bartsch </w:t>
      </w:r>
      <w:hyperlink r:id="rId5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21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(B.C.C.A.) at p.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 of cost of future care, it may be inferred, is an objective one based on the medical evidence. These authorities establish (1) that there must be medical justification for claims for cost of future care and (2) that the claims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O'Connor adverted to the benefit to Mr. Falconar of optimizing whatever level of mobility and independence could be gained. His report indicates that during the 9-week period that Mr. Falconar was in the GEM Programme his independent short-range mobility improved, but that he required supervision for longer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McHarg proposes an award that would permit weekly outings in addition to any group opportunities provided by the care facility. At an average cost of $100 daily, once weekly, this would amount to $5,200 each year. This works out to approximately $25,500 over Mr. Falconar's probable life expectancy. I consider this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award $25,500 as cost of future care.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evidence supports an award of $405.00.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SUMMARY OF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damages awarded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$65,000.00</w:t>
            </w:r>
          </w:p>
        </w:tc>
        <w:tc>
          <w:tcPr>
            <w:tcW w:w="450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25,500.00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09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405.00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927"/>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$90,905.00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Counsel may speak to costs. Written submissions will suffice, but either party is at liberty to set the matter down for an oral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5"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Ferrer v. Janik, [2019] B.C.J. No. 1136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Jackson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30,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S75691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1136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1004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Enrique Ferrer and Nelly Ferrer-Timmers, Plaintiffs, and Roman Janik, Krystyna Janik, City of Parksville, Coast Realty Group (Parksville) Ltd., Brenda Nicolls, 589557 B.C. Ltd. doing business as Central Island Homepro Division of 589557 B.C. Ltd., Rudolph John Brulotte, Louise Roy and Aaron Nicklen, Defendants, and Roman Janik, Krystyna Janik, Coast Realty Group (Parksville) Ltd., Brenda Nicolls, 589557 B.C. Ltd. dba Central Homepro Division of 589557 B.C. Ltd., Rudolph John Brulotte, Louise Roy, Aaron Nicklen and Steven Osborne,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6"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1" w:name="Keywords_14"/>
      <w:bookmarkEnd w:id="101"/>
      <w:r>
        <w:rPr>
          <w:rFonts w:ascii="arial" w:eastAsia="arial" w:hAnsi="arial" w:cs="arial"/>
          <w:b/>
          <w:color w:val="000000"/>
          <w:sz w:val="20"/>
          <w:lang w:val="en-US" w:eastAsia="en-US" w:bidi="ar-SA"/>
        </w:rPr>
        <w:t xml:space="preserve">Contracts — Terms — Express terms — Exclusion clauses — Application by the defendants 589557 BC Ltd and Brulotte for summary judgment on the issue of whether the plaintiffs' claim for damages was limited to the $551 they paid pursuant to an Inspection Contract allowed — The plaintiffs contracted with the applicants for an inspection of a residence they had contracted to purchase — In their claim, the plaintiffs raised allegations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the applicants — Those allegations fell squarely within the scope of the limitation of liability clause in the Inspection Contract — The parties were on equal footing and the bargain made between them was not unfair.</w:t>
      </w:r>
    </w:p>
    <w:p>
      <w:pPr>
        <w:jc w:val="both"/>
        <w:rPr>
          <w:rFonts w:ascii="arial" w:eastAsia="arial" w:hAnsi="arial" w:cs="arial"/>
          <w:sz w:val="20"/>
          <w:lang w:val="en-US" w:eastAsia="en-US" w:bidi="ar-SA"/>
        </w:rPr>
      </w:pPr>
      <w:bookmarkStart w:id="102" w:name="Legislation Cited_10"/>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7"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Home Inspector Licensing Regulation, </w:t>
      </w:r>
      <w:hyperlink r:id="rId226" w:history="1">
        <w:r>
          <w:rPr>
            <w:rFonts w:ascii="arial" w:eastAsia="arial" w:hAnsi="arial" w:cs="arial"/>
            <w:i/>
            <w:color w:val="0077CC"/>
            <w:sz w:val="20"/>
            <w:u w:val="single"/>
            <w:shd w:val="clear" w:color="auto" w:fill="FFFFFF"/>
            <w:lang w:val="en-US" w:eastAsia="en-US" w:bidi="ar-SA"/>
          </w:rPr>
          <w:t>B.C. Reg. 12/2009, s. 7.1</w:t>
        </w:r>
      </w:hyperlink>
      <w:r>
        <w:rPr>
          <w:rFonts w:ascii="arial" w:eastAsia="arial" w:hAnsi="arial" w:cs="arial"/>
          <w:color w:val="000000"/>
          <w:sz w:val="20"/>
          <w:lang w:val="en-US" w:eastAsia="en-US" w:bidi="ar-SA"/>
        </w:rPr>
        <w:t>,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3" w:name="Counsel_14"/>
      <w:bookmarkEnd w:id="1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8"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appearing in person: E. Ferrer, N. Ferrer-Timmers.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589557 B.C. Ltd., Rudolph Brulotte: N. Trevethan.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City of Parksville: A. Buckley.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14"/>
      <w:bookmarkEnd w:id="104"/>
      <w:r>
        <w:pict>
          <v:line id="_x0000_s1099"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JACKSON J. (orally)"/>
            <w:bookmarkEnd w:id="105"/>
            <w:r>
              <w:rPr>
                <w:rFonts w:ascii="arial" w:eastAsia="arial" w:hAnsi="arial" w:cs="arial"/>
                <w:b/>
                <w:color w:val="000000"/>
                <w:sz w:val="30"/>
                <w:lang w:val="en-US" w:eastAsia="en-US" w:bidi="ar-SA"/>
              </w:rPr>
              <w:t>JACKSON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decision was delivered in the form of Oral Reasons. For publication, the Reasons have been edited for style and grammar.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or about August 9, 2014, Enrique Ferrer and Nelly Ferrer-Timmers (the "Plaintiffs") contracted to purchase a home at 864 Gaetjen Street, in Parksville, British Columbia (the "Home"). A few days later, on August 15, 2014, the Plaintiffs entered into a contract with 589557 B.C. Ltd., doing business as Central Island Homepro Division Of 589557 B.C. Ltd., and Rudolph John Brulotte (collectively the "Applicants"), whereby the Applicants were to conduct an inspection of the Home (the "Inspection Contract"). Under the Inspection Contract, in exchange for the Applicants' services, the Plaintiffs were to, and did, pay a base fee of $525.00 plus applicable taxes, totalling $551.25 (the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Applicants bring this application under R.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Summary Trial Rule, and seek judgment on the issue of whether the Plaintiffs' claim for damages is limited to the Fee they paid pursuant to the Inspection Contract for the home inspection conducted by Mr. Brulotte. The Applicants' position is that the Inspection Contract included a term limiting the Applicants' liability to the Fee paid by the Plaintiffs (the "Limitation of Liability Clause"). The Plaintiffs say the Limitation of Liability Clause is not enforceable and does not limit the Applicants'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 threshold issue is whether this application is suitable for summary trial. Suitability for summary trial depends on the facts and legal issues in each particular case.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at para. 48, Chief Justice McEachern set out a non-exhaustive list of factors a chambers judge is to consider in determining whether it would be unjust to grant a judgment in a summary trial. These factors include:</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urgency;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prejudice likely to arise by reason of delay;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taking the case forward in relation to the amount involved;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course of the proceedings;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matters which arise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 31, Justice D. Smith supplemented the list of factors articulated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by adding "the cost of litigation, the time of the summary trial, whether credibility is a critical factor in the determination of the dispute, whether the summary trial may create an unnecessary complexity in the resolution of the dispute, and whether the application would result in litigating in slices": see also </w:t>
      </w:r>
      <w:r>
        <w:rPr>
          <w:rFonts w:ascii="arial" w:eastAsia="arial" w:hAnsi="arial" w:cs="arial"/>
          <w:i/>
          <w:color w:val="000000"/>
          <w:sz w:val="20"/>
          <w:lang w:val="en-US" w:eastAsia="en-US" w:bidi="ar-SA"/>
        </w:rPr>
        <w:t>Dahl et al. v. Royal Bank of Canada et al.</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upheld on appeal at </w:t>
      </w:r>
      <w:hyperlink r:id="rId230"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Applicants are of the view that the issue is suitable for summary trial. Based on the Plaintiffs' response to application, I initially understood that they were in agreement as to suitability. However, in their submissions (made by Mr. Ferrer and adopted by his wife Ms. Ferrer-Timmers), the Plaintiffs suggested there are conflicts in the evidence, and thus I am left with the impression they may not agree the matter is suitable for summary trial. I have proceeded on the basis that the parties do not agree the matter is suitable for summary determination. In any event, it is always the case that the chambers judge hearing a summary trial must be satisfied the matter is suitable, even where the parties are in agreement: </w:t>
      </w:r>
      <w:r>
        <w:rPr>
          <w:rFonts w:ascii="arial" w:eastAsia="arial" w:hAnsi="arial" w:cs="arial"/>
          <w:i/>
          <w:color w:val="000000"/>
          <w:sz w:val="20"/>
          <w:lang w:val="en-US" w:eastAsia="en-US" w:bidi="ar-SA"/>
        </w:rPr>
        <w:t>Westsea Construction Ltd. v. 0759553 BC Ltd.</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2012 BCSC 1799</w:t>
        </w:r>
      </w:hyperlink>
      <w:r>
        <w:rPr>
          <w:rFonts w:ascii="arial" w:eastAsia="arial" w:hAnsi="arial" w:cs="arial"/>
          <w:color w:val="000000"/>
          <w:sz w:val="20"/>
          <w:lang w:val="en-US" w:eastAsia="en-US" w:bidi="ar-SA"/>
        </w:rPr>
        <w:t xml:space="preserve"> at para.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my view, the issue raised in this application is suitable for summary trial. Unlike the factual and legal issues associated with the substantive claim, the factual and legal questions surrounding the issue presented for summary trial are not complex, and determining the issue will not cause delay in the proceedings. A trial on the substantive issues will likely be prolonged and expensive, but determination of the summary trial issue will not add to the complexity of the dispute. I do not view the summary trial application as litigating in slices. The parties would benefit from knowing whether the damages recoverable from the Applicants are limited to the Fee before they proceed to trial, since a finding in the Applicants' favour could impact the overall resolution of the matter. Therefore, I elect to exercise my discretion to determine the issue presented on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THE LIMITATION OF LIABILITY CLAUSE ENFORCEABLE?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Applicants argue the Limitation of Liability Clause is not vague or ambiguous and must be enforced. They submit the clause offers them protection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the Inspection Contract by limiting their liability to the Fee they were paid. The Applicants submit the Plaintiffs' claim falls within the scope of the Limitation of Liability Clause and that the protection it provides is therefore applicable. The Applicants argue the Limitation of Liability Clause is not unconscionable and that there are no overriding policy considerations that outweigh the public interest in freedom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the Plaintiffs' application response, they argue that based on the costs they allege they have incurred as a result of the Applicants'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 time they have spent pursuing their claim (the notice of civil claim was filed in May of 2015), it would be unjust to limit the Applicants' penalty to the Fee. They also argue there is an inequality of bargaining power, with the Applicants having the advantage, because the Inspection Contract was, they allege, a standard form contract. The Plaintiffs also seem to suggest the Limitation of Liability Clause should not be enforced because there is an overriding public interest in not allowing home inspectors to limit their liability through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correct approach to considering the enforcement of limitation of liability clauses was set out by the Supreme Court of Canada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at paras. 122-123. In summary, the process involves the following three enquires: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exclusion clause apply in the claim made?;</w:t>
      </w:r>
    </w:p>
    <w:p>
      <w:pPr>
        <w:numPr>
          <w:numId w:val="1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the exclusion clause unconscionable at the time the contract was made?; and</w:t>
      </w:r>
    </w:p>
    <w:p>
      <w:pPr>
        <w:numPr>
          <w:numId w:val="1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was not unconscionable, should the court nevertheless refuse to enforce the clause on the basis of an overriding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Regarding the third enquiry, the burden lies with the party seeking to avoid enforcement to establish there is a public policy reason for not enforcing the clause that outweighs the strong public interest in the enforcement of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the party seeking to rely on the Limitation of Liability Clause, the onus is on the Applicants to establish its applicability. However, the onus is on the Plaintiffs to establish the Inspection Contract is unconscionable (</w:t>
      </w:r>
      <w:r>
        <w:rPr>
          <w:rFonts w:ascii="arial" w:eastAsia="arial" w:hAnsi="arial" w:cs="arial"/>
          <w:i/>
          <w:color w:val="000000"/>
          <w:sz w:val="20"/>
          <w:lang w:val="en-US" w:eastAsia="en-US" w:bidi="ar-SA"/>
        </w:rPr>
        <w:t>Loychuk v. Cougar Mountain Adventures Ltd.</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2012 BCCA 122</w:t>
        </w:r>
      </w:hyperlink>
      <w:r>
        <w:rPr>
          <w:rFonts w:ascii="arial" w:eastAsia="arial" w:hAnsi="arial" w:cs="arial"/>
          <w:color w:val="000000"/>
          <w:sz w:val="20"/>
          <w:lang w:val="en-US" w:eastAsia="en-US" w:bidi="ar-SA"/>
        </w:rPr>
        <w:t xml:space="preserve"> at paras. 29-30) or that there is an overriding public policy reason not to enforce the Limitation of Liability Clause that outweighs the public interest in freedom and certainty of contract, as well as the enforceability of contractual obligations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at para. 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Does the Exclusion of Liability Clause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Limitation of Liability Clause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event of any errors, omissions, breach of contract,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inspector the client hereby agrees to the following restrictions on their legal rights: ...</w:t>
      </w:r>
    </w:p>
    <w:p>
      <w:pPr>
        <w:numPr>
          <w:numId w:val="1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inspector's total liability to the client for errors, omissions, breaches of contract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any part of the inspection or inspection report shall be limited to the amount of the fee paid for the inspection. For greater clarity this means that if the client sues the inspector any damages awarded cannot exceed the cost of the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Although the Plaintiffs suggested the claim involves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Applicants,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pled in the Plaintiffs' amended notice of civil claim. As noted by Madam Justice Dickson in </w:t>
      </w:r>
      <w:r>
        <w:rPr>
          <w:rFonts w:ascii="arial" w:eastAsia="arial" w:hAnsi="arial" w:cs="arial"/>
          <w:i/>
          <w:color w:val="000000"/>
          <w:sz w:val="20"/>
          <w:lang w:val="en-US" w:eastAsia="en-US" w:bidi="ar-SA"/>
        </w:rPr>
        <w:t>Creyke v. Creyke</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2016 BCCA 499</w:t>
        </w:r>
      </w:hyperlink>
      <w:r>
        <w:rPr>
          <w:rFonts w:ascii="arial" w:eastAsia="arial" w:hAnsi="arial" w:cs="arial"/>
          <w:color w:val="000000"/>
          <w:sz w:val="20"/>
          <w:lang w:val="en-US" w:eastAsia="en-US" w:bidi="ar-SA"/>
        </w:rPr>
        <w:t xml:space="preserve"> at para. 47, the pleadings dictate the issues to be determined at trial. Further, the inspection was a visual inspection, and the Plaintiffs acknowledged that the defects alleged were not observable on visual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At para. 52 of their amended notice of civil claim, the Plaintiffs allege that the Applicants "were negligent in their complete inspection of the residence and completion of the home inspection report" and list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Applicants were to be found liable in this case, it would be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their inspection of the home or their preparation of the report. The allegations made by the Plaintiffs fall squarely within the scope of the Limitation of Liability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rely on the decision of Justice Burnyeat in </w:t>
      </w:r>
      <w:r>
        <w:rPr>
          <w:rFonts w:ascii="arial" w:eastAsia="arial" w:hAnsi="arial" w:cs="arial"/>
          <w:i/>
          <w:color w:val="000000"/>
          <w:sz w:val="20"/>
          <w:lang w:val="en-US" w:eastAsia="en-US" w:bidi="ar-SA"/>
        </w:rPr>
        <w:t>Salgado v. Toth</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2009 BCSC 1515</w:t>
        </w:r>
      </w:hyperlink>
      <w:r>
        <w:rPr>
          <w:rFonts w:ascii="arial" w:eastAsia="arial" w:hAnsi="arial" w:cs="arial"/>
          <w:color w:val="000000"/>
          <w:sz w:val="20"/>
          <w:lang w:val="en-US" w:eastAsia="en-US" w:bidi="ar-SA"/>
        </w:rPr>
        <w:t xml:space="preserve"> as support for their position that the Applicants should not escape liability under the contract. However, </w:t>
      </w:r>
      <w:r>
        <w:rPr>
          <w:rFonts w:ascii="arial" w:eastAsia="arial" w:hAnsi="arial" w:cs="arial"/>
          <w:i/>
          <w:color w:val="000000"/>
          <w:sz w:val="20"/>
          <w:lang w:val="en-US" w:eastAsia="en-US" w:bidi="ar-SA"/>
        </w:rPr>
        <w:t>Salgado</w:t>
      </w:r>
      <w:r>
        <w:rPr>
          <w:rFonts w:ascii="arial" w:eastAsia="arial" w:hAnsi="arial" w:cs="arial"/>
          <w:color w:val="000000"/>
          <w:sz w:val="20"/>
          <w:lang w:val="en-US" w:eastAsia="en-US" w:bidi="ar-SA"/>
        </w:rPr>
        <w:t xml:space="preserve"> predates the Supreme Court of Canada's decision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and therefore does not apply the analysis mandated by the Court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Salgado</w:t>
      </w:r>
      <w:r>
        <w:rPr>
          <w:rFonts w:ascii="arial" w:eastAsia="arial" w:hAnsi="arial" w:cs="arial"/>
          <w:color w:val="000000"/>
          <w:sz w:val="20"/>
          <w:lang w:val="en-US" w:eastAsia="en-US" w:bidi="ar-SA"/>
        </w:rPr>
        <w:t xml:space="preserve"> at paras. 73-75, Burnyeat J. found that the plaintiffs had not read the terms of the contract prior to signing it, they felt rushed, and were given very little time to consider the contract before being presented with it, which was after the presentation of the inspection report. As pointed out by counsel for the Applicants, all of those facts are distinguishable from the facts of this case. The evidence is that Mr. Ferrer read and understood the Inspection Contract before he signed it and that Mrs. Ferrer-Timmers deferred to her husband's decision regarding its suitability. Further, the court in </w:t>
      </w:r>
      <w:r>
        <w:rPr>
          <w:rFonts w:ascii="arial" w:eastAsia="arial" w:hAnsi="arial" w:cs="arial"/>
          <w:i/>
          <w:color w:val="000000"/>
          <w:sz w:val="20"/>
          <w:lang w:val="en-US" w:eastAsia="en-US" w:bidi="ar-SA"/>
        </w:rPr>
        <w:t>Salgado</w:t>
      </w:r>
      <w:r>
        <w:rPr>
          <w:rFonts w:ascii="arial" w:eastAsia="arial" w:hAnsi="arial" w:cs="arial"/>
          <w:color w:val="000000"/>
          <w:sz w:val="20"/>
          <w:lang w:val="en-US" w:eastAsia="en-US" w:bidi="ar-SA"/>
        </w:rPr>
        <w:t xml:space="preserve"> found that the contract and the report were separate, and that there was no term in the report excluding representations and warranties. In addition, Burnyeat J. found the home inspector should have drawn the exclusion and waiver clauses to the attention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this case, both of the Plaintiffs initialed the Limitation of Liability Clause, and there was no suggestion by the Plaintiffs that they were unaware of its meaning or effect. In addition, the contract in </w:t>
      </w:r>
      <w:r>
        <w:rPr>
          <w:rFonts w:ascii="arial" w:eastAsia="arial" w:hAnsi="arial" w:cs="arial"/>
          <w:i/>
          <w:color w:val="000000"/>
          <w:sz w:val="20"/>
          <w:lang w:val="en-US" w:eastAsia="en-US" w:bidi="ar-SA"/>
        </w:rPr>
        <w:t>Salgado</w:t>
      </w:r>
      <w:r>
        <w:rPr>
          <w:rFonts w:ascii="arial" w:eastAsia="arial" w:hAnsi="arial" w:cs="arial"/>
          <w:color w:val="000000"/>
          <w:sz w:val="20"/>
          <w:lang w:val="en-US" w:eastAsia="en-US" w:bidi="ar-SA"/>
        </w:rPr>
        <w:t xml:space="preserve"> defined inspector as the corporate entity, and not the inspector in his personal capacity. In this case, the Inspection Contract defines inspector as including both of the Applicants. As such, </w:t>
      </w:r>
      <w:r>
        <w:rPr>
          <w:rFonts w:ascii="arial" w:eastAsia="arial" w:hAnsi="arial" w:cs="arial"/>
          <w:i/>
          <w:color w:val="000000"/>
          <w:sz w:val="20"/>
          <w:lang w:val="en-US" w:eastAsia="en-US" w:bidi="ar-SA"/>
        </w:rPr>
        <w:t>Salgado</w:t>
      </w:r>
      <w:r>
        <w:rPr>
          <w:rFonts w:ascii="arial" w:eastAsia="arial" w:hAnsi="arial" w:cs="arial"/>
          <w:color w:val="000000"/>
          <w:sz w:val="20"/>
          <w:lang w:val="en-US" w:eastAsia="en-US" w:bidi="ar-SA"/>
        </w:rPr>
        <w:t xml:space="preserve"> is clearly distinguishable on its facts and does not assist the plaintiffs. I would add that in my view, the observation of Burnyeat J., that the nature of advice given by a home inspector invites reliance, does not alter the effect or enforceability of a term which limits liability and was agreed to by parties to a contract, absent a finding of unconscionability or an overriding policy consideration, as set out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the Plaintiffs' claim falls within the scope of the Limitation of Liability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turn therefore to the second inquiry under the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Have the Plaintiffs established the Limitation of Liability Clause was unconscionable?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order to establish the inspection contract was unconscionable, the Plaintiffs must establish two things: first, proof of inequality in the position of the parties, with the Plaintiffs having the weaker position; and second, proof of substantial unfairness in the bargain obtained by the Applicants: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the Plaintiffs argue the Inspection Contract is a standard form contract, there is no evidence before me to that effect. The evidence demonstrates that Mr. Ferrer is a successful business person. He is an engineer and holds Masters degrees in both engineering and science. Previously, he was in the business of electrical energy trading. He has also been employed as a college instructor in electrical technologies and as a design engineer. Over the course of his lifetime, he has owned over 20 houses, and according to his evidence was not surprised the Applicants presented the Inspection Contract, as he had lots of experience with house inspections in relation to the previous houses he had purchased. There was no evidence that the Plaintiffs sought to negotiate any of the terms of the Inspection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Based on the evidence, I find that the Plaintiffs understood what they bargained for and were on equal footing with the Applicants in entering into the Inspection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Given my finding that the Plaintiffs have failed to establish the first element of unconscionability, it is not necessary for me to address the second element, namely proof of substantial unfairness in the bargain obtained. However, the observations of Justice Rogers in </w:t>
      </w:r>
      <w:r>
        <w:rPr>
          <w:rFonts w:ascii="arial" w:eastAsia="arial" w:hAnsi="arial" w:cs="arial"/>
          <w:i/>
          <w:color w:val="000000"/>
          <w:sz w:val="20"/>
          <w:lang w:val="en-US" w:eastAsia="en-US" w:bidi="ar-SA"/>
        </w:rPr>
        <w:t>Gordon v. Krieg</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2013 BCSC 842</w:t>
        </w:r>
      </w:hyperlink>
      <w:r>
        <w:rPr>
          <w:rFonts w:ascii="arial" w:eastAsia="arial" w:hAnsi="arial" w:cs="arial"/>
          <w:color w:val="000000"/>
          <w:sz w:val="20"/>
          <w:lang w:val="en-US" w:eastAsia="en-US" w:bidi="ar-SA"/>
        </w:rPr>
        <w:t xml:space="preserve"> at paras. 165-166 are in my view, equally applicable in the context of the Inspection Contract in this case. Given the price paid by the Plaintiffs for the services the Applicants provided, and the nature of those services, which involved only a visual non-invasive inspection, in my view, the bargain made between the parties was not unfair, let alone substantially unfair. I will turn now to the third element of the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there an overriding policy reason not to enforce the Limitation of Liability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noted earlier, the Plaintiffs bear the burden of establishing that this Court should nevertheless refuse to enforce the Limitation of Liability Clause on the basis of an overriding public policy that outweighs the very strong public interest in the enforcement of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the Applicants correctly point out, absent a legislative prohibition, parties are free to contract out of tort liability provided they do so in clear and unambiguous language: </w:t>
      </w:r>
      <w:r>
        <w:rPr>
          <w:rFonts w:ascii="arial" w:eastAsia="arial" w:hAnsi="arial" w:cs="arial"/>
          <w:i/>
          <w:color w:val="000000"/>
          <w:sz w:val="20"/>
          <w:lang w:val="en-US" w:eastAsia="en-US" w:bidi="ar-SA"/>
        </w:rPr>
        <w:t>Gordon v. Krieg</w:t>
      </w:r>
      <w:r>
        <w:rPr>
          <w:rFonts w:ascii="arial" w:eastAsia="arial" w:hAnsi="arial" w:cs="arial"/>
          <w:color w:val="000000"/>
          <w:sz w:val="20"/>
          <w:lang w:val="en-US" w:eastAsia="en-US" w:bidi="ar-SA"/>
        </w:rPr>
        <w:t xml:space="preserve"> at para. 160; </w:t>
      </w:r>
      <w:r>
        <w:rPr>
          <w:rFonts w:ascii="arial" w:eastAsia="arial" w:hAnsi="arial" w:cs="arial"/>
          <w:i/>
          <w:color w:val="000000"/>
          <w:sz w:val="20"/>
          <w:lang w:val="en-US" w:eastAsia="en-US" w:bidi="ar-SA"/>
        </w:rPr>
        <w:t>Calder v. Jones et al.</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2010 BCPC 77</w:t>
        </w:r>
      </w:hyperlink>
      <w:r>
        <w:rPr>
          <w:rFonts w:ascii="arial" w:eastAsia="arial" w:hAnsi="arial" w:cs="arial"/>
          <w:color w:val="000000"/>
          <w:sz w:val="20"/>
          <w:lang w:val="en-US" w:eastAsia="en-US" w:bidi="ar-SA"/>
        </w:rPr>
        <w:t>, at paras. 71-76.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support of what I understood to be a public policy argument, the Plaintiffs rely on the following sections of the </w:t>
      </w:r>
      <w:r>
        <w:rPr>
          <w:rFonts w:ascii="arial" w:eastAsia="arial" w:hAnsi="arial" w:cs="arial"/>
          <w:i/>
          <w:color w:val="000000"/>
          <w:sz w:val="20"/>
          <w:lang w:val="en-US" w:eastAsia="en-US" w:bidi="ar-SA"/>
        </w:rPr>
        <w:t>Home Inspector Licensing Regulation</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B.C. Reg. 12/2009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Conditions on licence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director may impose, as a condition on a licence, one or more of the following:</w:t>
      </w:r>
    </w:p>
    <w:p>
      <w:pPr>
        <w:numPr>
          <w:numId w:val="1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licensee take periodic instruction or training, as specified by the director, in a program related to home inspection that is approved by the director;</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licensee obtain and maintain errors and omissions insurance and comprehensive general liability insurance, in amounts approved by the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Home inspection contract requirements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(1) In addition to any information required under sections 19, 20 and 23 of the Act to be contained in a home inspection contract, a home inspection contract must</w:t>
      </w:r>
    </w:p>
    <w:p>
      <w:pPr>
        <w:numPr>
          <w:numId w:val="1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 the address of the property to be inspected,</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 what will be covered by the home inspection,</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whether or not the licensee will inspect for mould,</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whether or not the licensee will inspect for asbestos,</w:t>
      </w:r>
    </w:p>
    <w:p>
      <w:pPr>
        <w:numPr>
          <w:numId w:val="2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that the home inspection will be non-invasive or specify the invasive procedures that will be used, and</w:t>
      </w:r>
    </w:p>
    <w:p>
      <w:pPr>
        <w:numPr>
          <w:numId w:val="2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 the following statement: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Home inspectors operating in British Columbia are required to be licensed under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and are regulated under that Act. The services of a home inspector are not provided on behalf of, or in affiliation with, the Province of British Columbia or the Business Practices and Consumer Protection Authority (commonly known and doing business as Consumer Protection BC). For more information on the regulation of home inspectors, what a home inspection should involve, how to select a home inspector and about your rights as a consumer, please contact Consumer Protection BC.</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licensee must not, in a home inspection contract,</w:t>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exclude from the home inspection a garage or carport, whether or not the garage or carport is attached to a dwelling,</w:t>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 to limit the liability, or the amount of the liability, of the licensee, or</w:t>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 to limit the time for making a claim against the licensee.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However, those provisions were only added to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in 2016 (B.C. Reg. 70/2016) and were not made retroactive. Those provisions were effective on September 1, 2016, and were thus not in effect when the parties entered into the Inspection Contract in 2014. Further, those two additions - the requirement to carry liability insurance and the prohibition on limiting liability - go hand in hand by providing mutual protection for both the licenced inspector and the consumer of the inspector's services, and are therefore neutral in their overall effect. Refusing to enforce the Limitation of Liability Clause would create an advantage for one party a the contract and a corresponding deprivation to the other. While it may be fair to suggest the addition of these provisions to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was a development grounded in public policy, in my view, it does not follow that the additions provide a basis to override clear contractual terms bargained by the parties prior to their introduction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careful consideration of the evidence and the submissions of the parties, and for the reasons already noted, I find and order that the Plaintiffs' claim for damages against the Applicants is limited by the Inspection Contract to the Fee paid by the Plaintiffs in the amount of $551.25.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Applicants were the successful party on this application and therefore would normally be entitled to costs. If the parties cannot agree on costs, they may contact Supreme Court scheduling to seek a further date to appear before me to address that issue, provided they do so within 30 days of these reasons.</w:t>
      </w:r>
      <w:r>
        <w:rPr>
          <w:rFonts w:ascii="arial" w:eastAsia="arial" w:hAnsi="arial" w:cs="arial"/>
          <w:sz w:val="20"/>
          <w:lang w:val="en-US" w:eastAsia="en-US" w:bidi="ar-SA"/>
        </w:rPr>
        <w:cr/>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JACKSON J.</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Goodburn v. Nissinen, [2000] B.C.J. No. 2020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Morrison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5 and 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M000657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2020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1487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A.C.W.S. (3d) 176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Beverly Goodburn, plaintiff, and Jarmo Abraham Nissinen and 511108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1"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6" w:name="Keywords_15"/>
      <w:bookmarkEnd w:id="106"/>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Duty to pay attention — Motor vehicle, rules of the road — Making turns, left turns — Right of way, duty to yield — Intersections, turning left, right of way.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7" w:name="Case Summary_14"/>
            <w:bookmarkEnd w:id="1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in an action resulting from a motor vehicle accident which occurred when Goodburn was attempting to make a left turn in an intersection and was struck by a vehicle driven by Nissinen. Nissinen was proceeding in the opposite direction, and claimed that he saw no sign that Goodburn was about to turn, and he did not alter his speed. He claimed that he proceeded through the intersection on a green light. He did not see Goodburn's vehicle until just prior to the impact. Goodburn saw Nissinen's vehicle, but claimed that the light changed to amber, the vehicle in front of Nissinen proceeded through, and she saw Nissinen's vehicle slow down. She believed that he was slowing down to stop for the amber light and that the way was clear for her to complete her turn. Goodburn claimed that by the time Nissinen entered the intersection, the light had turned red. An independent witness confirmed Goodburn's version of events.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8" w:name="Holdings of Court_14"/>
            <w:bookmarkEnd w:id="108"/>
            <w:r>
              <w:rPr>
                <w:rFonts w:ascii="arial" w:eastAsia="arial" w:hAnsi="arial" w:cs="arial"/>
                <w:color w:val="000000"/>
                <w:sz w:val="20"/>
                <w:lang w:val="en-US" w:eastAsia="en-US" w:bidi="ar-SA"/>
              </w:rPr>
              <w:t>HELD: Goodburn was found 15 per cent liable and Nissinen 85 per cent liable.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independent witness had an unobstructed view of the accident and confirmed Goodburn's version. There was no reason for Nissinen not to have seen Goodburn's vehicle in the intersection as he approached, unless he was not paying sufficient attention at the time. He was travelling at an excessive rate of speed for the circumstances and failed to stop for the amber light. Goodburn was found partially responsible in that she should have been more careful in attempting to execute her turn in those circumstances.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9" w:name="Legislation Cited_11"/>
      <w:bookmarkEnd w:id="1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2"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179, c. 228, s. 176.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0" w:name="Counsel_15"/>
      <w:bookmarkEnd w:id="1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3"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Blair, for the plaintiff. Anthony Urquhart,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1" w:name="Judgment_15"/>
      <w:bookmarkEnd w:id="111"/>
      <w:r>
        <w:pict>
          <v:line id="_x0000_s1104"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2" w:name="MORRISON J."/>
            <w:bookmarkEnd w:id="112"/>
            <w:r>
              <w:rPr>
                <w:rFonts w:ascii="arial" w:eastAsia="arial" w:hAnsi="arial" w:cs="arial"/>
                <w:b/>
                <w:color w:val="000000"/>
                <w:sz w:val="30"/>
                <w:lang w:val="en-US" w:eastAsia="en-US" w:bidi="ar-SA"/>
              </w:rPr>
              <w:t>MORRISON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only issue before the court is that of liability, arising out of a motor vehicle accident that occurred March 5, 1998. The plaintiff was driving east on Nordel Way, in the City of Surrey, at approximately 12:30 p.m. and was attempting a left turn at the intersection of Nordel and 112 Street. The personal defendant, driving a blue van owned by the corporate defendant, was proceeding west on Nordel Way and a collision occurred in the intersection, before the plaintiff could complete her left-hand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in the left turn lane of the three lanes of Nordel Way going west to east, and had moved into the intersection, waiting for an opportunity to make her left hand turn. Her evidence is that as the light turned amber, a white van travelling west on Nordel Way went through the intersection, and behind it she observed the defendants' blue van. It was her evidence that the blue van appeared to be slowing down and stopping, and she considered it safe to make her turn, assuming the defendant was stopping. The defendant was in the curb lane travelling east to west on Nordel Way, going at approximately 55 to 60 km on a road where the speed limit was 60 km per hour. There is a slight incline on that portion of the road, allowing the plaintiff to look up and see oncoming traffic, and presumably allowing the defendant to look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testified that he did not slow down, brake or decrease his speed, that he had a van loaded with goods for his store on Vancouver Island, and he was proceeding through a green light as far as he was concerned. He stated he did not see the plaintiff's red sport utility vehicle until the crash was imminent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point of collision was the driver left front of each vehicle, as the plaintiff made a hard right turn at the last moment trying to avoid an accident. I agree with counsel for the plaintiff that the point of impact is of no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Section 176 of the Motor Vehicle Act, R.S.B.C. 1979, c. 228, reads: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he shall yield the right of way to traffic approaching from the opposite direction that is in the intersection or so close as to constitute an immediate hazard, but having yielded and given a signal as required by ss. 173 and 174, the driver may turn the vehicle to the left, and traffic approaching the intersection from the opposite direction shall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flight attendant, the plaintiff was travelling home from work on a route that was very familiar to her. She has worked for Canadian Airlines for 23 years, and is an experienced driver. The weather was slightly overcast, the road clear and dry, with no problems of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personal defendant has been a crane operator for 27 years with a Class 1 and 3 operator's licence, and he owns a business as well, a discount store on Vancouver Island at the time in question. He was picking up inventory for the store, mainly dolls, driving a 1985 Dodge van which he had owned for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Entered as evidence was a letter from the Engineering Department of the Corporation of Delta which established the timing details for the light at Nordel Way and 112 Street. The light would show yellow or amber for 4.2 seconds, then the lights in both directions would be red for one second before the clearance for green light would be given for lane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Goodburn testified that her lights were on on her vehicle, that the light was green when she entered the intersection, and that she waited for traffic to clear. The white van went through when the light turned yellow or amber. She observed the defendants' van to be braking or slowing and she also observed a red vehicle stopped behind the crosswalk in front of her, going the same direction as the defendant, only in the left turn lane for traffic travelling east to west on Nordel. She saw that red vehicle pull up to the crosswalk and stop as the white van went through the intersection. The light was amber according to the plaintiff when she began her turn, but it was red when the defendant entered the intersection and red on impact. The plaintiff testified she could see both the white van and the defendants' blue van coming slightly downhill at all times, that she never lost sight of the defendants' van. After the accident, the personal defendant said to her he was going to catch a ferry. The evidence of the parties agreed that the hill was a slight incline, rather than a steep hill. It was the plaintiff's estimate that she waited three or four seconds after the white van went through the intersection before beginning her turn. She said she was caught by surprise that the blue van was accelerating, as she had observed him to be slowing down, and then suddenly he was accelerating, coming faster. She testified the defendant was not tailgating the white van but was a safe distance behind it, although she could not give an estimate of the distance in feet or car lengths. Ms. Goodburn stated, "I saw him slowing down to stop. That's why I 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Nissinen, the personal defendant, testified that he entered Nordel Way at 116 Street, and traffic was very light. He was following the white van, although he disagreed with the plaintiff's evidence, saying that the white van was in the middle lane while he was in the curb lane. They were both going at the same speed, which he estimated to be 55 to 60 km per hour. When he got to the intersection, he said the white van had already gone through the intersection, he was 20 feet from the intersection, went to go through the intersection, and it was then he put his brakes on only once, very hard, when he first saw the plaintiff's vehicle. He saw no other vehicles in the lane beside the white van, and he only hit the brakes when he saw that the accident was about to happen. Mr. Nissinen testified he had every intention of going through the intersection, and at no time did he brake before the intersection. He was aware that his van was fully loaded and that he was going "full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acknowledged he was heading for the ferry, but from long experience, I gather, he quit wearing a watch and worrying about which ferry to catch, saying he simply would arrive at the ferry terminal, take one of the books he carried with him always, and would read until he was told to move ahead on to whatever ferry was leaving next.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asked if he was concerned that his load might shift if he came to a sudden stop, he denied that, but said that one of his concerns was the load he was carrying, that there was weight behind him, and the speed, saying one always had to consider what you were carrying. His main concern was for two pedestrians who were at the crosswalk, and he was obviously concerned that the impact might drive the vehicles directly at the pedestrians. He said for him to stop so suddenly, there was really no time to think, and seeing the distance that he had, he said he could not have stopped. He confirmed that he did not see the plaintiff's vehicle "until she began to move". When the plaintiff started to move, it was quite a surprise to him, and it was at this point he used the brakes, and everything started to happen. He said he did not slow down, and had no recall as to whether he even took his foot off the accelerator prior to braking. His every intent was to go through the intersection. His testimony is that the light was green when the white van went through the intersection. It was only when the accident occurred that he noticed the light was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Testifying on behalf of the plaintiff was a witness, Sabrena Sachdeva, a 24 year old woman who was a passenger in her mother's car, on her way to work in a vehicle heading north on 112 Street. Their vehicle slowed down and stopped for a red light at the intersection of Nordel and 112 Street and they were in one of the two lanes heading north, the one heading straight through. She had an unobstructed view of the intersection and therefore the accident. She said they were stopped for 20 to 25 seconds at the light, and noticed the east and west flowing traffic on Nordel. She testified that everything had stopped on each side. She observed the plaintiff's red vehicle that was in the left turn lane on Nordel, saw it stopped for three to five seconds, before commencing its turn. She saw the plaintiff's vehicle turn, and everything was very normal at that time, with the plaintiff going quite slowly, just starting into her turn. One quarter to one halfway into its turn, Ms. Sachdeva heard the screeching of tires and saw the van coming into the intersection. It was her observation that both vehicles tried to move so that they would not hit one another. At the moment of impact, she looked up and the light for their traffic heading north was green. She saw no other vehicles in the intersection, stating the intersection was clear for four to five seconds before she heard the screech.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witness does not know either the plaintiff or the personal defendant and had never spoken to the plaintiff. With regard to the circumstances of the accident, clearly both counsel had interviewed this witness before the trial and she had given statements which were available to both counsel. It was her evidence that other vehicles were stopped for the light on Nordel, cars on either side, all of which were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witness's driving experience is that she has driven for four to five years. She felt the defendant was coming at a speed not less than 60 km.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Both counsel rely on s. 176 of the Motor Vehicle Act, but the plaintiff alleges the defendants should be found fully responsible for the accident, that the personal defendant failed to stop on an amber light, instead going through either a stale amber light or a red light,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for the plaintiff argues that the plaintiff had every right to assume that the defendant would obey the law and stop, and counsel relied on three cases, and particularly the decision of Brucks v. Caslavsky, </w:t>
      </w:r>
      <w:hyperlink r:id="rId246" w:history="1">
        <w:r>
          <w:rPr>
            <w:rFonts w:ascii="arial" w:eastAsia="arial" w:hAnsi="arial" w:cs="arial"/>
            <w:i/>
            <w:color w:val="0077CC"/>
            <w:sz w:val="20"/>
            <w:u w:val="single"/>
            <w:shd w:val="clear" w:color="auto" w:fill="FFFFFF"/>
            <w:lang w:val="en-US" w:eastAsia="en-US" w:bidi="ar-SA"/>
          </w:rPr>
          <w:t>[1994] B.C.J. No. 996</w:t>
        </w:r>
      </w:hyperlink>
      <w:r>
        <w:rPr>
          <w:rFonts w:ascii="arial" w:eastAsia="arial" w:hAnsi="arial" w:cs="arial"/>
          <w:color w:val="000000"/>
          <w:sz w:val="20"/>
          <w:lang w:val="en-US" w:eastAsia="en-US" w:bidi="ar-SA"/>
        </w:rPr>
        <w:t xml:space="preserve">, a decision of our Court of Appeal on April 19, 1994, Van. Reg. CA016390 (Taylor,J.A.). That decision had a remarkably similar fact situation, with the plaintiff attempting a left turn and the defendant moving fast and perhaps speeding up as he entered the intersection at the very end of the amber phase or perhaps as the light had just turned to red. The Court of Appeal upheld a jury finding that the defendant was solely to blame for the collision, and found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The judge had instructed a jury that a motorist is entitled to assume that another will obey the law unless and until he or she realizes that the other intends to disobey the law. The court rejected the suggestion that a driver attempting a left turn must take into consideration the possibility that any oncoming motorist may disobey either a speed limit or traffic control signals at the intersection, that such would be a reasonable possibility. On p. 6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as in other situations, a driver is entitled, in my view, to assume that others will obey the rules of the road, and until the contrary becomes apparent to rely on that assumption in deciding whether or not an oncoming vehicle constitutes an "immediate hazard". The principle has been many times stated and was put many years ago by Lord Atkinson, giving the judgment of the Judicial Committee in Toronto Railway Company v. King et al, </w:t>
      </w:r>
      <w:hyperlink r:id="rId247"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269),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traffic in the streets would be impossible if the driver of each vehicle did not proceed more or less on the assumption that the drivers of all other vehicles will do what it is their duty to do, namely, observe the rules regulating the traffic of the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argues she had the right to assume the defendant would obey the law and stop, that she had the defendant vehicle in view at all times, and observed it beginning to slow down and was thus safe in her assumption that it would be going to stop and obey the amber light. There was no traffic behind the defendant vehicle of any consequence, evidence being that other traffic behind would have been ten or more car lengths behind. When the defendant accelerated through the intersection with such speed, the plaintiff says that this was excessive speed under the circumstances. The defendant could not have been paying proper attention if he did not see the plaintiff's vehicle until just immediately before impact. There is no question that the witness's evidence corroborates that of the plaintiff and not that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Counsel for the plaintiff further argues that other vehicles were able to stop in time when the light changed from green to amber, but the defendant apparently either did not see the light change in time, or chose to go through on a late amber light. This could only be that the defendant was not keeping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Counsel for the defendants argues that the plaintiff was negligent if she indeed waited for four seconds to pass after the white van cleared the intersection, it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to then make the turn, that time having eaten up the distance that was between the two vans. She either should have proceeded after the white van passed through the intersection, or else waited until the blue van had passed through, and then made her turn in safety. The defendant claimed that there was an approximately forty feet of distance between him and the white van as they progressed down Nordel Way, and the plaintiff had a continuous observation of both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made an error in judgment according to the defendants and having seen the speed of the defendants' vehicle and that the defendant was going with the flow, she should have waited to make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the defence questions the evidence of the witness, suggesting that it may not be that reliable, given the age and probable driving inexperience of the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defendants' position is that the plaintiff had enough time to be aware that the defendant was going to proceed through the intersection and it was the plaintiff who had ample opportunity to avoid the accident. The defendants' vehicle constituted an immediate hazard, and the plaintiff turned her vehicle into the path of the defendants' vehicle when the defendant was so close as to constitute that hazard. The defence suggests that the plaintiff is 100 per cent liable, that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and that the plaintiff has failed to discharge the onus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Counsel for the defence has referred me to four decisions culminating with Sandhu v. Gill, </w:t>
      </w:r>
      <w:hyperlink r:id="rId248" w:history="1">
        <w:r>
          <w:rPr>
            <w:rFonts w:ascii="arial" w:eastAsia="arial" w:hAnsi="arial" w:cs="arial"/>
            <w:i/>
            <w:color w:val="0077CC"/>
            <w:sz w:val="20"/>
            <w:u w:val="single"/>
            <w:shd w:val="clear" w:color="auto" w:fill="FFFFFF"/>
            <w:lang w:val="en-US" w:eastAsia="en-US" w:bidi="ar-SA"/>
          </w:rPr>
          <w:t>[1999] B.C.J. No. 2742</w:t>
        </w:r>
      </w:hyperlink>
      <w:r>
        <w:rPr>
          <w:rFonts w:ascii="arial" w:eastAsia="arial" w:hAnsi="arial" w:cs="arial"/>
          <w:color w:val="000000"/>
          <w:sz w:val="20"/>
          <w:lang w:val="en-US" w:eastAsia="en-US" w:bidi="ar-SA"/>
        </w:rPr>
        <w:t xml:space="preserve">, Van. Reg. No. B974968 (Burnyeat, J.) He also quoted Mr. Justice Legg in Pacheco v. Robinson </w:t>
      </w:r>
      <w:hyperlink r:id="rId249"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(B.C.C.A.) which confirmed that a driver who is about to make a left hand turn has an obligation not to proceed unless it can be done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in all of these cases, the facts are what ultimately decide the outcome. I found the evidence of the witness, Ms. Sachdeva, very helpful. She had a clear and unobstructed view, her evidence was straightforward, credible and, in my view, very reliable. Mr. Nissinen never said that his view was blocked, but on the other hand there is no explanation as to why he could not see the plaintiff until the accident was imminent. This is puzzling in view of his evidence that the white van had gone through the intersection some seconds before he was able to enter the intersection. There should have been nothing impeding his view of the plaintiff and her vehicle. In my view, Mr. Nissinen was not paying sufficient attention to the lights at the upcoming intersection, and to the traffic around him and ahead of him. I accept the evidence of the plaintiff that a red vehicle travelling in the same direction as Mr. Nissinen had stopped before the crosswalk, safely, at a time when the defendant obviously did not. It appears to me that Mr. Nissinen was going too fast for the conditions, that he failed to stop in time for an amber light, and that he proceeded into the intersection on either a late amber or just as it was turning red. I accept the evidence of the plaintiff with regard to the light, corroborated as it is by the evidence of Ms. Sachdeva.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However, I am unable to find the defendant 100 per cent liable for this accident but, rather, 85 per cent responsible. In my view, Ms. Goodburn, having seen the speed of the defendants' vehicle coming down the incline, should have been alerted that he may not have been able to stop in time, even though the lights were in her favour. She was not in a position to see him put on his brake lights, although it was her impression that he was slowing down. It would have been prudent of her to wait until he stopped, or came almost to a stop, although I agree with the general sentiments expressed in Brucks decision, that a driver is entitled to assume that others will obey the rules of the road. Under the circumstances, I find the plaintiff contributed somewhat to the accident which occurred March 5, 1998, which I would assess at 15 per cent, having found that the defendants were 85 per cent to blame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Costs are awarded in the same proportion,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MORRISON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5"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Grewal v. Singh, [2002] B.C.J. No. 1180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Koenigsberg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22 - 26, 29, 30 and May 1 - 3,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B982820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1180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828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M.V.R. (4th) 103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1080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Amandeep Grewal, plaintiff, and Ricky Singh and Insurance Corporation of British Columbia,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6"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3" w:name="Keywords_16"/>
      <w:bookmarkEnd w:id="11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 Burden of proof — Motor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4" w:name="Case Summary_15"/>
            <w:bookmarkEnd w:id="1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the plaintiff Grewal for injuries arising out of a motor vehicle accident. Grewal alleged that the defendant Singh was driving the vehicle while he slept in the passenger side. He claimed that Singh swerved to avoid an unidentified motorist, who was driving erratically, or that Singh caused the accident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claimed not to have been awake to see what happened. Several friends also testified. Expert accident reconstruction was adduced by the defence, which indicated that there was no other vehicle involved and that Grewal, not Singh, was driving.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5" w:name="Holdings of Court_15"/>
            <w:bookmarkEnd w:id="11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Grewal's testimony, and that of his friends, was not credible. The evidence indicated on a balance of probabilities that there was no other vehicle which caused the accident, so that there was no unidentified motorist responsible. Furthermore, the evidence also established that Grewal, not Singh, was the driver of the vehicle.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6" w:name="Counsel_16"/>
      <w:bookmarkEnd w:id="1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7"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Jon R. Walsh,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Larry I. Baron, for the defendant, Ricky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Andrea Jones, for the defendant, Insurance Corporation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Mark C. Baron, for the third party, Insurance Corporation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7" w:name="Judgment_16"/>
      <w:bookmarkEnd w:id="117"/>
      <w:r>
        <w:pict>
          <v:line id="_x0000_s1108" style="position:absolute;z-index:2517780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8" w:name="KOENIGSBERG J."/>
            <w:bookmarkEnd w:id="118"/>
            <w:r>
              <w:rPr>
                <w:rFonts w:ascii="arial" w:eastAsia="arial" w:hAnsi="arial" w:cs="arial"/>
                <w:b/>
                <w:color w:val="000000"/>
                <w:sz w:val="30"/>
                <w:lang w:val="en-US" w:eastAsia="en-US" w:bidi="ar-SA"/>
              </w:rPr>
              <w:t>KOENIGSBERG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motor vehicle accident which occurred in the early morning hours of August 10, 1996, near the 4900 block of Cambie Street in Vancouver. The plaintiff sustained significant injuries, clearly as a result of the loss of control by the driver of the vehicle and the vehicle colliding with a lamppost and possibly a fire hydrant. The plaintiff's right to the compensation he claims in this action rests on two findings of fact. Was the plaintiff the passenger in the car at the time of the collision and/or was there an unidentified motorist who caused the loss of control of the plaintiff's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action is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pleads that there was an unidentified motorist who negligently entered the lane of the plaintiff's car causing the driver, the defendant Mr. Singh, to lose control of the car. Alternatively, the plaintiff pleads that Mr. Singh, the driver of the plaintiff's car was negligent in failing to take proper steps to avoid the loss of control. The defendant ICBC on behalf of the unidentified motorist pleads that Mr. Grewal was the driver and that there was no unidentified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testified, consistent with his pleading that he was the owner of the car, but was a passenger at the time of the accident and that he was asleep and has no knowledge of what the driver or car was doing before the car collided with something. Nor, the plaintiff testified, did he know how the driver lost control, nor what happened in the car's journey from where control was lost until it collided with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were four witnesses with some firsthand knowledge of what exactly occurred. The plaintiff (with the limitations outlined above), the defendant Singh and two friends of the plaintiff and Mr. Singh, Mr. Sharma and Mr. Paul who were some distance behind the plaintiff's vehicle on Cambie Street at the time of the accident. They all testified that they were following the plaintiff's vehicle from a social gathering in a student residence at UBC, to their respective homes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Bearing further on the issue of what happened to cause the accident and whether Mr. Grewal was the driver or the passenger is the evidence of Dr. Amrit Toor, a mechanical engineer with specific qualifications in accident reconstruction. He prepared a report the purpose of which is to provide a technical analysis of the available evidence to determine who was the operator of the vehicle at the time of the incident. Dr. Toor examined the vehicle 19 days after the accident and again on September 10, 1996, when both Mr. Grewal and Mr. Singh were present and participated in a further examination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other evidence bearing on the issue of who was the driver of the vehicle is the police report of Constable Nurani who attended the scene of the collision shortly after it occurred and his testimony at trial. And the ambulance crew report which was prepared by those attending the scene and who treated Mr. Grewal at the scene and transported him to VGH for further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considered all of the evidence bearing on who was driving the vehicle at the time of the accident and I conclude, that it is much more probable than not that Mr. Grewal was driving the vehicle. I set out below my reasons for coming to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the "eye-witnesses"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reliability of the evidence given by each of the four young men who were present at the scene at the time of the accident is problematic.</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Grewal was cross-examined on a variety of topics relevant to his claim for damages. His evidence in relation to his schooling and employment was generally vague and imprecise. For instance, when attempts were made to pin him down in regard to exactly what his status was in relation to post-secondary education, he was not credible. For example, he said in statements which he acknowledged signing, that he had completed a year at Douglas College. In fact, as he was pressed in cross-examination to admit he has never successfully completed even one course. He gave unbelievable answers as to why he could "believe" he had completed a course in business administration when by his own admission he had failed to attend to write the final examination. This was in 1995-96. He then testified that he never knew what mark or result he obtained in the course until just before trial when his counsel obtained his transcript. He testified in explanation of why he never received his transcript that he had moved three or four times after attending Douglas College in that year. It was pointed out through further cross-examination that he had received other correspondence to the address where he advised he lived at the time of taking the course. It was also subsequently pointed out that he most likely did not move for up to nine to 14 months after the course was over. Further, it was established that the following year, on an application to Douglas College to take two courses in the fall of 1996, that he had re-enrolled in the same course for which he claimed he did not know he had received no credit. His explanations for all of this were at best, careless and indifferent as to the accuracy and truth and at worst, deliberate shading of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similar example of being careless of the truth or deliberately shading the truth related to whether he had employment available to him at the time of the accident which he was unable to take up because of the accident. The plaintiff acknowledged that he had quit work a few months before the accident, for no other reason other than he was tired of working in a pizza place. At his examination for discovery, he said he had been hired at Home Depot before the accident, but had not started working yet. At trial he acknowledged on cross-examination that he had not been hired, but had completed some testing at Home Depot. However, he acknowledged he had not been to an interview. When confronted with the inconsistency, his explanation was that he earlier "believed" he had been "hired" because he had been through some testing and had not been told by Home Depot that he had not been hired. These are just examples of many instances of evidence given by the plaintiff which undermined any confidence one could have in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Having asserted that he was asleep throughout all relevant times relating to the actual accident - the plaintiff could not be cross-examined on what happened. However, although his evidence was that he did not know anything about what happened because he was asleep, he testified on his examination for discovery that he learned about an unidentified motorist being involved, perhaps by overhearing his friends discussing this when the police officer was at the scene. He denied ever talking to the police officer himself. Mr. Grewal did say, on discovery, that he spoke to the ambulance crew in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trial, Mr. Grewal testified the first time he heard anything about what happened in the accident was after he was discharged from the hospital. His three friends were waiting for him at the hospital and he testified they drove him home and told him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None of the three witnesses recalls speaking to the ambulance crew. The ambulance crew record was marked as Exhibit 4 at trial. Mr. Grewal was assessed at the scene as alert and oriented. He recalls speaking to the crew but, at trial, testified that he had no recollection of what was said. On Exhibit 4, Constable Nurani is noted to be the constable at the scene. However, other than his name it is highly unlikely Constable Nurani was the source of any of the information in the ambulance crew record because he would not have known some of the information and the address he had in the police report for Mr. Grewal as the owner of the vehicle was the address which was on the ownership/registration papers from the car which address was out of date. The address on the ambulance report was current.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following information is contained in the ambulance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Chief Complaint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Neck Pain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Mechanism of injury/history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MVA - passenger front vehicle cut-off, spun around and hit post, wearing seat belt 60 kph Pts friends help Pt out of car and into another vehicle c . . . pain down (L) side now. Moving out pain . . . down back constant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Relevant past history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LOC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Healthy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Alcohol 3 x VODKA</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Allergies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penicillin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clear that the plaintiff was the most likely source of the information contained in the report noted above. (As well as other information.) Others either did not or would not know that information. None of the information under "Mechanism of injury" other than "MVA - passenger and front vehicle cut off" was on the basis of the plaintiff's sworn evidence at trial, known to him at the time he was in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he gave all of the information to the ambulance crew and that, how fast the car was going, that it spun around, and hit a post, was information he would only know if he was awake at the time of the accident. The information in the ambulance crew report is inconsistent with Mr. Grewal's evidence he was asleep throughout the incident until he heard a screech and a bang.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One other point was odd. Mr. Grewal testified at trial consistently with his three friends that at the party at UBC, he had three beers. His friends testified that either they did not see him drink at all or they only saw him have a beer. Mr. Grewal had no explanation for how the ambulance crew recorded he had "3 VODKA".</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Mr.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were numerous inconsistencies in Mr. Singh's evidence of what occurred both before the accident and during loss of control of the vehicle. As to why he was driving the plaintiff's car home from UBC, he gave evidence at trial consistent with the other three friends that Mr. Grewal asked him to drive as they approached the car as they were leaving the dorm. Not one of the witnesses gave consistent specific evidence of how the four friends left the dorm and went to their respective vehicles. The knowledge of the two witnesses, Mr. Paul and Mr. Sharma, depended however on each having observed or heard the exchange and having seen Mr. Singh get into the driver's seat or Mr. Grewal get into the passenger seat. Each gave evidence about how they left the dorm entrance, how far they walked to the cars, where each car was parked. None of the evidence was convincing as to any reliable memory of what had actually occurred. However, most troubling was Mr. Singh's evidence that he estimated the cars were parked 15 - 20 spots apart in a parking lot, then, he corrected that upon being questioned about it and said the cars were 15 - 25 feet apart. On cross-examination, he acknowledged that at the time of the examination for discovery he had no recollection of where the cars had been parked.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Singh's evidence regarding what happened at the time of the accident undermines most significantly his credibility and/or the reliability of his evidence that he was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Constable Nurani noted that there were skid marks at the scene, however, the defendant did not recall anything other than applying his brakes. He had no recollection of how he applied his brakes, the direction he steered, the direction the car swerved, whether his brakes locked, or the sound of the screeching tires. He had no recollection of skid marks, nor did he look for any at the scene. Mr. Singh did not know that the impact was to the rear driver's side, even though the wheel well was intruding into the vehicle. He thought it occurred at the rear "somewhere in the middle". He did not recall the window directly behind the driver being broken, despite admitting on cross that he drives in a somewhat reclining, as opposed to an upright, position. The Defendant only recalled the back window breaking in the accident. Mr. Singh testified the car spun. He described hitting a pole, which obviously occurred. Any bystander, let alone the driver, could reasonably be expected to give the same evidence. Mr. Singh says that he was neither tired nor drunk, nor did he sustain any injury to his head. He neither reported suffering from shock nor was he treated for it. Thus, his inability to describe in any detail what he did as the driver is inconsistent with his being the driver.</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Paul's and Mr. Sharma's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Paul had numerous inconsistencies in his evidence at trial as compared to his statement. However, his evidence which is consistent with Mr. Grewal being in the driver's seat is the most significant in undermining the reliability of his evidence on this issue. Mr. Paul testified at trial he did not hear or observe anything which explained why Mr. Singh was driving the plaintiff's car. Overall, Mr. Paul's evidence was the most vague of all the witnesses. He testified, however, that he and Mr. Sharma went to assist their friends after the car crashed into the pole. He testified he had observed the plaintiff's car put on its brake lights a few times as a white Honda Prelude pulled in front of it and then the back wheels of the plaintiff's car rose in the air and it spun around. However, he did not mention anything about having seen this when he gave his statement just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testified he had no recollection of seeing the defendant Singh get out of the car, and he had no explanation as to why he and Mr. Sharma went to the passenger side first to help their friends when the only part of the car which was damaged was the back and driver's side. Significantly, Mr. Paul did not remember seeing Singh attempt to drive the car away from the pole, but both Mr. Sharma and Mr. Singh testified that Mr. Singh did try to move the car and it did move several feet from the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Sharma's evidence on this point undermines his reliability significantly. He testified that Mr. Singh jumped out of the driver's seat before he and Mr. Paul got to the car. But Mr. Singh testified he and Mr. Grewal were still in the car when their friends got to them. But then Mr. Sharma also testified that Mr. Singh tried to move the car but he and Mr. Paul told him to stop and he only moved it a few feet. Mr. Paul said he only remembers rushing to the car to get their friends out because the car was "smoking".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Sharma's credibility was further undermined when he was cross-examined on his testimony at trial that on the way to UBC the evening of the accident the friends had not stopped for a drink. When his written statement, taken closer in time to the accident, was put to him in which he said the four friends had stopped somewhere on the way to Vancouver for a drink, Mr. Sharma said he was wrong in his statement. He had no explanation for why he would have described an event which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Overall, the strong impression left by the evidence given and the manner of giving it, of all four "eye witnesses", was that they had discussed their evidence among themselves and its reliability suffered accordingly. The four only agreed or had some evidence to give on two points. All four agreed Mr. Grewal was the passenger. And, all but Mr. Grewal testified to seeing a white Honda Prelude cut off the Grewal vehicle. All four young men displayed a remarkable nonchalance when contradicting evidence to that which they had just given was put in front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put no weight on any of the evidence given by any of the four, when evidence of a more objective nature was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crucial points such as who was driving and the presence of an unidentified driver in a white Honda Prelude causing the accident, I do not believe any of the four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Amrit S. Toor, P. Eng., provided an expert report dated September 20, 1996. The defendant ICBC retained Dr. Toor to provide an accident analysis and more specifically to try to determine the operator of the vehicle at the time of the accident by a technical or engineering analysis of the available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data utilized was the statement of Amandeep Grewal, the plaintiff, dated August 13, 1996; one Polaroid photograph of Ricky Singh, the other person in the car with the plaintiff at the time of the accident, and two Polaroid photographs of Amandeep Grewal.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well, Dr. Toor examined the Grewal car on August 29, 1996, at the ICBC salvage yard and again on September 10, 1996, when both Grewal and Singh were present and each was photographed occupying the front driver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Toor's conclusion from analyzing the damaged vehicle in relation to engineering principles and the injuries received by Mr. Grewal and the absence of injuries to Mr. Singh is found at p. 3 of his report under "CONCLUSIONS"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to the Grewal vehicle was analysed. It was evaluated that the vehicle sustained an EBS of about 30 km/h (ie. as if driven into a rigid barrier at about 30 km/h).</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impact to the rear of the vehicle the occupants of the Grewal vehicle would have tended to travel predominantly to the rear and slightly to the left of the vehicle.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protruding sharp edges of the inner body panels adjacent to the operator's seat back coupled with the broken window in this region suggests that Mr. Grewal's injuries resulted while he was in the operator's seat.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contact related injuries to Mr. Singh are most consistent with him being the passenger in the Grewal vehicle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did retain an expert engineer as well. Plaintiff's counsel chose not to put in evidence that report. Counsel advised the court that both engineers were under a mistaken assumption that a scar of some length on the side of the plaintiff's neck had been caused by the accident of August 10, 1996. Both made that assumption apparently because of the plaintiff's statement that he had received 13 stitches to his neck following the accident. The laceration (or scar therefrom) in fact was quite old. The plaintiff testified he was unaware of this scar on his neck. Not until after he received both expert reports and shared their conclusions with his parents as to how he could have received such a laceration from the dynamics of his body and the car interior structure and the forces from the accident, did his parents tell him he received the laceration at the age of four from a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Despite the fact that the defence intended to offer the Toor report for what it contained that was untainted by the mistaken assumption - the plaintiff chose not to offer the plaintiff's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significant challenge to the evidence of Dr. Toor was made. In his evidence, at my request, Dr. Toor expanded, by way of clarification, his opinion on the momentum and direction of flying tempered glass. Defence counsel for Mr. Singh strongly objected to the court relying on or even considering certain of the evidence given in response to the court's questions of Dr. Toor. After reflection, I ruled that the defence might be prejudiced by some of the answers and thus I would not consider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accept Dr. Toor's evidence in his report and give great weight to certain of his conclusions, because despite cross-examination and vigorous argument two pieces of evidence and the inferences which could reasonably be drawn from them in my view are compelling.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First, Dr. Toor's conclusions that both the driver and passenger would travel, upon impact, both slightly backward and slightly to the left. The evidence from Mr. Grewal and Mr. Singh that neither was dislodged from his seat by the impact except to have moved slightly up or down in the seat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Toor's evidence that upon examination neither seat was completely broken and the placement of the seats backward and slightly rotated (as can be seen in the exhibited photographs) places both the passenger and the driver still within the forward part of the car throughout impact. These observations coupled with Dr. Toor's evidence as set out in his report at p. 3, para 2, and only slightly clarified at trial, that he had considered the likelihood of injury from flying tempered glass. Only the hatch-back window and the driver side back window were shattered. Dr. Toor noted shattered glass was found through the rear compartment of the vehicle. He also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when tempered glass fractures, it tends to fragment into small cubes. It is unlikely that glass fragments of this size would contain sufficient momentum to cause a "13 stitch" laceration to Mr. Grewal's neck as they simply do not possess enough momentum. Thus, injuries resulting from tempered glass fracturing more typically consist of multiple small punctures, "pin pricks", . . . Thus, it is unlikely that flying tempered glass would directly produce the laceration observed on Mr. Grewal's neck. . . If Mr. Grewal was in the operator's seat then he would have been in close proximity to the fragmenting rear left window. Additionally the impact forces dictate that Mr. Grewal would have tended to travel rearward and to the left, and into contact with the damaged left B-pillar region. Such motion would put the left side of Mr. Grewal's neck in close proximity both to the fragmenting window and to the moving interior structures which may press this glass against his skin. If Mr. Grewal was seated in the passenger seat, there would have been a greater distance between Mr. Grewal's neck and the fragmenting glass and no interior structures would have been expected to contact the left side of Mr. Grewal's neck. Thus, it is highly likely that Mr. Grewal was in the operator's seat at the time of this impact.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Singh's lack of contact injuries suggest that he was seated away from the glass and sharp surfaces of the vehicle interior, and was not exposed (or only minorly exposed) to the flying glass. Based on the above discussion, it is reasonable to conclude that Mr. Grewal was the operator of the Grewal vehicle and Mr. Singh was the front passenger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Dr. Toor stated he would not have expected either the driver or the passenger to receive a laceration. He hypothesized how it was possible for Mr. Grewal to receive a laceration of the type he mistakenly assumed he had received, and of course it was only possible if he was the driver. However, all of his evidence relating to flying glass puncture wounds was more consistent with such wounds being received by the person closest to the broken window. That was indisputably the driver. Thus, the fact that Mr. Singh received NO wounds of any kind and Mr. Grewal received sufficient puncture wounds to require 13 stitches to his neck and two to his left cheek and the removal of imbedded glass fragments is compelling evidence that he was in the driver's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Mr. Singh presented many speculative arguments as to how the accident might have happened or how the bodies might have moved within the vehicle, as to how the glass might have shattered and travelled, etc. None of these suggestions was put to Dr. Toor. Some plainly defied common sense, some were speculatively interesting - but none could contradict the basic opinion evidence based upon the actual observations, inferences therefrom and conclusions given by Dr. Toor, when none had been submitted to him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Finally, there was one piece of evidence based upon Dr. Toor's observations that was consistent with Mr. Grewal being the driver. On the second visit to the damaged vehicle on September 10, 1996, with both Mr. Grewal and Mr. Singh present, Dr. Toor asked each to sit in the driver's seat. Dr. Toor had marked with chalk the position of the seat in its tracks, prior to either getting in the car. Mr. Singh got in first and moved the seat forward. Mr. Singh is several inches shorter than Mr. Grewal. (When giving evidence, Mr. Singh testified he always adjusts the seat when he gets into a car.) Dr. Toor noted that Mr. Singh pushed the seat back when he got out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Grewal then got in the driver's seat and did not adjust the seat. While this evidence is not of great weight since the seat could have been moved by someone at the salvage yard or when the car was towed - it is nevertheless a suggestive piece of evidence when put with all the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result, considering all the evidence before the court, I find it most probable that Mr. Grewal was the driver of the vehicle at the time of the accident. Thus, the plaintiff has failed to prove on a balance of probabilities that Mr. Singh was driving negligently in relation to an unidentified motorist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 of the Unidentified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have considered the issue of whether there could be a finding that the accident was caused by an unidentified motorist or was caused by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Grewal as the driver in relation to an unidentified driver. I am unable to find, on evidence I can credibly accept, that there was an unidentified driver who caused or contributed to this accident. The evidence that there was an unidentified driver all came from the four young men - all of whom I have found I am unable to give much credence to their evidence of what happened that early morning of August10,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addition to the reasons why each lacked credibility in relation to who was driving or what happened - I rely on two pieces of evidence, both of which undermine further any evidence given by any of the four as to whether there was an unidentified driver who caused the accident. First, overall, the descriptions given as to how a white Honda Prelude came speeding up the left lane passing first the car in which were Mr. Sharma and Mr. Paul, then passing the Grewal vehicle - the description of how it suddenly cut in front of Mr. Grewal's vehicle causing Mr. Singh, as the three witnesses testified, to brake so suddenly and sharply that he lost control, is difficult to understand. All of the witnesses testified that the white Honda did not touch the Grewal vehicle and that it kept going ahead of the Grewal vehicle in the centre lane. The details of the descriptions vary only slightly, witness to witness, but they are vague and do not have a ring of truth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Most importantly however was Mr. Grewal's evidence deposed to in an affidavit, that Mr. Sharma and Mr. Paul did not see the accident. When the affidavit was produced to Mr. Grewal at trial, he acknowledged that he had sworn it. His explanation in the face of their testimony that they had seen it, was that he had never asked them if they saw the accident. The fact that this would be inconsistent with his sworn statement that they had not seen it did not seem to occur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Finally, Constable Nurani's evidence is a minor factor for consideration. He arrived at the scene after the accident. (How long after is not known but it was likely minutes, not hours.) He had no notes of anyone telling him of an unidentified motorist. He testified he may have been told it but did not consider it sufficiently probable to note or to follow it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Constable Nurani put in his notes that he believed the two cars were drag-racing. He testified however, that he had no solid evidence of drag-racing - so he ticketed Mr. Singh (who identified himself as the driver) with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Constable Nurani's evidence is certainly not of great weight, but it is more consistent with there having been no unidentified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Finally, the pleadings of the plaintiff are inconsistent with a finding, or even a consideration,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Mr. Grewal as the driver and an unidentified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result, the plaintiff has failed to prove, on a balance of probabilities that an unidentified motorist caused or contributed to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dismiss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parties have liberty to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KOENIGSBERG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9"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Jackson v. King Estate, [2006] B.C.J. No. 1043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26 - 27 and December 5 - 7,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A963320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1043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749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149 A.C.W.S. (3d) 529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Thomas Laurence Jackson, Pamela Joan Jackson, and Robert Michael Jackson, petitioners, and Malcolm Graeme King, Charles Derek Lewendon Foxall and John Pankratz, Executors of the Estate of Robert Laurence Jackson, deceased,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0"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9" w:name="Keywords_17"/>
      <w:bookmarkEnd w:id="119"/>
      <w:r>
        <w:rPr>
          <w:rFonts w:ascii="arial" w:eastAsia="arial" w:hAnsi="arial" w:cs="arial"/>
          <w:b/>
          <w:color w:val="000000"/>
          <w:sz w:val="20"/>
          <w:lang w:val="en-US" w:eastAsia="en-US" w:bidi="ar-SA"/>
        </w:rPr>
        <w:t>Wills, estates and trusts law — Executors and administrators — Compensation — Entitlement — Petition by beneficiaries for declaration that former executors of estate, and their law firm, were not entitled to claim for fees and disbursements dismissed — Evidence did not support allegation that former executors failed to advise deceased of inclusion and effect of charging clause — The deceased was a sophisticated businessman that knew and approved contents of will.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0" w:name="Case Summary_16"/>
            <w:bookmarkEnd w:id="1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the beneficiaries, the Jacksons, for a declaration that the respondents, King, Foxall and Pankratz, the former executors of the Jackson Estate, were not entitled to claim for any accounts or bills rendered by King's law firm, or any fees and disbursements incurred after a specified date -- Three years prior to the passing of the deceased, King, the solicitor for the deceased, provided a fresh will with a newly inserted charging clause that provided for payment for solicitors or accountants that acted as trustee -- The parties became embroiled in legal proceedings that resulted in the removal of the respondents as executors of the estate -- In the within action, the petitioners alleged that the inclusion of the charging clause was self-dealing that breached fiduciary duties and duties of care to the petitioners -- The petitioners argued that King did not discuss the charging clause with the deceased, nor disclosed that there was a conflict of interest -- Prior to the passing of accounts, the Registrar sought an opinion regarding the entitlement of the former executors to launch a claim for payment of the fees in question -- HELD: Petition dismissed -- It was not established that the charging clause was not fully explained to the deceased, or that there was a failure to disclose a material fact -- This was evidenced by records of discussions between King and his partners, members of the firm and the deceased, and King's usual practice -- The deceased was a sophisticated businessman that had the requisite capacity and knew and approved the contents of the will -- Thus, there was no breach of a legal or ethical duty by King -- The Registrar was duly provided with the opinion sought.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1" w:name="Legislation Cited_12"/>
      <w:bookmarkEnd w:id="1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1"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32, Rule 32(9)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Trustee Act, </w:t>
      </w:r>
      <w:hyperlink r:id="rId264" w:history="1">
        <w:r>
          <w:rPr>
            <w:rFonts w:ascii="arial" w:eastAsia="arial" w:hAnsi="arial" w:cs="arial"/>
            <w:i/>
            <w:color w:val="0077CC"/>
            <w:sz w:val="20"/>
            <w:u w:val="single"/>
            <w:shd w:val="clear" w:color="auto" w:fill="FFFFFF"/>
            <w:lang w:val="en-US" w:eastAsia="en-US" w:bidi="ar-SA"/>
          </w:rPr>
          <w:t>R.S.B.C. 1996, c. 464, s. 86</w:t>
        </w:r>
      </w:hyperlink>
      <w:r>
        <w:rPr>
          <w:rFonts w:ascii="arial" w:eastAsia="arial" w:hAnsi="arial" w:cs="arial"/>
          <w:color w:val="000000"/>
          <w:sz w:val="20"/>
          <w:lang w:val="en-US" w:eastAsia="en-US" w:bidi="ar-SA"/>
        </w:rPr>
        <w:t>, s. 99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2" w:name="Counsel_17"/>
      <w:bookmarkEnd w:id="1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Petitioners: G.F. Gregory &amp; G.H. Dabbs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R.R.E. DeFilippi &amp; S.H.S Stephenson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3" w:name="Judgment_17"/>
      <w:bookmarkEnd w:id="123"/>
      <w:r>
        <w:pict>
          <v:line id="_x0000_s1113" style="position:absolute;z-index:2518302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4" w:name="BURNYEAT J._1"/>
            <w:bookmarkEnd w:id="124"/>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Petitioners seek an order pursuant to ss. 86 and 99 of the ,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 xml:space="preserve"> (""), Rule 32 of the Rules of Court and the inherent jurisdiction of the Court for a declaration that the Respondents in any claim respecting the Estate of Robert Laurence Jackson are not entitled to claim for: (a) any accounts or bills rendered by Douglas, Symes &amp; Brissenden ("DSB"); or (b) any fees or disbursements incurred after July 1, 1996 or such other date as shall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the context of the passing of accounts of the Respondents as the former Executors of the Estate of Robert Laurence Jackson, ("Former Executors"), the Registrar of the Court has sought an opinion pursuant to Rule 32(9)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regarding the following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claim respecting the estate of Robert Laurence (a.k.a. Mike) Jackson are the former Executors entitled to advance any claim on account of: (a) any accounts or bills rendered by Douglas Symes &amp; Brissenden; or (b) any fees or disbursements incurred after July 1, 1996 or such other date as Mr. Justice Burnyeat shall determine; or (c)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King was a solicitor and had acted for Mr. Robert Laurence Jackson for many years including the preparation of his wills. On January 26, 1990, Mr. King forwarded what he referred to as "your fresh Will" ("1990 Will") to Mr. Jackson. The letter stated: "I have drawn it in a final form, ready for you to sign, as I believe it is in accordance with your wishes." After setting out what he described as the "basic scheme of the fresh Will" which dealt with a new distribution of the estate of Mr. Jackson, Mr. King then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other significant changes in the Will. However, you will note a slight changes of wording in some of the administrative clauses. Clause 7 has been added. When you receive the Will, please give me a call and I can go over the changes with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Executors and Trustees under the 1990 Will were Thomas Laurence Jackson, C. Derek L. Foxall, and Mr. King. Thomas Laurence Jackson was the son of Mr. Jackson, Mr. Foxall was the long-time accountant of Mr. Jackson and, as indicated above, Mr. King was the long-time solicitor for Mr.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paragraph 7 ("Charging Clause") of the 1990 Will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DECLARE that any trustee of this my Will being a solicitor or chartered accountant shall be entitled to charge and be paid in addition to remuneration for acting as a trustee of this my Will all usual professional and other charges for business transacted, time spent and acts done by him or any partner of his or by any employee of his in connection with the trusts of this my Will including acts which a trustee not being a solicitor or chartered accountant could have done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That Charging Clause had not been present in the previous wills of Mr. Jackson. There were subsequent changes to the 1990 Will. The will that was ultimately submitted for probate was dated March 26, 1990 ("Will"). Under the Will, the Charging Clause which had previously been paragraph 7 became paragraph 10. While Messrs. King and Foxall remained as Executors under the Will, John Pankratz, a banker was substituted for Thomas Laurence Jackson, as the third Executor.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Under the Will, the second wife of Mr. Jackson (Winnifred Ann Jackson) ("Ann") was granted a life interest in the family home as well as a one-quarter interest in the Estate with the three children of Mr. Jackson, being Robert Michael Jackson ("Mike"), Thomas Laurence Jackson ("Tom") and Pamela Joan Jackson ("Pamela") also receiving a one-quarter interest in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Jackson died on February 21, 1993. The Will was accepted for probate on May 10,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PROCEEDINGS RELATING TO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August 4, 1993, these Petitioners commenced Action Number A933863 ("Ann Jackson Action") claiming that the Will had been executed under the undue influence of Ann and making claims pursuant to the </w:t>
      </w:r>
      <w:r>
        <w:rPr>
          <w:rFonts w:ascii="arial" w:eastAsia="arial" w:hAnsi="arial" w:cs="arial"/>
          <w:b/>
          <w:i/>
          <w:color w:val="000000"/>
          <w:sz w:val="20"/>
          <w:lang w:val="en-US" w:eastAsia="en-US" w:bidi="ar-SA"/>
        </w:rPr>
        <w:t>Wills Variation Act</w:t>
      </w:r>
      <w:r>
        <w:rPr>
          <w:rFonts w:ascii="arial" w:eastAsia="arial" w:hAnsi="arial" w:cs="arial"/>
          <w:color w:val="000000"/>
          <w:sz w:val="20"/>
          <w:lang w:val="en-US" w:eastAsia="en-US" w:bidi="ar-SA"/>
        </w:rPr>
        <w:t>. The Ann Jackson Action was settled in August, 1996 when Ann gave up her interest to the family home, to about $100,000.00 of the remaining securities that Mr. Jackson owned at the time of his death, and all other claims to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9, 1996, this proceeding was commenced in order to remove "for cause" the Former Executors. On December 10, 1996, these Petitioners were substituted as Administrators of the Estate of Mr. Jackson. That Order was made without any findings of fact respecting the alleged misconduct of the Former Executors.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March 24, 1998, these Petitioners commenced Action Number C981493 (Vancouver Registry) against the Former Executors claiming that they had been negligent in their administration of the Estate of Mr. Jackson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In view of the commencement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passing of accounts of the Former Executors had been adjourned generally by consent. The original Statement of Claim contained no complaint about the Charging Clause. However, paragraph 69 of the April 23, 1998 Statement of Claim contained the following allegation under "Other Misconduct":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Former Executors managed the Estate in a wilfully and/or grossly incompetent manner calculated to generate excessive legal fees for King's own law firm, and other professional fees and in breach of their fiduciary duties of good faith to the Beneficiaries.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Examples of mismanagement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Former Executors in addition to the above include: ....</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abusing the authority granted them under the Will to hire outside legal counsel and accountants so as to incur unnecessary and exorbitant legal and accountants' fees to the detriment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was alleged that the Former Executors owed "duties of care and fiduciary duties to the Beneficiaries and to the estate including ... duties to ... abstain from self-dealing." In an April 6, 2004 Motion, the plaintiffs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sought leave to amend the Statement of Claim to add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Previous Will and the early drafts of the Will in Issue contained no provision that allowed for executors to charge professional and other charges in addition to executors' fees. In a late draft of the Will in Issue, Mr. King inserted a provision that permitted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him to charge professional fees in addition to executors' fees the "Charging Clause"). He enclosed that late draft with a letter dated January 26, 1990 in which he explained some changes and said that "there are no other significant changes in the will". In so doing, he misrepresented the addition of the Charging Clause. Mr. King failed in his fiduciary duties to advise the Testator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(Mr. King) was in a conflict of interest;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be making a profit from the fees Douglas Symes &amp; Brissenden charged to the Estate his fees as executor;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be making a profit from the fees Douglas Symes &amp; Brissenden beyond the payment for the work he, personally, did;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he (Mr. King) was a partner in Douglas Symes &amp; Brissenden meant he would no longer be unbiased in supervising the legal work that was done for the Estate and the fees charged for that work;</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ascertain that the Testator understood the effect and implications of the charging clause.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the charging clause is void and thus ineffective to permit Mr. King to charge professional fees for himself or his firm in connection with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Chambers Brief which was presented to the Court in support of the application which was heard on May 21, 2004, the present counsel for the New Executors stated:</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passing of accounts, the Former Executors will have to prove - as part of their case - that there was a valid charging clause. They will have to show - as part of their case - that Mr. King properly explained the effect of the charging clause to Mr. Jackson. The Former Executors - as part of their case - will have to explain and justify the propriety of their fees, supervision of the work done by lawyers at Douglas Symes &amp; Brissenden and their conduct. The fact that they do not have their documents (if that is the case) will not relieve them of any of their evidentiary onuses.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that the proposed amendments in this case do is move the determination of the propriety of the charging clause and the Former Executors' alleged misconduct to this lawsuit from the passing of accounts. Given that the court is going to be hearing most of this evidence in any event dealing with these matters in this action only makes sense. Moving these issues from the passing of accounts proceeding is very different from moving the entire passing of accounts proceeding into this one; the Plaintiffs' motion will not require the court to take detailed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opposition, counsel for Mr. King submitted that the issue of the validity of the Charging Clause was a new cause of action which was "... statute barred and ... entirely unrelated to these proceedings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his May 21, 2004 Reasons for Judgment, Bauman J. quoted from paragraph 47 of the argument of the Plaintiffs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and then came to the conclusion that the amendments sought should not be 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extent, then, that these allegations and the relief sought in the noted paragraphs of the proposed amendments, to the extent that they are already raised in the passing of accounts proceeding, in my view that is where they should stay. The plaintiffs vigorously and successfully resisted the joinder of these two actions, that is that action with this action. And seeking parallel relief in two proceedings is, of course, an abuse of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that those claims in the noted paragraphs of the proposed amendments are new causes of action and, as I take the plaintiffs' submissions, they are not intended to be, but to the extent they might be so construed, I accept Mr. Hudson's submissions based on </w:t>
      </w:r>
      <w:r>
        <w:rPr>
          <w:rFonts w:ascii="arial" w:eastAsia="arial" w:hAnsi="arial" w:cs="arial"/>
          <w:b/>
          <w:i/>
          <w:color w:val="000000"/>
          <w:sz w:val="20"/>
          <w:lang w:val="en-US" w:eastAsia="en-US" w:bidi="ar-SA"/>
        </w:rPr>
        <w:t>Letvad</w:t>
      </w:r>
      <w:r>
        <w:rPr>
          <w:rFonts w:ascii="arial" w:eastAsia="arial" w:hAnsi="arial" w:cs="arial"/>
          <w:color w:val="000000"/>
          <w:sz w:val="20"/>
          <w:lang w:val="en-US" w:eastAsia="en-US" w:bidi="ar-SA"/>
        </w:rPr>
        <w:t>, that in light of the long undue delay, the plaintiffs cannot overcome the presumption of prejudice which arises in light of the allegation that the limitation period in respect of the causes of action has passed.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circumstances of the </w:t>
      </w:r>
      <w:r>
        <w:rPr>
          <w:rFonts w:ascii="arial" w:eastAsia="arial" w:hAnsi="arial" w:cs="arial"/>
          <w:b/>
          <w:i/>
          <w:color w:val="000000"/>
          <w:sz w:val="20"/>
          <w:lang w:val="en-US" w:eastAsia="en-US" w:bidi="ar-SA"/>
        </w:rPr>
        <w:t>Letvad</w:t>
      </w:r>
      <w:r>
        <w:rPr>
          <w:rFonts w:ascii="arial" w:eastAsia="arial" w:hAnsi="arial" w:cs="arial"/>
          <w:color w:val="000000"/>
          <w:sz w:val="20"/>
          <w:lang w:val="en-US" w:eastAsia="en-US" w:bidi="ar-SA"/>
        </w:rPr>
        <w:t xml:space="preserve"> reasoning and other like cases, in my view to the extent they are new causes of action, it's not just and convenient to join them with this particular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parties settled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in 2004 pursuant to an agreement, most of which remains confidential and, therefore, not available for review on this application. As part of the consideration for obtaining a release, the Former Executors waived any claims that would have for fees but did not give up their claim for any disbursements incurred while the Estate was under their administration:</w:t>
      </w:r>
      <w:r>
        <w:rPr>
          <w:rFonts w:ascii="arial" w:eastAsia="arial" w:hAnsi="arial" w:cs="arial"/>
          <w:sz w:val="20"/>
          <w:lang w:val="en-US" w:eastAsia="en-US" w:bidi="ar-SA"/>
        </w:rPr>
        <w:cr/>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Paragraph 2 hereof, nothing in this Agreement or the fact that the Former Executors have waived and released the Plaintiffs from the claim for Executors' Fees is or shall be deemed to be a bar or impairment to:</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seeking, through such legal proceedings as they see fit, repayment from Douglas, Symes &amp; Brissenden of the fees or disbursements (plus interest) that have been paid by the Estate prior to this date, on the express agreement and understanding that should any repayment be directed or ordered against any one or more of the Former Executors, the Plaintiffs will take no steps, in execution or otherwise, as against any one or more of the Former Executors; or,</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Former Executors continuing the Pending Proceedings, including the Passing of Accounts Proceedings, and claiming any and all remedies and relief to which they may be entitled against the Plaintiffs, both in their personal capacities and as administrators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1996, the Former Executors commenced Action No. 205588 (Vancouver Registry) and obtained an October 17, 1996 Order that their accounts as Executors of the Estate of Mr. Jackson be "... audited, taken and passed before the Registrar of this Honourable Court in the City of Vancouver, in the Province of British Columbia." The passing of accounts of the Former Executors has been delayed as a result of this application on behalf of the Petitioners and as a result of the request of the Registrar for an opinion pursuant to Rule 32(9).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CREATION OF THE 1990 WILL AND THE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receiving initial instructions from Mr. Jackson in January of 1990, Mr. King made notes on a copy of the existing will and requested that a paralegal in DSB draft a new will. A partner of DSB requested that the paralegal provide her with the draft so that she could "briefly review" it. The time records of DSB indicate that this partner undertook the revision of the previous will on January 22 (42 minutes), January 23 (6 minutes), and January 26 (18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 January 23, 1990 memorandum to Mr. King, the partner attached a "fresh draft" noting in part: "I have taken the liberty of updating paragraphs 2 and 3 so that it conforms with our modern precedent format. I have also added a charging clause in paragraph 7." In the time records of DSB, there is a notation beside the January 26, 1990 time entry of the Partner indicating: "Conference with M.G. King re Will; expand charging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1990 Will was then forwarded to Mr. Jackson in the January 26, 1990 letter from Mr. King. The billing records of DSB indicate that Mr. King had telephone conversations with Mr. Jackson on February 19 (12 minutes) and February 20 (18 minutes). Mr. Jackson initiated the first telephone call and Mr. King initiated the second telephone call. Unfortunately, there is no detail in the billing records of DSB or the file notes of Mr. King about what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Affidavit, Mr. King sets out his practice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it was my practice to discuss and explain to any testator the primary clauses in a will I had prepared before it was executed by that testator, except for the obvious dispositive clauses of little complexity, even if that will did not contemplate that I might be the or one of the executors. And I always answered any questions asked of me about the clauses in a will. I have no reason to think that I did not discuss and explain the Will, including the charging clause, to the Deceased during the period between January to March of 1990, and have no reason to think that the Deceased was not aware of the contents of the Will, including the charging clause, when he executed it on March 26,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King was cross-examined on the contents of his Affidavit and the following questions were asked of him and answered by him during that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have a standard letter that, in your practice, you sent out to clients explaining the boilerplate clauses in a Will?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whether I would say it was a standard letter, but it certainly was my practice to, when, after taking instructions, preparing a draft, of sending out the draft with a summary of the provisions of the Will. In referring to some of the so-called boilerplate provisions, I would generally explain that in, in a general way, what they were, what they were about. Certainly invited questions and requests for information. And often, you know, conversations ensued where I would try to explain those more fully. I'm now talking of generally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Hm-hmm?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what my practice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if we look at your letter of January 26th, 1990, we can tell that the letter that you sent to Mike Jackson, enclosing the Will that you thought was in final form, has no explanation of the boilerplate provisions. Will you agree with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time records indicate that Mr. King travelled to Sechelt on February 22, 1990 to discuss the 1990 Will with Mr. Jackson and to then redraft the 1990 Will presumably making the changes requested by Mr. Jackson. Mr. King made notes on February 22, 1990. There is nothing in those notes to indicate that the Charging Clause was discussed with Mr.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 handwritten March 8, 1990 memorandum to the partner, Mr. King requested a number of changes to what had previously been drafted. There is nothing in that memorandum to indicate that there had been a discussion with Mr. Jackson regarding the Charging Clause. The partner provided Mr. King with the "revised draft Will" by March 13, 1990 memorandum. The billing records of DSB indicate that Mr. King had a telephone conversation with Mr. Jackson on March 22 (12 minutes). There is no indication in the file notes regarding what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Will was executed by Mr. Jackson on March 26, 1990. None of the Petitioners or the Former Executors witnessed the Will. On April 23, 1990, an account was rendered to Mr. Jackson for $1,400 plus $582.10 for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Petitioners submit that the Former Executors should be disentitled from relying on the Charging Clause because Mr. King breached his fiduciary duty owing to Mr. Jackson concerning the Charging Clause as: "... not only did Mr. King not direct Mike's attention to this clause; he directed Mike's attention away from it." The Petitioners also submit that the Charging Clause constitutes a gift to Mr. King thereby constituting a profiting from the trust which cannot be supported.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Former Executors submit that the payment of fees to DSB under the Charging Clause does not constitute a gift and that amounts billed by DSB to the Former Executors should be allowed as disbursements in the passing of accounts of the Former Executors because the Charging Clause permits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Petitioners submit that the general principle is that, where a lawyer fails to disclose a material fact to his client in circumstances where his interests conflict with the interests of his client, the law deems irrebuttably that disclosure would have altered the actions of the client. In </w:t>
      </w:r>
      <w:r>
        <w:rPr>
          <w:rFonts w:ascii="arial" w:eastAsia="arial" w:hAnsi="arial" w:cs="arial"/>
          <w:b/>
          <w:i/>
          <w:color w:val="000000"/>
          <w:sz w:val="20"/>
          <w:lang w:val="en-US" w:eastAsia="en-US" w:bidi="ar-SA"/>
        </w:rPr>
        <w:t>Ruxton v. Kelly, Peters &amp; Associates Ltd.</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(1984), 58 B.C.L.R. 317</w:t>
        </w:r>
      </w:hyperlink>
      <w:r>
        <w:rPr>
          <w:rFonts w:ascii="arial" w:eastAsia="arial" w:hAnsi="arial" w:cs="arial"/>
          <w:color w:val="000000"/>
          <w:sz w:val="20"/>
          <w:lang w:val="en-US" w:eastAsia="en-US" w:bidi="ar-SA"/>
        </w:rPr>
        <w:t xml:space="preserve"> (B.C.S.C.), Macdonald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additional consideration requires comment. In situations where a fiduciary has failed to disclose a material fact, it has been presumed that disclosure would have altered the plaintiff's actions. The following appears in </w:t>
      </w:r>
      <w:r>
        <w:rPr>
          <w:rFonts w:ascii="arial" w:eastAsia="arial" w:hAnsi="arial" w:cs="arial"/>
          <w:b/>
          <w:i/>
          <w:color w:val="000000"/>
          <w:sz w:val="20"/>
          <w:lang w:val="en-US" w:eastAsia="en-US" w:bidi="ar-SA"/>
        </w:rPr>
        <w:t>Brickenden v. London Loan and Savings Co.</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[1934] 3 D.L.R. 465</w:t>
        </w:r>
      </w:hyperlink>
      <w:r>
        <w:rPr>
          <w:rFonts w:ascii="arial" w:eastAsia="arial" w:hAnsi="arial" w:cs="arial"/>
          <w:color w:val="000000"/>
          <w:sz w:val="20"/>
          <w:lang w:val="en-US" w:eastAsia="en-US" w:bidi="ar-SA"/>
        </w:rPr>
        <w:t xml:space="preserve"> (P.C.) (on appeal from </w:t>
      </w:r>
      <w:hyperlink r:id="rId267" w:history="1">
        <w:r>
          <w:rPr>
            <w:rFonts w:ascii="arial" w:eastAsia="arial" w:hAnsi="arial" w:cs="arial"/>
            <w:i/>
            <w:color w:val="0077CC"/>
            <w:sz w:val="20"/>
            <w:u w:val="single"/>
            <w:shd w:val="clear" w:color="auto" w:fill="FFFFFF"/>
            <w:lang w:val="en-US" w:eastAsia="en-US" w:bidi="ar-SA"/>
          </w:rPr>
          <w:t>[1933] 3 D.L.R. 161</w:t>
        </w:r>
      </w:hyperlink>
      <w:r>
        <w:rPr>
          <w:rFonts w:ascii="arial" w:eastAsia="arial" w:hAnsi="arial" w:cs="arial"/>
          <w:color w:val="000000"/>
          <w:sz w:val="20"/>
          <w:lang w:val="en-US" w:eastAsia="en-US" w:bidi="ar-SA"/>
        </w:rPr>
        <w:t xml:space="preserve"> (S.C.C.)):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a party, holding a fiduciary relationship, commits a breach of his duty by non-disclosure of material facts, which his constituent is entitled to know in connection with the transaction, he cannot be heard to maintain that disclosure would not have altered the decision to proceed with the transaction, because the constituent's action would be solely determined by some other factor, such as the valuation by another party of the property proposed to be mortgaged. Once the court has determined that the non-disclosed facts were material, speculation as to what course the constituent, on disclosure, would have taken is not relevant."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position was adopted in </w:t>
      </w:r>
      <w:r>
        <w:rPr>
          <w:rFonts w:ascii="arial" w:eastAsia="arial" w:hAnsi="arial" w:cs="arial"/>
          <w:b/>
          <w:i/>
          <w:color w:val="000000"/>
          <w:sz w:val="20"/>
          <w:lang w:val="en-US" w:eastAsia="en-US" w:bidi="ar-SA"/>
        </w:rPr>
        <w:t>Howard v. Cunliffe</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(1973) 36 D.L.R. (3d) 212</w:t>
        </w:r>
      </w:hyperlink>
      <w:r>
        <w:rPr>
          <w:rFonts w:ascii="arial" w:eastAsia="arial" w:hAnsi="arial" w:cs="arial"/>
          <w:color w:val="000000"/>
          <w:sz w:val="20"/>
          <w:lang w:val="en-US" w:eastAsia="en-US" w:bidi="ar-SA"/>
        </w:rPr>
        <w:t xml:space="preserve"> (B.C.C.A.) at p. 220.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reasoning behind that approach is the inability of the court, in cases of non-disclosure, to know what the plaintiff would have done had he or she been fully informed. The client is entitled to the information so that he or she will have the opportunity, with or without independent advice, of considering whether or not to proceed.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Henfry &amp; Company Ltd. v. A Law Firm</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(1983) 46 B.C.L.R. 227</w:t>
        </w:r>
      </w:hyperlink>
      <w:r>
        <w:rPr>
          <w:rFonts w:ascii="arial" w:eastAsia="arial" w:hAnsi="arial" w:cs="arial"/>
          <w:color w:val="000000"/>
          <w:sz w:val="20"/>
          <w:lang w:val="en-US" w:eastAsia="en-US" w:bidi="ar-SA"/>
        </w:rPr>
        <w:t xml:space="preserve"> (B.C.S.C.), the position was put in these words at p. 238: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to speculate about a dialogue because no disclosure was made and a lawyer who acts or fails to act in a conflict of interest, and thereby breaches a fiduciary duty, cannot be heard to say that the client would has gone ahead with the transaction anyway even if full disclosure had been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combined effect of </w:t>
      </w:r>
      <w:r>
        <w:rPr>
          <w:rFonts w:ascii="arial" w:eastAsia="arial" w:hAnsi="arial" w:cs="arial"/>
          <w:b/>
          <w:i/>
          <w:color w:val="000000"/>
          <w:sz w:val="20"/>
          <w:lang w:val="en-US" w:eastAsia="en-US" w:bidi="ar-SA"/>
        </w:rPr>
        <w:t>Brickenden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Howard and Henfry &amp; Company</w:t>
      </w:r>
      <w:r>
        <w:rPr>
          <w:rFonts w:ascii="arial" w:eastAsia="arial" w:hAnsi="arial" w:cs="arial"/>
          <w:color w:val="000000"/>
          <w:sz w:val="20"/>
          <w:lang w:val="en-US" w:eastAsia="en-US" w:bidi="ar-SA"/>
        </w:rPr>
        <w:t xml:space="preserve"> appears to be the establishment of an irrebuttable presumption as to causation in non-disclosure situations involving a solicitor.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pp. 325-6)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dealing with the alleged breach of fiduciary duty, the Petitioners submit that it is not necessary for the Petitioners to show that Mr. King was guilty of fraud or fraudulent intent: </w:t>
      </w:r>
      <w:r>
        <w:rPr>
          <w:rFonts w:ascii="arial" w:eastAsia="arial" w:hAnsi="arial" w:cs="arial"/>
          <w:b/>
          <w:i/>
          <w:color w:val="000000"/>
          <w:sz w:val="20"/>
          <w:lang w:val="en-US" w:eastAsia="en-US" w:bidi="ar-SA"/>
        </w:rPr>
        <w:t>Klein v. Viscount Mobile Homes Ltd.</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(1998), 72 O.T.C. 161</w:t>
        </w:r>
      </w:hyperlink>
      <w:r>
        <w:rPr>
          <w:rFonts w:ascii="arial" w:eastAsia="arial" w:hAnsi="arial" w:cs="arial"/>
          <w:color w:val="000000"/>
          <w:sz w:val="20"/>
          <w:lang w:val="en-US" w:eastAsia="en-US" w:bidi="ar-SA"/>
        </w:rPr>
        <w:t xml:space="preserve"> (Ont. G.D.) where Brockenshire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observe that fraud, or fraudulent intent, are not necessary elements of breach of fiduciary capacity, although understandably they can often co-exist with it. The duty to disgorge and to account exists whether or not there is a finding of fraudulent intent.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Of similar effect is the decision in </w:t>
      </w:r>
      <w:r>
        <w:rPr>
          <w:rFonts w:ascii="arial" w:eastAsia="arial" w:hAnsi="arial" w:cs="arial"/>
          <w:b/>
          <w:i/>
          <w:color w:val="000000"/>
          <w:sz w:val="20"/>
          <w:lang w:val="en-US" w:eastAsia="en-US" w:bidi="ar-SA"/>
        </w:rPr>
        <w:t>Girardet v. Crease &amp; Co.</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(1987), 11 B.C.L.R (2d) 361</w:t>
        </w:r>
      </w:hyperlink>
      <w:r>
        <w:rPr>
          <w:rFonts w:ascii="arial" w:eastAsia="arial" w:hAnsi="arial" w:cs="arial"/>
          <w:color w:val="000000"/>
          <w:sz w:val="20"/>
          <w:lang w:val="en-US" w:eastAsia="en-US" w:bidi="ar-SA"/>
        </w:rPr>
        <w:t xml:space="preserve"> where Southin J., as she then was, dealt with an action by the plaintiff against the defendant solicitors alleging a breach of fiduciary duty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stated: "... an allegation of breach of fiduciary duty carries with it the stench of dishonesty - if not of deceit then of constructive fraud. See </w:t>
      </w:r>
      <w:r>
        <w:rPr>
          <w:rFonts w:ascii="arial" w:eastAsia="arial" w:hAnsi="arial" w:cs="arial"/>
          <w:b/>
          <w:i/>
          <w:color w:val="000000"/>
          <w:sz w:val="20"/>
          <w:lang w:val="en-US" w:eastAsia="en-US" w:bidi="ar-SA"/>
        </w:rPr>
        <w:t>Nocton v. Lord Ashburton</w:t>
      </w:r>
      <w:r>
        <w:rPr>
          <w:rFonts w:ascii="arial" w:eastAsia="arial" w:hAnsi="arial" w:cs="arial"/>
          <w:color w:val="000000"/>
          <w:sz w:val="20"/>
          <w:lang w:val="en-US" w:eastAsia="en-US" w:bidi="ar-SA"/>
        </w:rPr>
        <w:t xml:space="preserve"> [1914] A.C. 932 (H.L.). Those who draft pleadings should be more careful of words that carry such a connotation." (at p. 362).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Petitioners submit that Mr. King must be able to prove that he discharged his fiduciary duty by drawing to the attention of Mr. Jackson the Charging Clause from which he would benefit as a member of DSB as the law deems conclusively that such disclosure would have altered the actions of Mr. Jackson if his attention had been drawn to the Charging Clause. As well, the Petitioners submit that the evidence clearly demonstrates that Mr. Jackson would not have agreed to the Charging Clause had Mr. King explained it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Petitioners submit that there is always a duty on a lawyer when dealing with his client in matters when the lawyer stands to profit to prove he fulfilled all of his duties. The Petitioners submit that, when Mr. King inserted the Charging Clause into the 1990 Will and the Will, he owed a legal, fiduciary and ethical duty to Mr. Jackson to specifically draw the Charging Clause to the attention of Mr. Jackson, explain fairly and fully the concerns raised at law and, at least, to offer Mr. Jackson the chance to obtain independent legal advice regarding the Charging Clause and its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Former Executors rely upon the decision in </w:t>
      </w:r>
      <w:r>
        <w:rPr>
          <w:rFonts w:ascii="arial" w:eastAsia="arial" w:hAnsi="arial" w:cs="arial"/>
          <w:b/>
          <w:i/>
          <w:color w:val="000000"/>
          <w:sz w:val="20"/>
          <w:lang w:val="en-US" w:eastAsia="en-US" w:bidi="ar-SA"/>
        </w:rPr>
        <w:t>Girardet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to support the proposition that Mr. King did not breach any fiduciary duty. In dealing with the concept of fiduciary duty, Southin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 "fiduciary" is flung around now as if it applied to all breaches of duty by solicitors, directors of companies and so forth. But "fiduciary" comes from the latin "fiducia" meaning "trust". Thus, the adjective, "fiduciary" means of or pertaining to a trustee or trusteeship. That a lawyer can commit a breach of the special duty of a trustee, e.g., by stealing his client's money, by entering into a contract with the client without full disclosure, by sending a client a bill claiming disbursements never made and so forth is clear. But to say that simple carelessness in giving advice is such a breach is a perversion of words. The obligation of a solicitor of care and skill is the same obligation of any person who undertakes for reward to carry out a task. One would not assert of an engineer or physician who had given bad advice and from whom common law damages were sought that he was guilty of a breach of fiduciary duty. Why should it be said of a solicitor?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362)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Former Executors also rely on the following passage from </w:t>
      </w:r>
      <w:r>
        <w:rPr>
          <w:rFonts w:ascii="arial" w:eastAsia="arial" w:hAnsi="arial" w:cs="arial"/>
          <w:i/>
          <w:color w:val="000000"/>
          <w:sz w:val="20"/>
          <w:lang w:val="en-US" w:eastAsia="en-US" w:bidi="ar-SA"/>
        </w:rPr>
        <w:t>Feeney's Canadian Law of Wills</w:t>
      </w:r>
      <w:r>
        <w:rPr>
          <w:rFonts w:ascii="arial" w:eastAsia="arial" w:hAnsi="arial" w:cs="arial"/>
          <w:color w:val="000000"/>
          <w:sz w:val="20"/>
          <w:lang w:val="en-US" w:eastAsia="en-US" w:bidi="ar-SA"/>
        </w:rPr>
        <w:t>, 4th edition (Butterworths: Markham),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who propound a will for probate have the evidentiary burden of proving not only requisite capacity but also that the testator knew and approved of the contents of the will. In satisfying the court about knowledge and approval of contents those who probate wills are aided by the presumption that the contents of a will were known, and approved, either if the will had been read over to a testator, or if the contents were otherwise brought to his or her attention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p.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support of that proposition, the learned authors provide the following footnote: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Re Muise Estate</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[2002] N.S.J. No. 251</w:t>
        </w:r>
      </w:hyperlink>
      <w:r>
        <w:rPr>
          <w:rFonts w:ascii="arial" w:eastAsia="arial" w:hAnsi="arial" w:cs="arial"/>
          <w:color w:val="000000"/>
          <w:sz w:val="20"/>
          <w:lang w:val="en-US" w:eastAsia="en-US" w:bidi="ar-SA"/>
        </w:rPr>
        <w:t xml:space="preserve"> (Prob. Ct.), as illustrative of the proposition that, as if the case of many other aspects of wills litigation, the results in cases of presumptions will still depend upon the facts. An illiterate's will, though not read over to him or her, will nevertheless be presumed to be in accord with his or her instructions. This rule was most recently followed in </w:t>
      </w:r>
      <w:r>
        <w:rPr>
          <w:rFonts w:ascii="arial" w:eastAsia="arial" w:hAnsi="arial" w:cs="arial"/>
          <w:i/>
          <w:color w:val="000000"/>
          <w:sz w:val="20"/>
          <w:lang w:val="en-US" w:eastAsia="en-US" w:bidi="ar-SA"/>
        </w:rPr>
        <w:t>Lance v. Lemenski</w:t>
      </w:r>
      <w:r>
        <w:rPr>
          <w:rFonts w:ascii="arial" w:eastAsia="arial" w:hAnsi="arial" w:cs="arial"/>
          <w:color w:val="000000"/>
          <w:sz w:val="20"/>
          <w:lang w:val="en-US" w:eastAsia="en-US" w:bidi="ar-SA"/>
        </w:rPr>
        <w:t xml:space="preserve">, unreported, Dec. 1982 (B.C.S.C.). Even in the case of a blind testator, the will need not have been read over to him or her, if the court is satisfied that the testator had knowledge of its contents: </w:t>
      </w:r>
      <w:r>
        <w:rPr>
          <w:rFonts w:ascii="arial" w:eastAsia="arial" w:hAnsi="arial" w:cs="arial"/>
          <w:i/>
          <w:color w:val="000000"/>
          <w:sz w:val="20"/>
          <w:lang w:val="en-US" w:eastAsia="en-US" w:bidi="ar-SA"/>
        </w:rPr>
        <w:t>Longchamp d. Goodfellow v. Fish</w:t>
      </w:r>
      <w:r>
        <w:rPr>
          <w:rFonts w:ascii="arial" w:eastAsia="arial" w:hAnsi="arial" w:cs="arial"/>
          <w:color w:val="000000"/>
          <w:sz w:val="20"/>
          <w:lang w:val="en-US" w:eastAsia="en-US" w:bidi="ar-SA"/>
        </w:rPr>
        <w:t xml:space="preserve"> (1907), 2 Bos. &amp; P.N.R. 415, 127 E.R. 690.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British Columbia refused probate in </w:t>
      </w:r>
      <w:r>
        <w:rPr>
          <w:rFonts w:ascii="arial" w:eastAsia="arial" w:hAnsi="arial" w:cs="arial"/>
          <w:i/>
          <w:color w:val="000000"/>
          <w:sz w:val="20"/>
          <w:lang w:val="en-US" w:eastAsia="en-US" w:bidi="ar-SA"/>
        </w:rPr>
        <w:t>Johnson v. Pelkey</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(1997), 17 E.T.R. (2d) 242</w:t>
        </w:r>
      </w:hyperlink>
      <w:r>
        <w:rPr>
          <w:rFonts w:ascii="arial" w:eastAsia="arial" w:hAnsi="arial" w:cs="arial"/>
          <w:color w:val="000000"/>
          <w:sz w:val="20"/>
          <w:lang w:val="en-US" w:eastAsia="en-US" w:bidi="ar-SA"/>
        </w:rPr>
        <w:t xml:space="preserve"> when the influencing son made no special efforts in reading the will to the aged testator (who was hearing impaired and could not lip-read) to ensure that his father did have knowledge of the contents of the will prepared by the son. Mere explanations of the contents of the will may not give rise to the presumption of knowledge and approval, particularly when the explanations are provided by a beneficiary: </w:t>
      </w:r>
      <w:r>
        <w:rPr>
          <w:rFonts w:ascii="arial" w:eastAsia="arial" w:hAnsi="arial" w:cs="arial"/>
          <w:i/>
          <w:color w:val="000000"/>
          <w:sz w:val="20"/>
          <w:lang w:val="en-US" w:eastAsia="en-US" w:bidi="ar-SA"/>
        </w:rPr>
        <w:t>Re Sequigna Estate</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[1994] O.J. No. 1029</w:t>
        </w:r>
      </w:hyperlink>
      <w:r>
        <w:rPr>
          <w:rFonts w:ascii="arial" w:eastAsia="arial" w:hAnsi="arial" w:cs="arial"/>
          <w:color w:val="000000"/>
          <w:sz w:val="20"/>
          <w:lang w:val="en-US" w:eastAsia="en-US" w:bidi="ar-SA"/>
        </w:rPr>
        <w:t xml:space="preserve"> (Gen. Div.); </w:t>
      </w:r>
      <w:r>
        <w:rPr>
          <w:rFonts w:ascii="arial" w:eastAsia="arial" w:hAnsi="arial" w:cs="arial"/>
          <w:i/>
          <w:color w:val="000000"/>
          <w:sz w:val="20"/>
          <w:lang w:val="en-US" w:eastAsia="en-US" w:bidi="ar-SA"/>
        </w:rPr>
        <w:t>Kaczmarczyk v. Kaczmarczyk</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[1997] O.J. No. 2896</w:t>
        </w:r>
      </w:hyperlink>
      <w:r>
        <w:rPr>
          <w:rFonts w:ascii="arial" w:eastAsia="arial" w:hAnsi="arial" w:cs="arial"/>
          <w:color w:val="000000"/>
          <w:sz w:val="20"/>
          <w:lang w:val="en-US" w:eastAsia="en-US" w:bidi="ar-SA"/>
        </w:rPr>
        <w:t xml:space="preserve"> (Gen. Div.).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Brewster Estate v. Brewster</w:t>
      </w:r>
      <w:r>
        <w:rPr>
          <w:rFonts w:ascii="arial" w:eastAsia="arial" w:hAnsi="arial" w:cs="arial"/>
          <w:color w:val="000000"/>
          <w:sz w:val="20"/>
          <w:lang w:val="en-US" w:eastAsia="en-US" w:bidi="ar-SA"/>
        </w:rPr>
        <w:t xml:space="preserve">, 75 Sask. 4, 279, </w:t>
      </w:r>
      <w:hyperlink r:id="rId276" w:history="1">
        <w:r>
          <w:rPr>
            <w:rFonts w:ascii="arial" w:eastAsia="arial" w:hAnsi="arial" w:cs="arial"/>
            <w:i/>
            <w:color w:val="0077CC"/>
            <w:sz w:val="20"/>
            <w:u w:val="single"/>
            <w:shd w:val="clear" w:color="auto" w:fill="FFFFFF"/>
            <w:lang w:val="en-US" w:eastAsia="en-US" w:bidi="ar-SA"/>
          </w:rPr>
          <w:t>[1989] 4 W.W.R. 617</w:t>
        </w:r>
      </w:hyperlink>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33 E.T.R. 204</w:t>
        </w:r>
      </w:hyperlink>
      <w:r>
        <w:rPr>
          <w:rFonts w:ascii="arial" w:eastAsia="arial" w:hAnsi="arial" w:cs="arial"/>
          <w:color w:val="000000"/>
          <w:sz w:val="20"/>
          <w:lang w:val="en-US" w:eastAsia="en-US" w:bidi="ar-SA"/>
        </w:rPr>
        <w:t xml:space="preserve"> (Q.B.), probate was granted although one of the witnesses to the will was not present when events established that the testator knew and approved of the contents of his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this regard, the Former Executors submit that the letter enclosing the 1990 Will was not a "misdirection". What was then clause 7 was not described as a "slight" change but was designated as being a clause that "has been added". They submit that there is no question that Mr. Jackson was a successful businessman and that he had full capacity when the 1990 Will and the Will were forwarded to him for his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cannot conclude that the effect of the Charging Clause was not fully explained to Mr. Jackson. Accordingly, I cannot conclude that there was a failure to disclose a material fact, being the presence of and the effect of the Charging Clause. I cannot conclude that Mr. King failed to fulfill his "legal" or "ethical" duty to Mr. Jackson, that he failed to specifically draw the Charging Clause to the attention of Mr. Jackson, or that he failed to explain fairly and fully the concerns raised by the Charging Clause and offer Mr. Jackson the chance to obtain independent legal advice regarding the Charging Clause and its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satisfied that the evidentiary burden of proving that Mr. Jackson had the requisite capacity and that he knew and approved of all of the contents of the 1990 Will and the Will have been satisfied because the Will was accepted for probate. Additionally, taking into account what Mr. King described as his practice to discuss and explain the primary clauses in a Will, the fact that the previous Wills of Mr. Jackson did not include a Charging Clause so that Mr. Jackson would be obviously curious about the effect of the addition of the Charging Clause which was drawn to his attention as being "added", the fact that the Charging Clause was inserted by the partner of DSB who was preparing the draft Will on the instructions of Mr. King, the fact that there was a discussion between Mr. King and that partner regarding the Charging Clause, and the fact that, not only did Mr. King attend in Sechelt but also spoke to Mr. Jackson on the telephone on a number of occasions, allows me to conclude that the presence of the Charging Clause and its effect and the ability of Mr. King and DSB to charge the Executors for their fees and disbursements was appropriately and fully explained to Mr.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the Will was executed on March 26, 1990 with the full knowledge of what would occur if the Charging Clause remained in the Will. On the basis of the affidavit evidence of Thomas Jackson, I can be satisfied that Mr. Jackson was very careful with his money and that he did not spend money on legal or accounting fees unless he could be satisfied that he was obtaining good value for the services rendered. Accordingly, his choice of Messrs. Foxall and King as Executors under the 1990 Will and the Will evidences a trust in those gentlemen to perform appropriately as Executors and to allow them to call upon their significant knowledge of his business affairs to deal more efficiently and less expensively with his Estate. I also take into account that the Will with the Charging Clause was accepted for probate and that these Petitioners have not attempted to set aside that probate.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Even if I could conclude that Mr. King failed to fully explain the Charging Clause to Mr. Jackson, I could not conclude that there was the necessary "stench of dishonesty", deceit or constructive fraud so that I could reach the conclusion that Mr. King was guilty of a breach of fiduciary duty. I cannot conclude that the January 26, 1990 letter was a "misdirection". Rather, the letter set out to a sophisticated businessman that a Charging Clause "has been added". The effect of the Charging Clause would have been easily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am satisfied that Mr. King met the standard of care imposed upon solicitors as of 1990 so that no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arise and that no breach of fiduciary duty would arise. Three opinions were obtained regarding the "proper practice for a lawyer in 1990 in explaining to his or her client the effect of a charging clause, from which that lawyer or his or her firm would benefit". In his opinion provided to the New Executors, Geoffrey N.M. Lewis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inappropriate for a testator in connection with the trusts of a will to establish conflicts of interest and duty which are inherent in the appointment, or stated a different way, by express instruction to permit the executor or trustee an advantage in respect of the trust estate which would not be permitted by equity in the absence of such express instruction. In some cases the comprehension of these inherent conflicts or benefits conferred on an executor may be patent through the very words used in the will.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solicitor advising upon and drafting a will is also procuring a personal benefit, even when the nature of the benefit is patent from the words used, the situation is somewhat altered, because the solicitor owes not only the future duties of an executor if the appointment comes to fruition at the future date, but also the immediate obligations as legal advisor to the client in the drawing of the very words giving rise to the dispensation or advantage in permitting the future conflict of interest and duty. ....</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Identifying and discussing with the client the appropriateness of the appointment of executor, ensuring in particular the client understands they are not compelled to appoint the solicitor as executor.</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solicitor, as a condition of their own appointment, or in recommending the appointment of another professional also recommends insertion of a charging clause, ensuring the client understands the manner in which the charging clause operates, that it confers a benefit upon the professionals, and the nature of those benefits: typically the ability of the executors to engage themselves and earn a professional fee from the estate, and also to be paid at professional rates for time and tasks in respect of which an executor would not normally require professional and assistance and which would be remunerated at less than professional rates.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solicitor drawing the will had no pecuniary interest in the operation of the clause, concerns of the appearance of impartiality and avoidance of self-interest on the part of the solicitor may be reduced, which may lead to a lower threshold of obligation to prove or record client knowledge and consent of the nature and operation of the clause. The proper practice to be observed in the procural of the clause may differ dependant upon the degree to which the solicitor drawing the clause might be perceived to be gaining a personal advantage or benefit of which the client, in the absence of advice, may be unaware.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opinion also prepared for the New Executors, James D. Baird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proper practice to be observed by a lawyer preparing a Will containing this clause and in explaining this clause to their client include the following:</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Either at or before the time of signing the Will the clause should be brought to the attention of the client. The reason for the inclusion of the clause and the need to include the clause (that is that the law otherwise required the professional executor to perform his legal services as part of this trustee's fee) should have been explained to the client.</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client's consent to inclusion of the clause in the final Will would have to be obtained.</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lawyer in his firm benefited from the clause, then discuss the issue of conflict (see my answer to Question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status of the lawyer giving the advice as a member of the firm benefiting from the advice is not material. For that matter, it would make no difference whether or not that lawyer or his firm were to benefit from the clause at all. That is, regardless of whether the lawyer would benefit personally from the clause, the same advice was needed to explain to the client the reason for the clause, the effect of the clause and to obtain the client's consent to its inclusion on the final Will.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if the lawyer and /or his firm were to benefit from the inclusion of the clause, proper practice would require the lawyer to go one further step and point out that the benefit would flow to that lawyer and/or his firm.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opinion provided to the Former Executors, William C. Bice, Q.C.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general comment, I believe that the Lewis Report describes the practice which in a perfect world should be followed today, but I do not think that was the practice that was followed in the 1990s, nor do I think that a solicitor in the 1990s was expected to follow the practice described to come within the realm of proper practice. If that level of detail were to be provided for every clause in a will, or even a majority of the clause, a solicitor would be unable to function effectively and serve the client properly, bearing in mind particularly, the cost element.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realize that Don Pool, then of the Farris firm who specialized in estate planning and administration, was meticulous in his work as a solicitor and obviously based upon the Lewis Report his practices have been followed at that firm. The rest of the practitioners may have been less meticulous, but I believe that if they followed the practice described below, they would have been considered to have acted in keeping with proper practice at the time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Baird Report's description of proper practice is closer to the practice that I believe was in place in the 1990s,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first interview with a client, if a professional was to act as executor, I believe that proper practice in 1990 was to explain to the testator that there are basically two functions in managing an estate. Firstly, those requiring professional services such as legal and accounting services and, secondly, the services of an executor and trustee considered at law to be executor's work and for which remuneration is provided in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then be pointed out that a charging clause was necessary to enable the professional to charge for professional services, the theory being that by being able to charge for services a benefit was being conferred upon the professional which must be permitted by the terms of the will and that is not to say that others could not be engaged by the executors to provide professional services, but that it would be less efficient to do so.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1990s, I did not make it a practice to make a file note that I had explained the professional charging clause to the testator. In fact, I do not know that if I have seen any solicitor's file where a charging clause has included notes confirming that the solicitor has explained the charging clause to the client.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do not agree that a professional is expected to provide legal services as part of the trustee fee if there is no charging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am satisfied that the practise described by Mr. Bice and, to a lesser extent, Mr. Baird was the standard of practise that would be imposed by the Court if breach of duty or breach of fiduciary duty was alleged. This finding merely reinforces the finding that the Charging Clause was fully explained to Mr. Jackson and, with knowledge of the effect of the Charging Clause and the alternatives available to him, Mr. Jackson then executed the 1990 Will and the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Having concluded the effect of the Charging Clause was fully explained to Mr. Jackson and that Mr. King breached no duty owed to Mr. Jackson, I am satisfied that the Petitioners are not entitled to the declaration that they seek that the Respondents are not entitled to claim for any accounts or bills rendered by DSB. As for the opinion sought by the Registrar of the Court pursuant to Rule 32(9)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I provide the opinion that the Former Executors are entitled to advance a claim for disbursements relating to the accounts or bills rendered by DSB.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However, on the assumption that I am incorrect in coming to this conclusion, I will deal with the other arguments raised by the Petitioners on the assumption that the Charging Clause was not fully explained to Mr. Jackson before he executed the Will. The absence of a Charging Clause has been the subject matter of a long series of decisions in both England and in Canada. In this regard, see </w:t>
      </w:r>
      <w:r>
        <w:rPr>
          <w:rFonts w:ascii="arial" w:eastAsia="arial" w:hAnsi="arial" w:cs="arial"/>
          <w:b/>
          <w:i/>
          <w:color w:val="000000"/>
          <w:sz w:val="20"/>
          <w:lang w:val="en-US" w:eastAsia="en-US" w:bidi="ar-SA"/>
        </w:rPr>
        <w:t>New v. Jones</w:t>
      </w:r>
      <w:r>
        <w:rPr>
          <w:rFonts w:ascii="arial" w:eastAsia="arial" w:hAnsi="arial" w:cs="arial"/>
          <w:color w:val="000000"/>
          <w:sz w:val="20"/>
          <w:lang w:val="en-US" w:eastAsia="en-US" w:bidi="ar-SA"/>
        </w:rPr>
        <w:t xml:space="preserve"> (1833), 47 E.R. 1562 (Ex.); </w:t>
      </w:r>
      <w:r>
        <w:rPr>
          <w:rFonts w:ascii="arial" w:eastAsia="arial" w:hAnsi="arial" w:cs="arial"/>
          <w:b/>
          <w:i/>
          <w:color w:val="000000"/>
          <w:sz w:val="20"/>
          <w:lang w:val="en-US" w:eastAsia="en-US" w:bidi="ar-SA"/>
        </w:rPr>
        <w:t>Broughton v. Broughton</w:t>
      </w:r>
      <w:r>
        <w:rPr>
          <w:rFonts w:ascii="arial" w:eastAsia="arial" w:hAnsi="arial" w:cs="arial"/>
          <w:color w:val="000000"/>
          <w:sz w:val="20"/>
          <w:lang w:val="en-US" w:eastAsia="en-US" w:bidi="ar-SA"/>
        </w:rPr>
        <w:t xml:space="preserve"> (1855), 43 E.R. 831; </w:t>
      </w:r>
      <w:r>
        <w:rPr>
          <w:rFonts w:ascii="arial" w:eastAsia="arial" w:hAnsi="arial" w:cs="arial"/>
          <w:b/>
          <w:i/>
          <w:color w:val="000000"/>
          <w:sz w:val="20"/>
          <w:lang w:val="en-US" w:eastAsia="en-US" w:bidi="ar-SA"/>
        </w:rPr>
        <w:t>Liquidators of Imp. Credit Ass'n v. Coleman</w:t>
      </w:r>
      <w:r>
        <w:rPr>
          <w:rFonts w:ascii="arial" w:eastAsia="arial" w:hAnsi="arial" w:cs="arial"/>
          <w:color w:val="000000"/>
          <w:sz w:val="20"/>
          <w:lang w:val="en-US" w:eastAsia="en-US" w:bidi="ar-SA"/>
        </w:rPr>
        <w:t xml:space="preserve"> (1873), L.R. 6 (H.L.) 189 (H.L.); </w:t>
      </w:r>
      <w:r>
        <w:rPr>
          <w:rFonts w:ascii="arial" w:eastAsia="arial" w:hAnsi="arial" w:cs="arial"/>
          <w:b/>
          <w:i/>
          <w:color w:val="000000"/>
          <w:sz w:val="20"/>
          <w:lang w:val="en-US" w:eastAsia="en-US" w:bidi="ar-SA"/>
        </w:rPr>
        <w:t>In Re Gates</w:t>
      </w:r>
      <w:r>
        <w:rPr>
          <w:rFonts w:ascii="arial" w:eastAsia="arial" w:hAnsi="arial" w:cs="arial"/>
          <w:color w:val="000000"/>
          <w:sz w:val="20"/>
          <w:lang w:val="en-US" w:eastAsia="en-US" w:bidi="ar-SA"/>
        </w:rPr>
        <w:t xml:space="preserve">, [1933] 1 Ch. 913; </w:t>
      </w:r>
      <w:r>
        <w:rPr>
          <w:rFonts w:ascii="arial" w:eastAsia="arial" w:hAnsi="arial" w:cs="arial"/>
          <w:b/>
          <w:i/>
          <w:color w:val="000000"/>
          <w:sz w:val="20"/>
          <w:lang w:val="en-US" w:eastAsia="en-US" w:bidi="ar-SA"/>
        </w:rPr>
        <w:t>In Re Hill</w:t>
      </w:r>
      <w:r>
        <w:rPr>
          <w:rFonts w:ascii="arial" w:eastAsia="arial" w:hAnsi="arial" w:cs="arial"/>
          <w:color w:val="000000"/>
          <w:sz w:val="20"/>
          <w:lang w:val="en-US" w:eastAsia="en-US" w:bidi="ar-SA"/>
        </w:rPr>
        <w:t xml:space="preserve">, [1934] 1 Ch. 623 (C.A.); </w:t>
      </w:r>
      <w:r>
        <w:rPr>
          <w:rFonts w:ascii="arial" w:eastAsia="arial" w:hAnsi="arial" w:cs="arial"/>
          <w:b/>
          <w:i/>
          <w:color w:val="000000"/>
          <w:sz w:val="20"/>
          <w:lang w:val="en-US" w:eastAsia="en-US" w:bidi="ar-SA"/>
        </w:rPr>
        <w:t>Allen v. Allen Estate</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(1991), 57 B.C.L.R. (2d) 351</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Lohn Estate v. McNichol</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(1993), 78 B.C.L.R. (2d) 373</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Re Lohn Estate</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(1994), 98 B.C.L.R. (2d) 26</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earliest decisions established that, in the absence of a charging clause, a trustee who is a solicitor is not entitled to charge for his or her labour when acting as a solicitor for an estate. That proposition was affirmed in the early 1990s in British Columbia. In </w:t>
      </w:r>
      <w:r>
        <w:rPr>
          <w:rFonts w:ascii="arial" w:eastAsia="arial" w:hAnsi="arial" w:cs="arial"/>
          <w:b/>
          <w:i/>
          <w:color w:val="000000"/>
          <w:sz w:val="20"/>
          <w:lang w:val="en-US" w:eastAsia="en-US" w:bidi="ar-SA"/>
        </w:rPr>
        <w:t>Allen v. Allen Estate</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(1991), 57 B.C.L.R. (2d) 351</w:t>
        </w:r>
      </w:hyperlink>
      <w:r>
        <w:rPr>
          <w:rFonts w:ascii="arial" w:eastAsia="arial" w:hAnsi="arial" w:cs="arial"/>
          <w:color w:val="000000"/>
          <w:sz w:val="20"/>
          <w:lang w:val="en-US" w:eastAsia="en-US" w:bidi="ar-SA"/>
        </w:rPr>
        <w:t xml:space="preserve"> (B.C.S.C.), the decision in </w:t>
      </w:r>
      <w:r>
        <w:rPr>
          <w:rFonts w:ascii="arial" w:eastAsia="arial" w:hAnsi="arial" w:cs="arial"/>
          <w:b/>
          <w:i/>
          <w:color w:val="000000"/>
          <w:sz w:val="20"/>
          <w:lang w:val="en-US" w:eastAsia="en-US" w:bidi="ar-SA"/>
        </w:rPr>
        <w:t>Gates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was followed by Oliver J. who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there is no express authority such as a "charging clause" in the Will providing for any remuneration for a either a solicitor or an executor. The Will was drafted by the firm and named the firm as co- executors. In the circumstances it must be assumed that either the firm was negligent in omitting to include a "charging clause" or that it had no intention to charge solicitor's fees to the estate, but simply relied upon the statutory provisions providing compensation to executors.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executor is entitled to employ and charge for the services of a solicitor but not for doing work which he might properly have done himself. The solicitor is the solicitor of the executor, not of the estate, and costs incurred by him can be charged to the estate only if he shows that they are necessary and proper charges against the estate, but not for services which the executor should properly have performed himself: In re Roemer; Re Mott and Roemer, </w:t>
      </w:r>
      <w:hyperlink r:id="rId280" w:history="1">
        <w:r>
          <w:rPr>
            <w:rFonts w:ascii="arial" w:eastAsia="arial" w:hAnsi="arial" w:cs="arial"/>
            <w:i/>
            <w:color w:val="0077CC"/>
            <w:sz w:val="20"/>
            <w:u w:val="single"/>
            <w:shd w:val="clear" w:color="auto" w:fill="FFFFFF"/>
            <w:lang w:val="en-US" w:eastAsia="en-US" w:bidi="ar-SA"/>
          </w:rPr>
          <w:t>[1928] 2 W.W.R. 566</w:t>
        </w:r>
      </w:hyperlink>
      <w:r>
        <w:rPr>
          <w:rFonts w:ascii="arial" w:eastAsia="arial" w:hAnsi="arial" w:cs="arial"/>
          <w:color w:val="000000"/>
          <w:sz w:val="20"/>
          <w:lang w:val="en-US" w:eastAsia="en-US" w:bidi="ar-SA"/>
        </w:rPr>
        <w:t xml:space="preserve"> (Sask.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solicitor is paid for services which the executor should have performed, the payment should be deducted from the executor's compensation: In re Lloyd Estate </w:t>
      </w:r>
      <w:hyperlink r:id="rId281" w:history="1">
        <w:r>
          <w:rPr>
            <w:rFonts w:ascii="arial" w:eastAsia="arial" w:hAnsi="arial" w:cs="arial"/>
            <w:i/>
            <w:color w:val="0077CC"/>
            <w:sz w:val="20"/>
            <w:u w:val="single"/>
            <w:shd w:val="clear" w:color="auto" w:fill="FFFFFF"/>
            <w:lang w:val="en-US" w:eastAsia="en-US" w:bidi="ar-SA"/>
          </w:rPr>
          <w:t>(1954), 12 W.W.R. (N.S.) 445</w:t>
        </w:r>
      </w:hyperlink>
      <w:r>
        <w:rPr>
          <w:rFonts w:ascii="arial" w:eastAsia="arial" w:hAnsi="arial" w:cs="arial"/>
          <w:color w:val="000000"/>
          <w:sz w:val="20"/>
          <w:lang w:val="en-US" w:eastAsia="en-US" w:bidi="ar-SA"/>
        </w:rPr>
        <w:t xml:space="preserve"> (Man.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executor-solicitor cannot charge for solicitor's fees, it follows that the firm of which he is a partner cannot charge, even if he will receive nothing himself: Re Gates, [1933] Ch. 913.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pp.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Lohn Estate v. McNicol</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[1993] B.C.J. No. 1273</w:t>
        </w:r>
      </w:hyperlink>
      <w:r>
        <w:rPr>
          <w:rFonts w:ascii="arial" w:eastAsia="arial" w:hAnsi="arial" w:cs="arial"/>
          <w:color w:val="000000"/>
          <w:sz w:val="20"/>
          <w:lang w:val="en-US" w:eastAsia="en-US" w:bidi="ar-SA"/>
        </w:rPr>
        <w:t xml:space="preserve"> (B.C.S.C.), Meredith J. followed the decision in </w:t>
      </w:r>
      <w:r>
        <w:rPr>
          <w:rFonts w:ascii="arial" w:eastAsia="arial" w:hAnsi="arial" w:cs="arial"/>
          <w:b/>
          <w:i/>
          <w:color w:val="000000"/>
          <w:sz w:val="20"/>
          <w:lang w:val="en-US" w:eastAsia="en-US" w:bidi="ar-SA"/>
        </w:rPr>
        <w:t>Re Gates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absence of a "charging clause" in the Will which permits executors who are professionals to charge and be paid their usual fees and disbursements for the performance of services in their professional capacity, are payments of fees on account of professional services authorized expenses of the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answer to that question is "yes" provided firstly, that the executors who are professionals do not profit from the fees, (even if partners are retained to perform the services) and secondly, that the fees are not charged for giving advice on the routine administration of the estate. (at paras. 16-17)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if the professionals who were executors employed their partners to act in their professional capacity, the professional charges would not be deducted from the executor's remuneration if there were proper safeguards against any portion of the profits coming into the hands of the professional trustees.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However, there was further modification to the general principle as a result of decisions such as </w:t>
      </w:r>
      <w:r>
        <w:rPr>
          <w:rFonts w:ascii="arial" w:eastAsia="arial" w:hAnsi="arial" w:cs="arial"/>
          <w:b/>
          <w:i/>
          <w:color w:val="000000"/>
          <w:sz w:val="20"/>
          <w:lang w:val="en-US" w:eastAsia="en-US" w:bidi="ar-SA"/>
        </w:rPr>
        <w:t>Re Gates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where Clauson J. stated that a solicitor in a partnership with other solicitors could employ those partners to act for him as his solicitors provided arrangements were made that none of the "profit costs" which those partners made found their way to the solicitor who was also the trustee. Clauson J. stated that a number of decisions established the proposition that a solicitor/trustee could employ his partners to act as solicitor for himself and his co-trustees with reference to trust affairs and may pay them usual charges providing it had been expressly agreed between himself and his partners that he would not participate in the profits or derive any benefit from the charges. See also the decisions in: </w:t>
      </w:r>
      <w:r>
        <w:rPr>
          <w:rFonts w:ascii="arial" w:eastAsia="arial" w:hAnsi="arial" w:cs="arial"/>
          <w:b/>
          <w:i/>
          <w:color w:val="000000"/>
          <w:sz w:val="20"/>
          <w:lang w:val="en-US" w:eastAsia="en-US" w:bidi="ar-SA"/>
        </w:rPr>
        <w:t>Clack v. Carlon</w:t>
      </w:r>
      <w:r>
        <w:rPr>
          <w:rFonts w:ascii="arial" w:eastAsia="arial" w:hAnsi="arial" w:cs="arial"/>
          <w:color w:val="000000"/>
          <w:sz w:val="20"/>
          <w:lang w:val="en-US" w:eastAsia="en-US" w:bidi="ar-SA"/>
        </w:rPr>
        <w:t xml:space="preserve"> (1861) 30 L.J. (Ch.) 639; </w:t>
      </w:r>
      <w:r>
        <w:rPr>
          <w:rFonts w:ascii="arial" w:eastAsia="arial" w:hAnsi="arial" w:cs="arial"/>
          <w:b/>
          <w:i/>
          <w:color w:val="000000"/>
          <w:sz w:val="20"/>
          <w:lang w:val="en-US" w:eastAsia="en-US" w:bidi="ar-SA"/>
        </w:rPr>
        <w:t>Christophers v. White</w:t>
      </w:r>
      <w:r>
        <w:rPr>
          <w:rFonts w:ascii="arial" w:eastAsia="arial" w:hAnsi="arial" w:cs="arial"/>
          <w:color w:val="000000"/>
          <w:sz w:val="20"/>
          <w:lang w:val="en-US" w:eastAsia="en-US" w:bidi="ar-SA"/>
        </w:rPr>
        <w:t xml:space="preserve"> (1847) 10 Beav. 523.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decision in </w:t>
      </w:r>
      <w:r>
        <w:rPr>
          <w:rFonts w:ascii="arial" w:eastAsia="arial" w:hAnsi="arial" w:cs="arial"/>
          <w:b/>
          <w:i/>
          <w:color w:val="000000"/>
          <w:sz w:val="20"/>
          <w:lang w:val="en-US" w:eastAsia="en-US" w:bidi="ar-SA"/>
        </w:rPr>
        <w:t>Lohn Estate v. McNicol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was upheld in </w:t>
      </w:r>
      <w:r>
        <w:rPr>
          <w:rFonts w:ascii="arial" w:eastAsia="arial" w:hAnsi="arial" w:cs="arial"/>
          <w:b/>
          <w:i/>
          <w:color w:val="000000"/>
          <w:sz w:val="20"/>
          <w:lang w:val="en-US" w:eastAsia="en-US" w:bidi="ar-SA"/>
        </w:rPr>
        <w:t>Re Lohn Estate</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(1994), 98 B.C.L.R. (2d) 26</w:t>
        </w:r>
      </w:hyperlink>
      <w:r>
        <w:rPr>
          <w:rFonts w:ascii="arial" w:eastAsia="arial" w:hAnsi="arial" w:cs="arial"/>
          <w:color w:val="000000"/>
          <w:sz w:val="20"/>
          <w:lang w:val="en-US" w:eastAsia="en-US" w:bidi="ar-SA"/>
        </w:rPr>
        <w:t xml:space="preserve"> (B.C.C.A.) where Southin J.A. on behalf of the Court stated that an agreement between a solicitor and his partners that the partner would not be entitled to remuneration over and above his fees as the Executor was valid and that the partnership could charge for professional services rendered to the Executors in the absence of a charging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somewhat similar agreement was entered into by the Executor who is a chartered accountant with his firm.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argument before us turned on whether or not such an agreement could operate. In my view, the decision of Vice Chancellor Page Wood in Clack v. Carlin [1860] 7 Jur. (N.S.) 441; 30 L.J. (Ch.) 639, which is also referred to by Mr. Justice Stirling in Re Doody [1893] 1 Ch. 129 at 134 and other authorities referred to sustain the validity of such an agreement so long as it is not a sham. There is no evidence that it is any such thing. Thus I agree with the answers on clauses (c) and (d). (at paras.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While there was no specific agreement between Mr. King and DSB that Mr. King would not participate in any profits accruing to DSB as a result of the firm rendering legal fees to the Estate of Mr. Jackson, I find that Mr. King was not in a position to participate in the profits of the partnership so that his role in the partnership is within the exception established by the decision of Southin J.A. in </w:t>
      </w:r>
      <w:r>
        <w:rPr>
          <w:rFonts w:ascii="arial" w:eastAsia="arial" w:hAnsi="arial" w:cs="arial"/>
          <w:b/>
          <w:i/>
          <w:color w:val="000000"/>
          <w:sz w:val="20"/>
          <w:lang w:val="en-US" w:eastAsia="en-US" w:bidi="ar-SA"/>
        </w:rPr>
        <w:t>Re Lohn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September 15, 1982, Mr. King became a participating partner in the firm of DSB. On January 31, 1986, Mr. King ceased to be a participating partner in the firm. On July 13, 1988, the partners of DSB entered into an amended agreement which provided that a "non-participating partner" was: "... any Partner who is not at the time in question entitled to receive a Proportionate Share of the Net Income of the Firm ....". Accordingly, at the time the 1990 Will and the Will was prepared, Mr. King was not a participating Partner in DSB.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a "Non-Participating Partner", Mr. King was entitled to a fixed income distribution which varied from time to time by mutual agreement. While Mr. King was also entitled to a potential share in a "Bonus Pot" which was distributed each year within three months after the end of the fiscal year for the firm, Mr. King never did receive anything from the "Bonus 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Although not by specific arrangement, I find that Mr. King was not entitled to participate in any of the profits accruing to DSB as a result of the firm rendering legal accounts to the Estate of Mr. Jackson. Accordingly, even if I found that the Former Executors could not rely on the Charging Clause to allow for the disbursements to DSB to be claimed, I am satisfied that the arrangement that Mr. King had with DSB was such that it is appropriate for DSB to be retained by the Former Executors even in the absence of the Charging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Petitioners submit that the Charging Clause is a "gift" to Mr. King and, Mr. King is not in a position to profit from his role as an Executor unless he is specifically authorized to do so by the Will or by an Order of the Court: </w:t>
      </w:r>
      <w:r>
        <w:rPr>
          <w:rFonts w:ascii="arial" w:eastAsia="arial" w:hAnsi="arial" w:cs="arial"/>
          <w:b/>
          <w:i/>
          <w:color w:val="000000"/>
          <w:sz w:val="20"/>
          <w:lang w:val="en-US" w:eastAsia="en-US" w:bidi="ar-SA"/>
        </w:rPr>
        <w:t>In Re Barber</w:t>
      </w:r>
      <w:r>
        <w:rPr>
          <w:rFonts w:ascii="arial" w:eastAsia="arial" w:hAnsi="arial" w:cs="arial"/>
          <w:color w:val="000000"/>
          <w:sz w:val="20"/>
          <w:lang w:val="en-US" w:eastAsia="en-US" w:bidi="ar-SA"/>
        </w:rPr>
        <w:t xml:space="preserve"> (1886), 31 Ch. D. 665; </w:t>
      </w:r>
      <w:r>
        <w:rPr>
          <w:rFonts w:ascii="arial" w:eastAsia="arial" w:hAnsi="arial" w:cs="arial"/>
          <w:b/>
          <w:i/>
          <w:color w:val="000000"/>
          <w:sz w:val="20"/>
          <w:lang w:val="en-US" w:eastAsia="en-US" w:bidi="ar-SA"/>
        </w:rPr>
        <w:t>In Re Pooley</w:t>
      </w:r>
      <w:r>
        <w:rPr>
          <w:rFonts w:ascii="arial" w:eastAsia="arial" w:hAnsi="arial" w:cs="arial"/>
          <w:color w:val="000000"/>
          <w:sz w:val="20"/>
          <w:lang w:val="en-US" w:eastAsia="en-US" w:bidi="ar-SA"/>
        </w:rPr>
        <w:t xml:space="preserve"> (1888), 40 Ch. D. 1, </w:t>
      </w:r>
      <w:r>
        <w:rPr>
          <w:rFonts w:ascii="arial" w:eastAsia="arial" w:hAnsi="arial" w:cs="arial"/>
          <w:b/>
          <w:i/>
          <w:color w:val="000000"/>
          <w:sz w:val="20"/>
          <w:lang w:val="en-US" w:eastAsia="en-US" w:bidi="ar-SA"/>
        </w:rPr>
        <w:t>In Re White</w:t>
      </w:r>
      <w:r>
        <w:rPr>
          <w:rFonts w:ascii="arial" w:eastAsia="arial" w:hAnsi="arial" w:cs="arial"/>
          <w:color w:val="000000"/>
          <w:sz w:val="20"/>
          <w:lang w:val="en-US" w:eastAsia="en-US" w:bidi="ar-SA"/>
        </w:rPr>
        <w:t xml:space="preserve"> (1898), 1 Ch. 297; and </w:t>
      </w:r>
      <w:r>
        <w:rPr>
          <w:rFonts w:ascii="arial" w:eastAsia="arial" w:hAnsi="arial" w:cs="arial"/>
          <w:b/>
          <w:i/>
          <w:color w:val="000000"/>
          <w:sz w:val="20"/>
          <w:lang w:val="en-US" w:eastAsia="en-US" w:bidi="ar-SA"/>
        </w:rPr>
        <w:t>Russell Gray v. Richards Butler (a firm)</w:t>
      </w:r>
      <w:r>
        <w:rPr>
          <w:rFonts w:ascii="arial" w:eastAsia="arial" w:hAnsi="arial" w:cs="arial"/>
          <w:color w:val="000000"/>
          <w:sz w:val="20"/>
          <w:lang w:val="en-US" w:eastAsia="en-US" w:bidi="ar-SA"/>
        </w:rPr>
        <w:t>, [1996] N.L.O.R. No. 3695 (English H.C.J.). First, there is a Charging Clause in the Will. Second, from the many decisions referred to above, I can conclude that it is not the case that the Charging Clause amounts to a "gift" to Mr. King. Third, even if I could conclude that the presence of the Charging Clause amounted to a gift, that "gift" would be to DSB and not to Mr. King as Mr. King did not have an interest in DSB which was in any way tied to the receipt of fees and disbursements from the Estate of Mr.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Even if I could conclude that the Charging Clause cannot be relied on by the Former Executors, I am satisfied that the removal of or the absence of a Charging Clause will not disentitle a law firm of which an executor is a participating partner to be remunerated for professional services rendered by the law firm. Even if I could not come to that conclusion, I am satisfied that I am bound by the decisions reached in: </w:t>
      </w:r>
      <w:r>
        <w:rPr>
          <w:rFonts w:ascii="arial" w:eastAsia="arial" w:hAnsi="arial" w:cs="arial"/>
          <w:b/>
          <w:i/>
          <w:color w:val="000000"/>
          <w:sz w:val="20"/>
          <w:lang w:val="en-US" w:eastAsia="en-US" w:bidi="ar-SA"/>
        </w:rPr>
        <w:t>Smith Estate (Trustee of) v. Smith Estate</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(2000), 37 E.T.R. (2d) 151</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Fraserview Intermediate Care Lodge Co. Ltd. v. The Canada Trust Company et al</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[2003] B.C.J. No. 2903</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decision in </w:t>
      </w:r>
      <w:r>
        <w:rPr>
          <w:rFonts w:ascii="arial" w:eastAsia="arial" w:hAnsi="arial" w:cs="arial"/>
          <w:b/>
          <w:i/>
          <w:color w:val="000000"/>
          <w:sz w:val="20"/>
          <w:lang w:val="en-US" w:eastAsia="en-US" w:bidi="ar-SA"/>
        </w:rPr>
        <w:t>Smith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dealt with an action against the former trustees and executors of the estate to recover losses alleged to have been caused by the alleged mismanagement of the former trustees. One of the former trustees was an accountant. Regarding the repayment of accounting fees and the absence of a charging clause in the will, Kirkpatrick J.,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the repayment of accounting fees charged to the estate by Barter, the general rule is that a trustee shall not profit from his trust, unless otherwise expressly provided: Allen v. Allen Estate </w:t>
      </w:r>
      <w:hyperlink r:id="rId277" w:history="1">
        <w:r>
          <w:rPr>
            <w:rFonts w:ascii="arial" w:eastAsia="arial" w:hAnsi="arial" w:cs="arial"/>
            <w:i/>
            <w:color w:val="0077CC"/>
            <w:sz w:val="20"/>
            <w:u w:val="single"/>
            <w:shd w:val="clear" w:color="auto" w:fill="FFFFFF"/>
            <w:lang w:val="en-US" w:eastAsia="en-US" w:bidi="ar-SA"/>
          </w:rPr>
          <w:t>(1991), 57 B.C.L.R. (2d) 351</w:t>
        </w:r>
      </w:hyperlink>
      <w:r>
        <w:rPr>
          <w:rFonts w:ascii="arial" w:eastAsia="arial" w:hAnsi="arial" w:cs="arial"/>
          <w:color w:val="000000"/>
          <w:sz w:val="20"/>
          <w:lang w:val="en-US" w:eastAsia="en-US" w:bidi="ar-SA"/>
        </w:rPr>
        <w:t xml:space="preserve"> (B.C.S.C.) at 360.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while there is no charging clause in the will permitting Barter to charge for accounting services, it is reasonably clear that the services were provided to and relied upon by the estate. As Barter stated, if he had not performed the services, the estate would have had to employ someone else to do them. There is no suggestion that the amount charged by Barter was undue or excessive. Furthermore, there is nothing in the will which designates Barter as an accountant. He is referred to by the testator as "my friend." It is doubtful that the testator expected that Barter would perform accounting services as part of his executor's remuneration.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Barter has not "profited" from the trust in the performance of his accounting services. I therefore decline to order that he repay the estate the amount received by him in respect of those services. (paras. 53-5)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Fraserview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Loo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established rule is that a trustee or executor is not entitled to remuneration in carrying out his or her duties, unless there is (1) an express agreement for remuneration; (2) an express provision in the Will; (3) the express authority of the court; or (4) statutory authority: Allen v. Allen Estate </w:t>
      </w:r>
      <w:hyperlink r:id="rId277" w:history="1">
        <w:r>
          <w:rPr>
            <w:rFonts w:ascii="arial" w:eastAsia="arial" w:hAnsi="arial" w:cs="arial"/>
            <w:i/>
            <w:color w:val="0077CC"/>
            <w:sz w:val="20"/>
            <w:u w:val="single"/>
            <w:shd w:val="clear" w:color="auto" w:fill="FFFFFF"/>
            <w:lang w:val="en-US" w:eastAsia="en-US" w:bidi="ar-SA"/>
          </w:rPr>
          <w:t>(1991), 57 B.C.L.R. (2d) 351</w:t>
        </w:r>
      </w:hyperlink>
      <w:r>
        <w:rPr>
          <w:rFonts w:ascii="arial" w:eastAsia="arial" w:hAnsi="arial" w:cs="arial"/>
          <w:color w:val="000000"/>
          <w:sz w:val="20"/>
          <w:lang w:val="en-US" w:eastAsia="en-US" w:bidi="ar-SA"/>
        </w:rPr>
        <w:t xml:space="preserve"> at 360.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there is no express agreement, or express provision, or "charging clause" in the Will allowing for remuneration. Fraserview therefore contends that Mr. Jeffery is limited to the remuneration allowed under the provisions of the Trustee Act. (at paras. 21-2)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disputed professional fees charged by Mr. Jeffery include "Litigation Conference" services for $12,549; "Forensic Accountant" services for $9,425.50; "Examinations and Preparation", $17,064.50; and "Trial/Settlement Preparation" of $3,517.50.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the services performed by Mr. Jeffery fall outside the responsibilities and duties generally expected of an executor or trustee in administering an estate. They are clearly distinguishable from the remuneration which was disallowed in </w:t>
      </w:r>
      <w:r>
        <w:rPr>
          <w:rFonts w:ascii="arial" w:eastAsia="arial" w:hAnsi="arial" w:cs="arial"/>
          <w:b/>
          <w:i/>
          <w:color w:val="000000"/>
          <w:sz w:val="20"/>
          <w:lang w:val="en-US" w:eastAsia="en-US" w:bidi="ar-SA"/>
        </w:rPr>
        <w:t>Allen v. Allen Estate</w:t>
      </w:r>
      <w:r>
        <w:rPr>
          <w:rFonts w:ascii="arial" w:eastAsia="arial" w:hAnsi="arial" w:cs="arial"/>
          <w:color w:val="000000"/>
          <w:sz w:val="20"/>
          <w:lang w:val="en-US" w:eastAsia="en-US" w:bidi="ar-SA"/>
        </w:rPr>
        <w:t>. Indeed, Fraserview concedes that if Mr. Jeffery had not been appointed an executor, he would be entitled to fees for his services relating to the litigation. (at paras. 26-27)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inequitable for Mr. Jeffery's remuneration to be limited to his executor's compensation under the Trustee Act, especially when much of what he did for the litigation was largely unrelated to the normal administration of the estate. If he does not receive remuneration for his services in addition to his statutory remuneration, there will be a windfall for Fraserview, who as the residual beneficiary, stands to gain the most at his expense. Mr. Jeffery is entitled to his professional fees, however, there will be a reference to the Registrar to determine whether the fees are reasonable or necessary.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satisfied that Mr. King and DSB should be in no worse position if a finding was made that the Charging Clause was inoperative than if there was no Charging Clause at all. I also find that there was good reason why Mr. King would have been appointed as an Executor even though DSB would be charging for the professional legal services it was rendering to the Executors. Mr. King was the solicitor on a regular and ongoing basis for Mr. Jackson for many years. He was a person who knew the most about the legal and business affairs of Mr. Jackson. He was the person who knew the most about the testamentary intentions of Mr. Jackson over the years. Mr. Jackson chose carefully when he chose his long-time accountant and his long-time lawyer to be Executors under his 1990 Will and under his Will. If Mr. King had not been appointed an Executor, he and DSB would have been entitled to fees for his services relating to all of the matters arising out of the Estate of Mr. Jackson. I cannot conclude that Mr. King has "profited" from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services rendered by DSB fall outside the responsibilities and duties generally expected of Mr. King as an Executor and, accordingly, I am satisfied that it would be inappropriate for the Estate to have a windfall which would be the case if the Former Executors could not claim the disbursement of the fees and disbursements of DSB. The Estate of Mr. Jackson has had the benefit of the legal advice received from DSB and the New Executors allowed that legal advice to be given for a number of years before raising the question of whether the Former Executors could claim for the disbursement of the same under the Charging Clause. Accordingly, even if I could have made a finding that there was no effective Charging Clause, I would still be prepared to allow the Former Executors to claim the disbursements for fees and disbursements to DSB as a result of the work done by that firm for the Former Executors of the Estate of Robert Laurence Jackson,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While there is no suggestion that the fees charged by DSB were undue or excessive, any submission in that regard can be dealt by the Registrar when the Former Executors pass their accounts, which will include the reasonableness of the disbursements to DSB for legal services rendered. That question will be left with the Registrar when the Former Executors pass their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application by the Petitioners for a declaration that the Respondents in any claim respecting the Estate of Robert Laurence Jackson are not entitled to claim for any accounts or bills rendered by Douglas, Symes &amp; Brissenden is dismissed. The Registrar of the Court is provided with an opinion pursuant to Rule 32(9)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that the Respondents as the Former Executors are entitled to advance a claim relating to any accounts or bills rendered by Douglas, Symes &amp; Brissenden. The Respondents are in a position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Jensen v. Brown, [2005] B.C.J. No. 2581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Taylor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March 23, 2005.</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November 30, 2005.</w:t>
      </w:r>
    </w:p>
    <w:p>
      <w:pPr>
        <w:spacing w:before="120" w:line="260" w:lineRule="atLeast"/>
        <w:jc w:val="center"/>
        <w:rPr>
          <w:lang w:val="en-US" w:eastAsia="en-US" w:bidi="ar-SA"/>
        </w:rPr>
      </w:pPr>
      <w:r>
        <w:rPr>
          <w:rFonts w:ascii="arial" w:eastAsia="arial" w:hAnsi="arial" w:cs="arial"/>
          <w:color w:val="000000"/>
          <w:sz w:val="20"/>
          <w:lang w:val="en-US" w:eastAsia="en-US" w:bidi="ar-SA"/>
        </w:rPr>
        <w:t>Courtenay Registry No. S6051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2581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1669</w:t>
      </w:r>
    </w:p>
    <w:p>
      <w:pPr>
        <w:spacing w:before="120" w:line="260" w:lineRule="atLeast"/>
        <w:rPr>
          <w:lang w:val="en-US" w:eastAsia="en-US" w:bidi="ar-SA"/>
        </w:rPr>
      </w:pPr>
      <w:r>
        <w:rPr>
          <w:rFonts w:ascii="arial" w:eastAsia="arial" w:hAnsi="arial" w:cs="arial"/>
          <w:color w:val="000000"/>
          <w:sz w:val="20"/>
          <w:lang w:val="en-US" w:eastAsia="en-US" w:bidi="ar-SA"/>
        </w:rPr>
        <w:t>Between Tami Lynn Jensen, plaintiff, and Matthew Charles Brown and Marjorie Ann Hagarty and Colin Robert Hagarty,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5" style="position:absolute;z-index:2516776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5" w:name="Keywords_18"/>
      <w:bookmarkEnd w:id="12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Rules of the road — Driver who collided with other vehicle while other vehicle making left turn at stop sign found completely liable for collision — Driver was operating dark-coloured truck without headlights in dark rainy conditions.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6" w:name="Case Summary_17"/>
            <w:bookmarkEnd w:id="12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Jensen's vehicle struck by Brown's vehicle, dark-coloured truck, as Jensen tried to make left turn at intersection -- Brown was traveling northbound, Jensen trying to turn southbound after stopping at stop sign when collision occurred -- Collision occurred shortly after sunrise in rainy conditions -- Jensen would have been looking through driver's side window to look for traffic because of shape of intersection -- Jensen made comment to paramedic expressing surprise Brown was driving without headlights -- Driver in vehicle behind Jensen's witnessed accident, claimed she did not see headlights of Brown's vehicle -- Jensen and other driver claimed it was darker than normal out when accident occurred -- Brown testified he assumed his headlights were on because his dash lights were on -- Claimed he was not rushing -- Claimed it was not dark out -- Brown's passenger claimed Brown turned headlights off at store before accident occurred, did not recall Brown turning headlights back on -- Experts filed evidence regarding speed of vehicles -- Court accepted evidence from Jensen and other driver with respect to darkness -- Court did not consider speed of vehicles relevant to issue of liability -- Cause of accident was lack of visibility of Brown's vehicle -- Brown's vehicle was dominant, as he was driving straight and did not have stop sign -- Brown was entitled to assume Jensen, as subservient vehicle, would drive in compliance with law -- Brown's entitlement negated because he drove inappropriately by failing to have headlights on -- Jensen conducted herself appropriately by stopping for stop sign and making proper visual checks before proceeding -- Brown held completely liable for accident. </w:t>
            </w:r>
            <w:r>
              <w:rPr>
                <w:lang w:val="en-US" w:eastAsia="en-US" w:bidi="ar-SA"/>
              </w:rPr>
              <w:cr/>
            </w:r>
          </w:p>
          <w:p>
            <w:pPr>
              <w:rPr>
                <w:lang w:val="en-US" w:eastAsia="en-US" w:bidi="ar-SA"/>
              </w:rPr>
            </w:pPr>
          </w:p>
        </w:tc>
      </w:tr>
    </w:tbl>
    <w:p>
      <w:pPr>
        <w:jc w:val="both"/>
        <w:rPr>
          <w:lang w:val="en-US" w:eastAsia="en-US" w:bidi="ar-SA"/>
        </w:rPr>
      </w:pPr>
      <w:bookmarkStart w:id="127" w:name="Legislation Cited_13"/>
      <w:bookmarkEnd w:id="12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16" style="position:absolute;z-index:2517288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Motor Vehicle Act, s. 174, s. 175</w:t>
      </w:r>
      <w:r>
        <w:rPr>
          <w:lang w:val="en-US" w:eastAsia="en-US" w:bidi="ar-SA"/>
        </w:rPr>
        <w:cr/>
      </w:r>
    </w:p>
    <w:p>
      <w:pPr>
        <w:keepNext/>
        <w:spacing w:before="240" w:line="340" w:lineRule="atLeast"/>
        <w:rPr>
          <w:lang w:val="en-US" w:eastAsia="en-US" w:bidi="ar-SA"/>
        </w:rPr>
      </w:pPr>
      <w:bookmarkStart w:id="128" w:name="Counsel_18"/>
      <w:bookmarkEnd w:id="12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17" style="position:absolute;z-index:2517800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Tami Jensen(via telephone): J. Pass; E. Good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Matthew Brown: R. Hornquist</w:t>
      </w:r>
      <w:r>
        <w:rPr>
          <w:lang w:val="en-US" w:eastAsia="en-US" w:bidi="ar-SA"/>
        </w:rPr>
        <w:cr/>
      </w:r>
    </w:p>
    <w:p>
      <w:pPr>
        <w:spacing w:after="240"/>
        <w:rPr>
          <w:lang w:val="en-US" w:eastAsia="en-US" w:bidi="ar-SA"/>
        </w:rPr>
      </w:pPr>
      <w:bookmarkStart w:id="129" w:name="Judgment_18"/>
      <w:bookmarkEnd w:id="129"/>
      <w:r>
        <w:pict>
          <v:line id="_x0000_s1118" style="position:absolute;z-index:25183129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0" w:name="TAYLOR J. (orally)"/>
            <w:bookmarkEnd w:id="130"/>
            <w:r>
              <w:rPr>
                <w:rFonts w:ascii="arial" w:eastAsia="arial" w:hAnsi="arial" w:cs="arial"/>
                <w:b/>
                <w:color w:val="000000"/>
                <w:sz w:val="30"/>
                <w:lang w:val="en-US" w:eastAsia="en-US" w:bidi="ar-SA"/>
              </w:rPr>
              <w:t>TAYLOR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the 18th, 2001, the plaintiff Tami Lynn Jensen attempted to make a left turn off Dingwall Road in Courtenay onto the southbound lane of Highway 19A. She was unsuccessful when the defendant Matthew Charles Brown's vehicle, which had been driving northward on Highway 19A, struck her vehicle on the left front portion.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trial, by an order made on the 12th of January 2005, concerns itself only with the issue of liability and was held to determine the cause of that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Although the statement of claim at paragraph 13 alleges various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will be seen from these following reasons, I am of the view that the only realistic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those contained in subparagraphs (a) and (b) and the general assertion contained in paragraph (f).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intersection of Dingwall Road and Highway 19A is different than most T intersections. Dingwall Road comes upon Highway 19A from the east and, as illustrated by Exhibit 3, does so at an angle that results in a driver intending to make a left turn onto 19A approaching in a manner in which the driver faces slightly downhill and on a left angle towards Highway 19A. The result of this is that the driver does not have to make a 90 degree turn of the head to view approaching northbound traffic, but rather views it from looking both through the driver's door and the windshield.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Also different from most intersections, the stop line is approximately a car length back from the eastern edge of the northbound curb lane of Highway 19A, which requires the driver to be in motion before even entering onto the highway. As well, there is a merging lane off Dingwall for vehicles intending to turn right and go northbound on Highway 19A.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Highway 19A Northbound has two lanes at the intersection; the southbound portion of 19A has only one lane. On either side of Dingwall are located two streetlights. The only other lighting is on the west side of Highway 19A mounted on utility poles.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accident occurred shortly before 8 a.m. of the 18th of December. Sunrise that morning was at 8:13. A 9-1-1 call from the accident scene, made either by Ms. Sirett or Ms. Hagarty, both about whom I shall say more later, was received by the RCMP at 7:57. Emergency vehicles were dispatched at approximately 8 a.m. and were providing assistance to the plaintiff by 8:05.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left her home in a Dodge van for the purpose of gassing up the vehicle, as it was to be used by employees of her cleaning business later in the day. She took a route that she habitually followed that led her onto Dingwall Road heading west. As she drove along Dingwall, a pickup truck entered on the road before her and she followed it to the stop line at Dingwall and Highway 19A. As she came up behind the pickup truck, she noted headlights coming from behind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described the weather that morning as raining, quite windy, with the roads wet, and it being darker than normal. It is apparent that there was a low cloud level that morning.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she came in behind the pickup, she could see to her left the intersection of Highway 19A and Headquarters Road that is some distance to the south. She could see the lights at that intersection. She said that the pickup truck left the stop line and made an uneventful left turn onto Highway 19A. She then pulled forward to the stop line. She said she looked first to her right in respect of southbound vehicles, and saw a vehicle's headlights coming down 19A on what is locally referred to as Mission Hill. She estimated that vehicle to be about 20 car lengths north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then looked left and saw vehicle headlights near a business located about five car lengths from 19A and Headquarters Road known as Chuck's Trucks. She estimated that vehicle to be 30 to 35 car lengths south from her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then re-looked to the right and noted the southbound vehicle to be about five car lengths closer than her original observation and concluded it presented no danger to her in her entry to Highway 19A.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again looked to the left and upon seeing no other vehicles than that earlier described, proceeded into the intersection to make her left-hand turn at a normal speed. She saw no other headlights than those to which I have earlier referred.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agreed that there was rain on the window of the driver's door and that she had her wipers on at the medium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she crossed the northbound curb lane into the centre lane, she became aware of the bumper of a vehicle she described being approximately six feet from her, and then being struck almost instantaneously thereafter. She said she saw no headlights on that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recalled a woman asking her if she was all right, a woman I conclude to be Ms. Sirett, who had been in the vehicle that had followed Ms. Jensen down along Dingwall, and then had turned into the lane as if to enter into the northbound lane of Highway 19A.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she was later lifted onto a gurney by Emergency Health Services staff, she recalls saying, "What kind of an F'ing idiot would drive without his headlights?"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Michelle Sirett was in a Honda Civic that had followed the plaintiff's van on Dingwall. She was intending to turn right northbound on 19A. She described the weather as dark, stormy, darker than usual, and windy and rainy. Because of the structure of the intersection, her vehicle pulled closer to 19A than that of the plaintiff when it was stopped at the stop line, and she was able to see past the plaintiff's van as she looked south along 19A.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could see down towards Headquarters Road and said that beyond Dingwall the intersection was "pretty dark". She said she saw no oncoming headlights and was about to pull into the northbound curb lane when she saw the van as it attempted to cross the northbound lane being struck by a black truck. She expressed shock, as it was her belief that but for the van she herself would have been struck by the black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then saw Ms. Hagarty's southbound vehicle skid to a stop and come up against the van that had been pushed up towards the north as a result of the impact. She attended to the van and, at the plaintiff's request, called the plaintiff's husband. She said the plaintiff kept saying, "I didn't see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was her view that the black vehicle was in the curb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pause to say that, while on the whole of the evidence I find that observation to be erroneous, and that the black vehicle was in fact in the centre lane, it is an error without consequence, given what was happening that morning.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Matthew Brown, the defendant, was the driver of a black/grey 1984 Toyota 4Runner. On the 18th of December he was to start work at 8 a.m. at a truss manufacturing plant located further north on Highway 19A from the intersection of Dingwall and 19A.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That morning he left home, picked up a co-worker Ian Wilson, and drove to a 7-Eleven located on Headquarters Road, where he purchased cigarettes and food. He recalled that when he started his vehicle that morning that his headlights were on. When he stopped at the 7-Eleven he turned off his engine and went inside. Wilson remained in the vehicle, and Brown said that he had left his headlights on. He said that when he got back into the vehicle after making his purchases at 7-Eleven he, quote, "assumed his headlights were still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weather, he agreed, was drizzly, light steady rain. It was his view that it was not particularly dark, not darker than normal.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said that he assumed that his headlights were on because his dash lights were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agreed that as he went up Mission Hill his speed may have been as much as 55 in a 50 kilometre zone. He said that he was not rushing to get to work, and while aware that he could be docked pay for being late, said that that had never happened before.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observed the pickup truck, to which I earlier referred, making its left-hand turn and followed its motion until it was in the southbound lane. He was also aware of a van, but did not focus on it until the pickup truck had completed its turn. He then looked back and saw the van entering upon his lane. He said he could not tell why he did not see the van moving before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Hagarty was driving south on 19A that morning. She saw the pickup truck making its left turn. She saw it emerge from Dingwall and then saw the white van. Her perception was that the white van did not stop before entering the intersection or onto Highway 19A. However, I am satisfied that that perception is the result of the stop line being set back approximately a car's length from the eastern edge of 19A, and thus would give the impression to a southbound vehicle that the van had not stopped at the edge of Highway 19A, when in fact it had stopped earlier and then been set in motion as it moved towards the intersection to enter into Highway 19A.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Hagarty gave two different versions as to when she applied her brakes. The first was that she said in chief that she did so when she was about 10 car lengths back from the intersection and felt there was a risk of collision with the van, I assume between her vehicle and the van, as she made no reference to the black Toyota.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second was in cross-examination, when she agreed that at her examination for discovery, she having been once a party to this litigation, she testified at question 146 that "she applied her brakes after a grey 4Runner collided with a small white van sending the van towards me as I was going down Mission Hill, and I could see this happening in front of me so I applied my brakes as hard as I could and pulled over to the side of the road as far as I could".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of the view that Ms. Hagarty's earlier answers at the examination for discovery are more reliable, in terms of her memory and the closeness to the incident that the answers were given, than those given at trial, and that therefore the van's left turn posed no risk to her until the collision when it was thrust uphill towards her into the southbound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Hagarty testified she did not know if the Toyota had its lights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Ian Wilson was the defendant's passenger. His evidence, in my view, is critical to the determination of whether the Toyota had its lights on or not. Mr. Wilson recalled the defendant stopping at the 7-Eleven and turning his motor off. Mr. Wilson was aware that the plaintiff had had battery problems in the past, and to avoid that and risk of a dead battery, as a consequence of the headlights being left on, said he reached over the steering wheel and turned the turn lever on the steering column to turn the headlights off. He was aware that there is a two-click process, the first to turn the headlights off, and the second to turn the parking lights off. He did not know if he did both or only just the headlights.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the defendant returned and started the vehicle, Wilson did not turn the headlights on, nor could he say that the defendant did either or that he Wilson said anything to the plaintiff about what he had done.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Wilson said they entered into Highway 19A first in the curb lane and then moved into the centre lane as it moved up towards Mission Hill. He did not know precisely what speed the friend drove, but said he felt it was about 60 kilometres. He was not alarmed by the speed at which the vehicle was driven. He said he saw the pickup and the van at Dingwall. He watched the pickup pull out and cross in front of them and then became aware of the van in front of them as it moved across the curb lane into the centre lane of the two lanes of Highway 19A. He did not pay attention to the van's movements prior to or immediately upon it entering onto Highway 19A.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said the defendant screamed something, slammed on his brakes, and the collision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said that the weather and the state of darkness were such that it was appropriate for vehicles to have their headlights on that morning.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 series of photographs were filed, some taken by reporters who attended upon the scene, some by police, and some by experts retained in this matter. I have reviewed each of them and reviewed the evidence of each witness as to what they said about how any particular photograph represented the state of light that existed at the time of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the photographs are of little assistance, as they contain within them a highly subjective aspect dictated by the photographer in terms of the lens setting that varies from person to person. An example of this is Exhibit 7, the police photographs. The photograph on page 2 of Exhibit 7 shows the van at Mrs. Hagarty's vehicle in apparent clear light, yet Exhibit 4, photograph number 1, shows the van on the tow truck, clearly well after the police photograph was taken, in what would appear to be almost total darkness.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Simply put, the photographs do not replicate what the eye sees, something attested to by Mr. Inch an expert to whom I will later refer, and any comparison or recollection of a photograph is fraught with difficulty, as evidenced by Ms. Hagarty's evidence as to how photograph 4, it being darker than she recalled, and the photograph at tab 12, a better view of the lightness of that morning according to her testimony, show the conflict in Ms. Hagarty's own evidence. Photograph 12 was taken by Robin Brown some months after the accident, and in my view was taken under different weather conditions, and at a different time of the year. It is not representative of anything in terms of the lightness.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view, the question of darkness that existed that day under those specific weather conditions is to be answered by an analysis of the evidence of those present and a consideration of the opinions of Mr. Inch, an expert in illumination.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conclude from the evidence of the plaintiff and Ms. Sirett, which I accept, that that morning, because of the inclement weather, that it was darker than it would normally be at that intersection at that time. Mr. Wilson confirms in his evidence the need or appropriateness of the use of headlights, even though the accident occurred within a half hour of sunrise.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Inch provided evidence as to the limitations on visibility in terms of the human visual recognition beginning to suffer at lower levels of illumination. He opined that between streetlights, both on the east and west sides of 19A, while at the source itself, that is to say directly underneath the light, there would be probably sufficient light to read a book or a newspaper even at the time of the accident. As one moves away from the light source, the illumination levels drop to a point where in between the two lights, or in between any two lights, that which is produced is in fact below that required for visual recognition.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well, he noted a number of other factors affecting visibility at the third paragraph of the fourth page of his report. As Mr. Inch opined, and I agree, that the plaintiff would have relied primarily upon the streetlights to see objects on the roadway, if not self illuminated, that was in and of itself a dark area, made even more so by the vegetation alongside the road on the west side of the highway, which absorbed light. Mr. Inch said that the two lights on the west side of 19A were 20 and 80 metres from the intersection and that in between the amount of illumination approached a minimal of one lux illumination by his measurements that were developed through a software program that he had available to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defendant's vehicle was dark, and that would, according to Mr. Inch, result in an absorption rather than a reflection of light that a lighter colour vehicle might provide. That is not to say that there is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driving a dark coloured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Inch also expressed the view that even if the defendant's parking lights were on, that on approaching the intersection they would create images smaller than a raindrop on the window or windshield of the plaintiff's vehicle. In essence, they would be indistinguishable as lights as opposed to drops of rain reflecting whatever ambient light might be in existence. While he said the park lights would make no difference in terms of visibility, as opposed to not being on, he said that the headlights would provide a significant illumination of a ratio of up to 200 to 1, expressed as a ratio of vehicle luminance to background luminance. By contrast, the vehicle without headlights provided, as noted in his various test sheets, that were made a part of the exhibits, a ratio of .7 to 1, a significant difference given the darkness from which the Toyota emerged just prior to the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Inch testified that visibility is dependent upon four factors: the time of availability to view; two, the amount of illumination from the object itself; three, the visual size of the object, which is dependent upon the angle and view; and four, the contrast with the 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apparent that morning, as I have said before, that Mr. Brown's vehicle was travelling at slightly in excess of the speed limit, and therefore the time for observation would be consistent with any other speed approximating the speed limit of 50 kmph. In terms of the amount of illumination from the object itself, the evidence of Mr. Wilson and that of the plaintiff and Ms. Sirett, suggests that there was a lack of illumination from the Brown vehicle. The vehicle itself was of an average size vehicle. Finally fourthly, the contrast with the background was one of extreme darkness. Mr. Inch also said that photographs do not replicate what the eye sees.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Reports were filed by two engineers, Mr. Heinrichs and Mr. Brown. Both of these reports, while thorough in their preparation, were directed to the issue of positioning and speeds of the vehicle as they each approached the impact site.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opinion of Mr. Heinrichs as to speed, contained at paragraph 6.0, is that the defendant's vehicle was travelling between 52 and 60 kilometres, an opinion that is consistent with the defendant's admissions and Mr. Wilson's opinion as to its speed. Mr. Brown does not disagree with Mr. Heinrichs but opines the speed being in the mid range.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extent that Mr. Brown expressed opinions on visibility or illumination, given counsel's admissions that such a field was outside of his area of expertise, I attach no weight to those opinions.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view the determination of responsibility for this accident does not lie in a consideration of speed. While the defendant may have been exceeding the speed limit, the extent to which he did so was in my view minimal, and I find it not to have been a cause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cause of the accident was the lack of visibility the defendant's vehicle presented to other traffic. That lack of visibility directly affected other motorists, and in particular the plaintiff's, ability to assess and determine risk, as was her responsibility under the provisions of the Motor Vehicle Act for vehicles entering upon a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Counsel for the defendant made reference to a decision of the Supreme Court of Canada of some antiquity, being Swartz Bros. Ltd. et al. v. Wills, </w:t>
      </w:r>
      <w:hyperlink r:id="rId73" w:history="1">
        <w:r>
          <w:rPr>
            <w:rFonts w:ascii="arial" w:eastAsia="arial" w:hAnsi="arial" w:cs="arial"/>
            <w:i/>
            <w:color w:val="0077CC"/>
            <w:sz w:val="20"/>
            <w:u w:val="single"/>
            <w:shd w:val="clear" w:color="auto" w:fill="FFFFFF"/>
            <w:lang w:val="en-US" w:eastAsia="en-US" w:bidi="ar-SA"/>
          </w:rPr>
          <w:t>[1935] 3 D.L.R. 277</w:t>
        </w:r>
      </w:hyperlink>
      <w:r>
        <w:rPr>
          <w:rFonts w:ascii="arial" w:eastAsia="arial" w:hAnsi="arial" w:cs="arial"/>
          <w:color w:val="000000"/>
          <w:sz w:val="20"/>
          <w:lang w:val="en-US" w:eastAsia="en-US" w:bidi="ar-SA"/>
        </w:rPr>
        <w:t>. The judgment of the court was given by Cannon J., and at page 281 he observed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Where there is nothing to obstruct the vision and there is a duty to look, it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to see what . . . The respondent in this case admits that he did not see the truck after he started to cross. It was then clearly visible; and, unfortunately for the plaintiff, we must reach the conclusion that his injuries resulted from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taking a chance to cross the intersection ahead of the truck which clearly had the right of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my opinion, the defendant's vehicle was not clearly visible. While the dominant vehicle, being the defendant's, was entitled to assume the plaintiff, as a subservient vehicle, would comply with the provisions of the Motor Vehicle Act, and particularly s. 175, such an assumption would be based upon the fact that the dominant vehicle had conducted itself appropriately. Common examples of inappropriate conduct in terms of that section governing the entry of vehicles into an intersection are found in cases such as when the dominant vehicle approaches the intersection at an excessive rate of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Here, based on the evidence of Mr. Wilson, I am satisfied the defendant did not have his headlights on at a time when the darkness and weather conditions dictated he should, notwithstanding the provisions of the Motor Vehicle Act regulations 4.01.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evidence of Mr. Inch is that the stretch of road northbound before the intersection had portions that were not well illuminated, and that even the running lights would have been indistinguishable from such objects as raindrops on the windshield.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the basis of Mr. Wilson's evidence that he turned the headlights off at the 7-Eleven store, the absence of evidence that they were turned on again after leaving the 7-Eleven, and the positive evidence of both the plaintiff and Ms. Sirett, which I accept, as to there being no headlights oncoming, and the failure of Ms. Hagarty to note any oncoming headlights, I am satisfied that the headlights of the defendant's vehicle were not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evidence that I accept satisfies me that this was a particular dark morning in an area to the south of the intersection, and that a very poor contrast existed between the dark Toyota without its lights and the background material, thus providing no source of illumination, coupled with the ambient background from the plaintiff's perspective.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also satisfied the plaintiff conducted herself appropriately and conformed with the provisions of s. 174 and 175 of the Motor Vehicle Act in entering upon Highway 19A. She stopped, I find, at the stop line, made appropriate visual inquiries as to the oncoming traffic, and noted a sufficient distance from the Hagarty vehicle that would permit her to enter into the intersection without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vehicle simply was not there to be seen by reason of its failure to have its headlights on. Her failure to observe the defendant's vehicle in an area of relative darkness, was a direct result of the absence of these headlights, and thus she did not see what was not there to be seen, absent those headlights, as the vehicle emerged from what Mr. Inch and others at the scene as described as a darkened area, and in particular a darkened area of contrast.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cause of the accident was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 not having his headlights on. As a consequence, his vehicle was not plainly visible. I accordingly conclude that the defendant was entirely responsible for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Anything further, Mr. Good?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GOOD: Thank you, My Lord. I would like to make a brief written submission regarding costs, if we could?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COURT: All right. Well, you can discuss that with your friend. I do not know if it is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Hornquist?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GOOD: Okay. That's fine, Mr. Hornquist, I'll get in touch with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HORNQUIST: Okay.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GOOD: Okay. Thank you,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HORNQUIST: So leave -- leave to make further submissions, how is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COURT: Leave to make further submissions with respect to the issue of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HORNQUIST: Right. Otherwise at Scale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COURT: Otherwise Scale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HORNQUIST: 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COURT: Thank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GOOD: Okay. Thank you,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COURT: Thank you.</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TAYLOR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Killam v. Fitterman, [2003] B.C.J. No. 1330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S012789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869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950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Mrs. Evelyn H. Killam, plaintiff, and Dr. H.N. Fitterman,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0"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1" w:name="Keywords_19"/>
      <w:bookmarkEnd w:id="131"/>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Failure to inform patient of uncertainties of treatment — Res ipsa loquitur — Standard of care — Evidence and proof — Judgments and orders — Summary judgments — To dismiss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2" w:name="Case Summary_18"/>
            <w:bookmarkEnd w:id="1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ophthalmologist, Fitterman, to dismiss Killam's action for damages. Killam was an 88-year-old woman who had problems with her vision. She was referred to Fitterman, who concluded that she had cataracts and significant bilateral diabetic retinopathy. Fitterman used a laser on her eyes to stabilize the retinopathy and to prepare her eyes for cataract operations. Killam claimed that her vision became distorted because of the laser treatment. She alleged that Fitterman did not warn her that her retina could be scarred by the laser and that her vision would be impaired. Her claim against Fitterman was based on res ipsa loquitur. She argued that no reasonably competent ophthalmologist would have scarred her from his use of the laser. Killam did not provide expert evidence to show that Fitterman's use of the laser was incompetent.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3" w:name="Holdings of Court_16"/>
            <w:bookmarkEnd w:id="13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Killam's action was dismissed. Fitterman did not warn Killam of the risks of the procedure. However, this issue was moot. Killam had retinopathy by the time she first met with Fitterman. A reasonable person in her position would have accepted the surgery. Without the treatment, her vision would have become non-existent. Killam failed to prove that Fitterman was incompetent or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4" w:name="Counsel_19"/>
      <w:bookmarkEnd w:id="1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1"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P.G. Theocharis, for the plaintiff. A.W. Bruneau,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5" w:name="Judgment_19"/>
      <w:bookmarkEnd w:id="135"/>
      <w:r>
        <w:pict>
          <v:line id="_x0000_s1122" style="position:absolute;z-index:2517811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6" w:name="ROGERS J."/>
            <w:bookmarkEnd w:id="136"/>
            <w:r>
              <w:rPr>
                <w:rFonts w:ascii="arial" w:eastAsia="arial" w:hAnsi="arial" w:cs="arial"/>
                <w:b/>
                <w:color w:val="000000"/>
                <w:sz w:val="30"/>
                <w:lang w:val="en-US" w:eastAsia="en-US" w:bidi="ar-SA"/>
              </w:rPr>
              <w:t>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Mrs. Killam has sued her ophthalmologist Dr. Fitterman for operating on her left eye without her informed consent and for carrying out that operation in a negligent fashion, thereby causing damage to her eyesight. Dr. Fitterman has denied Mrs. Killam's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the court's ruling on Dr. Fitterman's application under Rule 18A to dismiss Mrs. Killam's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Killam is 88 years old. In late Fall 1998 she perceived some difficulty with her vision and sought a new prescription from her optometrist. The optometrist was not able to correct Mrs. Killam's vision by conventional means, and he referred her to Dr. Fitterman.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Mrs. Killam saw Dr. Fitterman for the first time on December 16, 1998. Dr. Fitterman examined Mrs. Killam's eyes and determined that she had cataracts and significant bilateral diabetic retinopathy.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January 1999 (on the 4th according to Mrs. Killam or on the 21st according to Dr. Fitterman) Dr. Fitterman used an argon laser to cauterize various capillaries in both of Mrs. Killam's retinas. This treatment was intended to stabilize the retinopathy and to prepare the way for cataract operations that were planned later. The laser therapy was an out-patient procedure and Mrs. Killam was sent home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Approximately two weeks later Mrs. Killam was enroute back to Dr. Fitterman's office for another visit when she noticed that her vision was distorted. The distortion persists to the present and is manifested by an impression that oncoming vehicles have a V-shaped crush along their length. She also finds that when she reads she misses letters or perceives extra letters in words on the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Fitterman went on to perform bilateral cataract surgery. He operated on her right eye on March 8, 1999, and on her left eye on May 10, 1999. Those surgeries were, by all accounts,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Killam attributes her visual distortion to scarring caused by Dr. Fitterman's use of the laser instrument. Dr. Fitterman says that laser scarring is not the cause of Mrs. Killam's symptoms. He says that her symptoms are, instead, a consequence of her diabetic retinopathy.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Killam maintains that when she went to see Dr. Fitterman she did not have diabetic retinopathy. She says that there was, therefore, no need for her to undergo laser treatment. She deposes that Dr. Fitterman did not describe to her any potential negative consequence of the laser treatment. In particular she says that he did not warn her that there was a chance that her retina would be scarred by the laser and that her vision might be impaired by such scarring. Mrs. Killam says that if she had been told about the risk to her vision of laser surgery she would have certainly declined it. She says that it would have been reasonable for her to decline the treatment because she did not, at that time, have diabetic retinopathy.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Fitterman is quite clear in his evidence that when he first examined Mrs. Killam in mid-December 1998 she had pronounced diabetic retinopathy. He says that the disease was affecting her vision at that time. Her visual acuity was profoundly impaired. She was 20/400 in the right eye and 20/200 for the left. A patient is legally blind at 20/200 or less. He describes diabetic retinopathy as a progressive degenerative condition which, if left untreated, will result in decreased vision and, in the worst case, blindness. Dr. Fitterman says in his affidavit that he described to Mrs. Killam the degenerative nature of her disease and the necessity for laser treatment to control its progress. He says that laser therapy is the conventional and preferred mode of treatment. He does not say in his affidavit that he told Mrs. Killam that a risk of laser treatment is retinal scarring.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Fitterman argues that when any reasonable person is faced with the knowledge that she has diabetic retinopathy, and is facing blindness if that condition goes untreated, that person will accept laser treatment; and further, that such a reasonable person will accept laser treatment even though she knows the treatment brings with it some risk of scarring and consequent visual distortion. He says, in essence, that if he had fully explained the downside of laser treatment, a reasonable person in Mrs. Killam's place would have appreciated that the benefit of laser treatment far outweighs its potential cost, and would have accepted the laser treatment. All this is, of course, all predicated on Mrs. Killam actually having a degenerative condition that required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To prove that she did not give informed consent to the laser treatment, Mrs. Killam must show that:</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Fitterman did not explain to her the material and special risks associated with that treatment;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reasonable person in her position would not have gone ahead with the procedure if advised of those material and special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Diack v. Bardsley, </w:t>
      </w:r>
      <w:hyperlink r:id="rId298"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Fitterman's evidence does not convince me that he fully explained to Mrs. Killam the possibility that her retina might be scarred by the laser and that such scarring might cause visual distortions. Neither am I convinced by Mrs. Killam's evidence that he completely failed to cover the topic. This is, in my view, an issue of credibility that can only be assessed by a trial judge after observing plaintiff and defendant in the witness stand. It is not one that is amenable to determination in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think, however, that the outcome of the first point is moot. That is because on the evidence before me I am convinced that any reasonable person in Mrs. Killam's position would have accepted the laser surgery. I acknowledge that Mrs. Killam is sure that she did not have diabetic retinopathy when she first saw Dr. Fitterman in December 1998. The evidence is absolutely to the contrary though. Dr. Fitterman's clinical records note the presence of diabetic retinopathy in December 1998. The kind of vision trouble she was having at the time was consistent with retinopathy, and I accept Dr. Parson's opinion on that point. The presence of advanced retinopathy was confirmed by other physicians who saw Mrs. Killam within a year of the laser surgery. I accept the general consensus among the physicians who supplied evidence on this application that Mrs. Killam had diabetic retinopathy in December 1998. There is simply no prospect that Mrs. Killam could persuade the court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Killam is also adamant that when she went to see Dr. Fitterman there was nothing wrong with her vision and that she was able to function perfectly well. She says that if Dr. Fitterman had told her that distorted vision was a risk of the laser treatment he propounded she would have simply got up and walked out of his office. She says at a minimum she would have sought a second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do not think that Mrs. Killam is trying to mislead the court when she says that there was nothing wrong with her eyesight in December 1998. She appears to have simply forgotten that her visual acuity was profoundly impaired at that time. There is no explanation for that impairment other than diabetic retinopathy. I regret that Mrs. Killam's recollection of the events of December 1998 does not permit her to appreciate the truth of what happened. She went in to see Dr. Fitterman because her eyesight was profoundly bad. She was legally blind. She does not remember it was so, but that is the way it was. Dr. Fitterman did not make up the results of her vision test. Neither did he concoct a story that she had diabetic retinopathy when she did not. I find as a fact that in December 1998 Mrs. Killam's eyesight was affected by diabetic retinopathy.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Would a reasonable person in Mrs. Killam's position, knowing that she would lose her vision to diabetic retinopathy, accept laser therapy in order to stabilize the disease? One factor to consider when making that decision would surely be the material risk that laser treatment might result in scarring which could, in turn, cause distorted vision. The evidence on this application established that the laser treatment posed no threat to Mrs. Killam's life or limb. On the evidence the worst risk was that laser treatment might cause distorted vision as a consequence of scarring. Absent treatment she was going to have poor to non-existent vision anyway - the risk of laser treatment, if realized, would hardly put her in a worse position than not having the treatment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find that any reasonable person in Mrs. Killam's situation would consider the question to be: is some vision is better than none? I find that any reasonable person would conclude that the answer is yes, and would therefore consent to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do not, therefore, need to determine whether Dr. Fitterman explained the pros and cons of laser surgery, and on the materials in this application I do not think that I could resolve that question. It is clear to me, however, that if Dr. Fitterman had described to a reasonable patient in Mrs. Killam's position the nature of the disease she suffered, its consequences, and the risks and benefits of laser treatment, that reasonable patient would have consented to the laser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Consequently, I conclude that Mrs. Killam cannot succeed in her claim against Dr. Fitterman for treating her without first obtaining her informed consent. That leg of the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theory of Mrs. Killam's case against Dr. Fitterman is founded on res ipsa loquitur. She says that no reasonably competent ophthalmologist would have used the laser in such a way as to leave the scars she now bears on her left retina. In support of her theory Mrs. Killam has submitted some papers she has uncovered in her research. Those papers propound on the correct use of the laser during eye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Fitterman says that he did nothing inappropriate with the laser and that any laser scarring on Mrs. Killam's retina is wholly commensurate with his having used a proper degree of care and skill during the procedure. Dr. Fitterman's position is, of course, self-serving, but he is supported in his view by the expert opinion of the ophthalmologist Dr. Parsons.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To succeed in her action against Dr. Fitterman, Ms. Kilmer must establish that Dr. Fitterman failed to meet the standard of care of an ordinary competent ophthalmologist in similar circumstances. A physician must have and exercise the skill, knowledge and judgment of the generality or average of the special group or class of technicians to which he [or she] belongs; he or she must possess and use that reasonable degree of learning and skill ordinarily possessed by practitioners in similar communities and similar cases and it is the duty of a specialist to have and exercise the degree of skill of an average specialist in his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Mrs. Killam has not offered any expert evidence to show that Dr. Fitterman's practice or procedure with the laser was anything other than competent. She has had ample time to gather such evidence. The trial of her claim and this summary trial hearing have been adjourned a number of times to accommodate Mrs. Killam's earlier request for time to develop medical evidence. Despite these opportunities, no such evidence was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a medical malpractice case the court relies heavily, although not exclusively, on opinion evidence from medical practitioners. That is because most often matters of medicine are beyond the ken of the court. Absent such evidence it is very difficult for the court to find in the plaintiff's favor. I do not say it is impossible - there may well be a case where a physician's conduct is so lax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self-evident. This, however, is not such a case. The use of a laser on the eye is a technical and delicate matter. It is not something that a layman would know or be able to determine in the absence of expert assistance. I can make little use of the learned journal articles Mrs. Killam passed to the bench during argument. Those papers require interpretation by a person qualified to read and critique them. I am not such a person. Absent such assistance those articles amount to not much in support of Mrs. Killam's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do not pass comment on the quality of the opinions offered by the medical practitioners who support Dr. Fitterman's defence. Their opinions are, in my view, superfluous at this point. The burden of proof is on Mrs. Killam and the only relevant consideration for me is whether Mrs. Killam has offered any evidence to support her theory that Dr. Fitterman was negligent. She has not. Her case against him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therefore,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Mrs. Killam's claim for negligent medical practice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Given my findings on informed consent and standard of care, it is not, strictly speaking, necessary for me to go on to deal with the question of causation. This is, however, an area of considerable concern for Mrs. Killam. So that Mrs. Killam will understand that all of her arguments have been heard and considered I will set out my thoughts concerning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Mrs. Killam maintains that her visual distortion is caused by scars left by Dr. Fitterman's application of the argon laser to her left retina. She utterly rejects the defendant's assertion that her visual distortions are attributable to diabetic retinopathy. Mrs. Killam's research has convinced her that diabetic retinopathy cannot cause scarring of the retina. She says that any scars now present on her retina were caused by Dr. Fitterman's use of the laser.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support of her position Mrs. Killam relies on the opinion of Dr. Nguyen. Dr. Nguyen maintains that a scarred area he observed on Mrs. Killam's left retina is responsible for the visual distortions. He says that this scar is the type left by laser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Fitterman says not so. Unfortunately for Dr. Fitterman, his experts do not lineup on this issue quite as neatly as they do on standard of care. Dr. Parsons says that the laser scars might cause visual distortion but that it is much more likely that any problems Mrs. Killam may now have with her vision are attributable to ongoing diabetic retinopathy. Dr. Dubord echoes that opinion, although Dr. Dubord's views may be entitled to somewhat less weight than those of Dr. Parsons because Dr. Dubord is not a specialist in diseases of the retina.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Mrs. Killam's unchallenged evidence is that she experienced the onset of distorted vision about two weeks after the laser therapy. She noticed it on the first occasion that she was out of her home. The temporal proximity between treatment and symptoms suggests (but does not prove) that there may be a link between the two. There are as well the conflicting opinions of Dr. Nguyen and Dr. Parsons. Those opinions cannot, in my view, be resolved in a summary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If this application turned only on causation, I would say that the evidence at hand does not permit a summary determination and that the action should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However,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one does not get to causation without first getting by standard of care. As noted above, I have come to the conclusion that Mrs. Killam's action against Dr. Fitterman must be dismissed because she has offered no evidence to support her position that Dr. Fitterman's standard of care was lacking. My comments here with respect to causation are, therefore, simply by way of observation and are not findings necessary to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Mrs. Killam will, I expect, remain convinced that she did not have diabetic retinopathy when she saw Dr. Fitterman in December 1998. She will go on believing that she is the victim of a conspiracy of silence in the medical profession; a conspiracy that mutes any criticism one doctor might in good conscience direct at another. These reasons are most unlikely to disabuse her of those strongly held beliefs. These reasons are not intended to convince anybody of anything, but rather to describe the effect of evidence and the law on this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This case must be decided on the evidence, and the evidence establishes that the only reasonable course of action a fully informed Mrs. Killam could have taken in December 1998 and January 1999 was to have laser treatment for her diabetic retinopathy. She therefore has no claim for lack of informed consent. There is no evidence that Dr. Fitterman was negligent in his use of the laser. Scarring of the sort present on Mrs. Killam's retina is, according to Dr. Parson's unchallenged evidence, entirely consistent with proper, prudent use of the laser. There having been ample time for Mrs. Killam to gather, develop, and present such evidence, and there being none, this court must conclude that Mrs. Killam's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application is allowed with costs to the defendant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ROGERS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3"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Marelj v. Gosselin, [2001] B.C.J. No. 2196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B992518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2196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1491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B.C.L.R. (3d) 351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C.C.L.T. (3d) 260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C.P.C. (5th) 179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 M.P.L.R. (3d) 133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108 A.C.W.S. (3d) 1079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1491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Marelj, plaintiff, and Michelle Gosselin and Vito Steel Boat &amp; Barge Construction Ltd., defendants, and Corporation of Delta,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4"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7" w:name="Keywords_20"/>
      <w:bookmarkEnd w:id="137"/>
      <w:r>
        <w:rPr>
          <w:rFonts w:ascii="arial" w:eastAsia="arial" w:hAnsi="arial" w:cs="arial"/>
          <w:b/>
          <w:color w:val="000000"/>
          <w:sz w:val="20"/>
          <w:lang w:val="en-US" w:eastAsia="en-US" w:bidi="ar-SA"/>
        </w:rPr>
        <w:t>Practice — Parties — Adding or substituting parties — Notwithstanding limitation period — Adding or substituting defendants — Application of limitation periods — Third party or subsequent party procedure — Third party notice — Striking out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8" w:name="Case Summary_19"/>
            <w:bookmarkEnd w:id="1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third party, the town of Delta, to set aside a third party notice. The plaintiff Marelj, who was injured in a motor vehicle accident, did not bring an action against Delta. The defendant Vito served notice on Delta as a third party to the action. Delta argued that the limitation periods in the Limitation Act and the Local Government Act for filing an action against it had expired, and therefore it was immune from being added as a party by Vito.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9" w:name="Holdings of Court_17"/>
            <w:bookmarkEnd w:id="13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expiration of Marelj's limitation periods did not relieve Delta of liability for contribution and indemnity to other tortfeasors, including Vito.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0" w:name="Legislation Cited_14"/>
      <w:bookmarkEnd w:id="1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5"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22(6).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s. 4(1), 4(1)(a), 4(1)(b), 4(1)(c), 4(1)(d).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 266, ss. 285, 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72"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 4(2).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1" w:name="Counsel_20"/>
      <w:bookmarkEnd w:id="1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6"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 Woodward, for the third party, Corporation of Delta. G.C. Yeung, for the defendant, Vito Steel Boat &amp; Barge Construction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2" w:name="Judgment_20"/>
      <w:bookmarkEnd w:id="142"/>
      <w:r>
        <w:pict>
          <v:line id="_x0000_s1127" style="position:absolute;z-index:2518333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3" w:name="WONG J."/>
            <w:bookmarkEnd w:id="143"/>
            <w:r>
              <w:rPr>
                <w:rFonts w:ascii="arial" w:eastAsia="arial" w:hAnsi="arial" w:cs="arial"/>
                <w:b/>
                <w:color w:val="000000"/>
                <w:sz w:val="30"/>
                <w:lang w:val="en-US" w:eastAsia="en-US" w:bidi="ar-SA"/>
              </w:rPr>
              <w:t>WONG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third party, Corporation of Delta, to set aside a third party notice pursuant to Rules 22(6) and 18A of the Supreme Court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personal injury claim arises out of a motor vehicle accident on December 26, 1997 in Delta, when a motor vehicle in which the defendant Gosselin was the driver and the plaintiff was the passenger, left the roadway and overturned.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passenger has sued the driver and the defendant Vito. The claim against Vito is premised primarily upon the fact that certain steel trusses owned by Vito were stored off the travelled surface of the roadway and had the effect of increasing the injuries suffered by the plaintiff in the skidding vehicle when it came into contact with these trusses.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did not sue Delta and at no time advanced any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Limitation periods for the bringing of an action by the plaintiff against Delta have now accrued, these being the two month limitation in s. 286 and the six month limitation in s. 285 of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and the two year limitation specified in the Limitation Act, </w:t>
      </w:r>
      <w:hyperlink r:id="rId20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Delta having no liability to the plaintiff submits it is not susceptible to being drawn into the action as a third party by the defendant Vito and therefore seeks to have the third party notice against it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disagree. My reasons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and right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contribution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If damage or loss has been caused by the fault of 2 or more persons, the court must determine the degree to which each person was at fault.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Section 4(1) of the Limitation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Counterclaim or other claim or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If an action to which this or any other Act applies has been commenced, the lapse of time limited for bringing an action is no bar to</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by counterclaim, including the adding of a new party as a defendant by counterclaim,</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proceedings,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by way of set off, or</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or substituting a new party as plaintiff or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Bauman, J. in the recent decision of Pearse v. Canpar Transport Ltd. </w:t>
      </w:r>
      <w:hyperlink r:id="rId142" w:history="1">
        <w:r>
          <w:rPr>
            <w:rFonts w:ascii="arial" w:eastAsia="arial" w:hAnsi="arial" w:cs="arial"/>
            <w:i/>
            <w:color w:val="0077CC"/>
            <w:sz w:val="20"/>
            <w:u w:val="single"/>
            <w:shd w:val="clear" w:color="auto" w:fill="FFFFFF"/>
            <w:lang w:val="en-US" w:eastAsia="en-US" w:bidi="ar-SA"/>
          </w:rPr>
          <w:t>(2001), 88 B.C.L.R. (3d) 312</w:t>
        </w:r>
      </w:hyperlink>
      <w:r>
        <w:rPr>
          <w:rFonts w:ascii="arial" w:eastAsia="arial" w:hAnsi="arial" w:cs="arial"/>
          <w:color w:val="000000"/>
          <w:sz w:val="20"/>
          <w:lang w:val="en-US" w:eastAsia="en-US" w:bidi="ar-SA"/>
        </w:rPr>
        <w:t xml:space="preserve"> (B.C.S.C.) identified the problem in issue and admirably summarized the current law at pages 315-317 and 318: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number of cases have dealt with the difficult issue which presents when, for one reason or another, the plaintiff is unable to proceed against one tortfeasor and the other party at fault seeks third party relief against the immune party.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Much has been written of the theoretical framework within which contribution and indemnity works between concurrent tortfeasors and it is sufficient if I simply distil the now established principles in British Columbia: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claim for contribution and indemnity cannot succeed unless the party against whom contribution is sought is also liable to the plaintiff" per Legg J. in Cook v. Teh </w:t>
      </w:r>
      <w:hyperlink r:id="rId306" w:history="1">
        <w:r>
          <w:rPr>
            <w:rFonts w:ascii="arial" w:eastAsia="arial" w:hAnsi="arial" w:cs="arial"/>
            <w:i/>
            <w:color w:val="0077CC"/>
            <w:sz w:val="20"/>
            <w:u w:val="single"/>
            <w:shd w:val="clear" w:color="auto" w:fill="FFFFFF"/>
            <w:lang w:val="en-US" w:eastAsia="en-US" w:bidi="ar-SA"/>
          </w:rPr>
          <w:t>(1988), 28 B.C.L.R. (2d) 300</w:t>
        </w:r>
      </w:hyperlink>
      <w:r>
        <w:rPr>
          <w:rFonts w:ascii="arial" w:eastAsia="arial" w:hAnsi="arial" w:cs="arial"/>
          <w:color w:val="000000"/>
          <w:sz w:val="20"/>
          <w:lang w:val="en-US" w:eastAsia="en-US" w:bidi="ar-SA"/>
        </w:rPr>
        <w:t xml:space="preserve"> (B.C.S.C.) at 302.</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Hence, contribution cannot be sought by a defendant from a concurrent tortfeasor as against whom the plaintiff's claim is statute-barred.</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Parkland (infra) and Dominion Chain Co. v. Eastern Construction Co., </w:t>
      </w:r>
      <w:hyperlink r:id="rId307" w:history="1">
        <w:r>
          <w:rPr>
            <w:rFonts w:ascii="arial" w:eastAsia="arial" w:hAnsi="arial" w:cs="arial"/>
            <w:i/>
            <w:color w:val="0077CC"/>
            <w:sz w:val="20"/>
            <w:u w:val="single"/>
            <w:shd w:val="clear" w:color="auto" w:fill="FFFFFF"/>
            <w:lang w:val="en-US" w:eastAsia="en-US" w:bidi="ar-SA"/>
          </w:rPr>
          <w:t>84 D.L.R. (3d) 344</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[1978] 2 S.C.R. 1346</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 N.R. 298</w:t>
        </w:r>
      </w:hyperlink>
      <w:r>
        <w:rPr>
          <w:rFonts w:ascii="arial" w:eastAsia="arial" w:hAnsi="arial" w:cs="arial"/>
          <w:color w:val="000000"/>
          <w:sz w:val="20"/>
          <w:lang w:val="en-US" w:eastAsia="en-US" w:bidi="ar-SA"/>
        </w:rPr>
        <w:t xml:space="preserve"> (S.C.C.): "Similarly, I am of the view that it is a pre-condition of the right to resort to contribution that there be liability to the plaintiff." (per Laskin C.J.C. at D.L.R. 349).</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it matters not that in such circumstances the plaintiff can, by virtue of s. 4(2)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recover 100% of his or her loss from the non-immune tortfeasor:</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Parkland No. 31 (County) v. Stetar (1974), </w:t>
      </w:r>
      <w:hyperlink r:id="rId308" w:history="1">
        <w:r>
          <w:rPr>
            <w:rFonts w:ascii="arial" w:eastAsia="arial" w:hAnsi="arial" w:cs="arial"/>
            <w:i/>
            <w:color w:val="0077CC"/>
            <w:sz w:val="20"/>
            <w:u w:val="single"/>
            <w:shd w:val="clear" w:color="auto" w:fill="FFFFFF"/>
            <w:lang w:val="en-US" w:eastAsia="en-US" w:bidi="ar-SA"/>
          </w:rPr>
          <w:t>[1975] 2 S.C.R. 884</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50 D.L.R. (3d) 376</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3 N.R. 311</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[1975] 1 W.W.R. 441</w:t>
        </w:r>
      </w:hyperlink>
      <w:r>
        <w:rPr>
          <w:rFonts w:ascii="arial" w:eastAsia="arial" w:hAnsi="arial" w:cs="arial"/>
          <w:color w:val="000000"/>
          <w:sz w:val="20"/>
          <w:lang w:val="en-US" w:eastAsia="en-US" w:bidi="ar-SA"/>
        </w:rPr>
        <w:t xml:space="preserve"> (S.C.C.)</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plaintiff has settled the claim against one concurrent tortfeasor, however, does not preclude the tortfeasor who has not settled from seeking contribution from the other:</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Tucker (Public Trustee of) v. Asleson </w:t>
      </w:r>
      <w:hyperlink r:id="rId309" w:history="1">
        <w:r>
          <w:rPr>
            <w:rFonts w:ascii="arial" w:eastAsia="arial" w:hAnsi="arial" w:cs="arial"/>
            <w:i/>
            <w:color w:val="0077CC"/>
            <w:sz w:val="20"/>
            <w:u w:val="single"/>
            <w:shd w:val="clear" w:color="auto" w:fill="FFFFFF"/>
            <w:lang w:val="en-US" w:eastAsia="en-US" w:bidi="ar-SA"/>
          </w:rPr>
          <w:t>(1993), 102 D.L.R. (4th) 518</w:t>
        </w:r>
      </w:hyperlink>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[1993] 6 W.W.R. 45</w:t>
        </w:r>
      </w:hyperlink>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78 B.C.L.R. (2d) 173</w:t>
        </w:r>
      </w:hyperlink>
      <w:r>
        <w:rPr>
          <w:rFonts w:ascii="arial" w:eastAsia="arial" w:hAnsi="arial" w:cs="arial"/>
          <w:color w:val="000000"/>
          <w:sz w:val="20"/>
          <w:lang w:val="en-US" w:eastAsia="en-US" w:bidi="ar-SA"/>
        </w:rPr>
        <w:t xml:space="preserve"> (B.C.C.A.)</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I interject to note that in arriving at this conclusion, Justice Southin said (at 576 D.L.R.):</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Thus, in the end, I come to the same conclusion as did Finch J. when he said [at p. 119]:</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the defendant Asleson's submission, referred to at p. 112 of these reasons, I see no real distinction between a plaintiff settling with one joint tortfeasor, on the one hand, and a plaintiff losing his right to sue one joint tortfeasor due to a time-limitation bar. In both cases the plaintiff's conduct, or lack of it, prevents his advancing or continuing a claim against the tortfeasor. But in Parkland, the Supreme Court of Canada held that the plaintiff's conduct could not prevent the other joint tortfeasor from pursing his rights to contribution and indemnity against the tortfeasor who was immune to suit by the plaintiff. Applying that logic, I see no reason why a plaintiff's settling with one joint tortfeasor should have the effect of limiting or barring another tortfeasor's rights to contribution and indemnity under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So long as that defendant's right to contribution and indemnity remain intact, the liability of all tortfeasors remains joint and several. The position of the settling tortfeasor can be protected either by his taking a covenant for indemnity from the plaintiff, as suggested above at p. 110 or by giving that tortfeasor credit as a matter of equity, for any amount he has paid against another tortfeasor's claim for contribution and indemnity, as suggested in Ms. Lewis' article, supra, at p. 721.</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With respect, the trial judge's conclusion is problematic in its reference to the Supreme Court of Canada's decision in Parkland. That court expressly held that the fact the plaintiff's claim against the county was statute-barred precluded the other tortfeasor from seeking contribution against the county (per Dickson J. at 450-451).</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I must note that in his trial decision in Tucker, the trial judge appears to criticize the decision in Cook v. Teh, presumably based in part on his reading of Parkland, but it appears to me that both Parkland and Laing Property Corp. support Justice Legg's conclusion in Cook v. Teh.</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plaintiff expressly agrees with a third party not to seek to recover from the defendants any portion of the plaintiff's losses which the court might attribute to the fault of the third party, the defendants [sic] claim against the third party for contribution will be dismissed.:</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Ferry Corp. v. T &amp; N plc (1995), </w:t>
      </w:r>
      <w:hyperlink r:id="rId121" w:history="1">
        <w:r>
          <w:rPr>
            <w:rFonts w:ascii="arial" w:eastAsia="arial" w:hAnsi="arial" w:cs="arial"/>
            <w:i/>
            <w:color w:val="0077CC"/>
            <w:sz w:val="20"/>
            <w:u w:val="single"/>
            <w:shd w:val="clear" w:color="auto" w:fill="FFFFFF"/>
            <w:lang w:val="en-US" w:eastAsia="en-US" w:bidi="ar-SA"/>
          </w:rPr>
          <w:t>[1996] 4 W.W.R. 161</w:t>
        </w:r>
      </w:hyperlink>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16 B.C.L.R. (3d) 115</w:t>
        </w:r>
      </w:hyperlink>
      <w:r>
        <w:rPr>
          <w:rFonts w:ascii="arial" w:eastAsia="arial" w:hAnsi="arial" w:cs="arial"/>
          <w:color w:val="000000"/>
          <w:sz w:val="20"/>
          <w:lang w:val="en-US" w:eastAsia="en-US" w:bidi="ar-SA"/>
        </w:rPr>
        <w:t xml:space="preserve"> (B.C.C.A.)</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But in the exercise of the court's discretion to grant declaratory relief it might nevertheless permit the defendants to advance a claim against the third party for an order declaring the third party's degree of fault. Especially, where the defendants would be prejudiced in establishing the fault of the third party and in defending themselves, if they did not have full procedural rights against those parties: British Columbia Ferry Corp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should digress and here recognize more directly the conflict in the case law in British Columbia.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conflict came to a head in Tucker, and it is well summarized in an article referred to by Justice Finch in Tucker: Third Party Liability for Contribution and Indemnity - the Slings and Arrows of Outrageous Circumstances, Elizabeth Pedersen Lewis (1991, 49 The Advocate, 709).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 of the controversy centres on a question of timing. One line of authority, championed by David Cheifetz in his text Apportionment of Fault in Tort (Toronto: Canada Law Book Limited, 1981), would allow a claim for contribution where there was potential liability to the plaintiff, on the part of the now immune tortfeasor, at the time the damages were sustained.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so, "after tort" conduct, a settlement with the now immune tortfeasor, or presumably the running of a limitation period against the now immune tortfeasor, would not prevent the other tortfeasor from claiming contribution. The former situation was indeed the case in Tucker.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other line of authority would suggest that if the plaintiff looses the right to pursue one of the tortfeasors, at any point after the damages were sustained, i.e. through settlement or the running of a limitation period, the immune tortfeasor cannot be pursued by the other defendant for contribution.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Cook v. Teh is an example of the latter and Justice McLachlin's decision in Westcoast Transmission Co. v. Interprovincial Steel &amp; Pipe Corp. </w:t>
            </w:r>
            <w:hyperlink r:id="rId310" w:history="1">
              <w:r>
                <w:rPr>
                  <w:rFonts w:ascii="arial" w:eastAsia="arial" w:hAnsi="arial" w:cs="arial"/>
                  <w:i/>
                  <w:color w:val="0077CC"/>
                  <w:sz w:val="18"/>
                  <w:u w:val="single"/>
                  <w:shd w:val="clear" w:color="auto" w:fill="FFFFFF"/>
                  <w:lang w:val="en-US" w:eastAsia="en-US" w:bidi="ar-SA"/>
                </w:rPr>
                <w:t>(1985), 60 B.C.L.R. 368</w:t>
              </w:r>
            </w:hyperlink>
            <w:r>
              <w:rPr>
                <w:rFonts w:ascii="arial" w:eastAsia="arial" w:hAnsi="arial" w:cs="arial"/>
                <w:color w:val="000000"/>
                <w:sz w:val="18"/>
                <w:lang w:val="en-US" w:eastAsia="en-US" w:bidi="ar-SA"/>
              </w:rPr>
              <w:t xml:space="preserve"> (B.C.S.C.) is an example of the former situation.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Whether Westcoast was correctly decided was, of course, mooted in Tucker.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Tucker, Southin, J.A. at page 577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unnecessary for me to consider whether the Westcoast Transmission case was rightly decided, for it was a case in which there were two parties with separate contractual duties and this case is about parties whose duties sound only in tort. It does, however, follow from this decision that, to the extent that any of the judgments referred to by the learned trial judge in his reasons for judgment say that there is no independent right created by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those judgments were wrongly decided.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opinion that many of these difficulties would not have arisen in the law if all concerned had remembered that the purpose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in its original form, was to protect injured persons from losing their claims wholly because they themselves had been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to make it possible for those who are concurrent tortfeasors, whether joint or several, to claim contribution from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page 576: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right of contribution and indemnity among several concurrent tortfeasors is independent of what the injured person does if, in fact, damage or loss has been caused by the fault of two or more. A finding in an action between the person suffering a loss and one of the several concurrent tortfeasors that the latter has caused some part of the damage by his fault, makes that person liable to the person suffering the loss for the whole of the loss, subject to deduction for what that person has received from the released tortfeasor, but does not prevent the tortfeasor, who was sued, from maintaining his claim for contribution, whether in that action or a separate action. In the first action, it is quite unnecessary for the court to make any division of fault, but in the proceedings for contribution it must do so in order to implement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Although there is presently a conflict in the case law, Tucker has not been overruled on the relevant proposition that it stands for and, in my view, represents the current law of British Columbia. See also T.W.N.A. v. Canada, </w:t>
      </w:r>
      <w:hyperlink r:id="rId311" w:history="1">
        <w:r>
          <w:rPr>
            <w:rFonts w:ascii="arial" w:eastAsia="arial" w:hAnsi="arial" w:cs="arial"/>
            <w:i/>
            <w:color w:val="0077CC"/>
            <w:sz w:val="20"/>
            <w:u w:val="single"/>
            <w:shd w:val="clear" w:color="auto" w:fill="FFFFFF"/>
            <w:lang w:val="en-US" w:eastAsia="en-US" w:bidi="ar-SA"/>
          </w:rPr>
          <w:t>[1999] B.C.J. No. 2585</w:t>
        </w:r>
      </w:hyperlink>
      <w:r>
        <w:rPr>
          <w:rFonts w:ascii="arial" w:eastAsia="arial" w:hAnsi="arial" w:cs="arial"/>
          <w:color w:val="000000"/>
          <w:sz w:val="20"/>
          <w:lang w:val="en-US" w:eastAsia="en-US" w:bidi="ar-SA"/>
        </w:rPr>
        <w:t xml:space="preserve"> (Williamson, J.); Prairie Hydraulic Equipment Ltd. v. Lakes District Maintenance Ltd., </w:t>
      </w:r>
      <w:hyperlink r:id="rId312" w:history="1">
        <w:r>
          <w:rPr>
            <w:rFonts w:ascii="arial" w:eastAsia="arial" w:hAnsi="arial" w:cs="arial"/>
            <w:i/>
            <w:color w:val="0077CC"/>
            <w:sz w:val="20"/>
            <w:u w:val="single"/>
            <w:shd w:val="clear" w:color="auto" w:fill="FFFFFF"/>
            <w:lang w:val="en-US" w:eastAsia="en-US" w:bidi="ar-SA"/>
          </w:rPr>
          <w:t>[2001] B.C.J. No. 1194</w:t>
        </w:r>
      </w:hyperlink>
      <w:r>
        <w:rPr>
          <w:rFonts w:ascii="arial" w:eastAsia="arial" w:hAnsi="arial" w:cs="arial"/>
          <w:color w:val="000000"/>
          <w:sz w:val="20"/>
          <w:lang w:val="en-US" w:eastAsia="en-US" w:bidi="ar-SA"/>
        </w:rPr>
        <w:t xml:space="preserve"> (Chamberlist, J.) which are recent cases following Tucker.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If Tucker is wrong, it will require a five member panel of the Court of Appeal to review that decision. In the meantime this court is bound by the Tucker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Accordingly, given s. 4(2)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s. 4(1)(b) of the Limitation Act, expiration of a limitation period applicable to claims by a plaintiff against an immune concurrent tortfeasor will not relieve that immune tortfeasor of liability for contribution and indemnity to other concurrent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application to set aside the third party notice is therefore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Vito is entitled to costs for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8"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McDougall v. Collinson, [2000] B.C.J. No. 571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31, July 6 and December 13 - 16,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22514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571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398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A.C.W.S. (3d) 1023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Marilyn McDougall, plaintiff, and William Edward Collinson, Kenneth Umbarger, Dominion Depository Agency Inc., Imperial Capital Corporation, Imperial Mortgage Fund Inc., R 218 Enterprises Ltd., Imperial Mortgage Fund (3) Inc., Imperial Mortgage Fund (4), Dominion Mortgage Corporation, Metro-Sunlake Projects Ltd., Kenway Industries Ltd., Woodway Holdings Ltd., El Rancho Vista Farms Ltd., Sunlake Industries Ltd., Rancher Investments Corp., Vancorp Development Ltd., John Stringer, and Messer, Stringer &amp; Company, defendants, and Valley First Credit Union, Gus Faller, Linda Piddocke, John Huber, Chris Jaegli, Hugh Jensen and Sheila Golley,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9"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4" w:name="Keywords_21"/>
      <w:bookmarkEnd w:id="144"/>
      <w:r>
        <w:rPr>
          <w:rFonts w:ascii="arial" w:eastAsia="arial" w:hAnsi="arial" w:cs="arial"/>
          <w:b/>
          <w:color w:val="000000"/>
          <w:sz w:val="20"/>
          <w:lang w:val="en-US" w:eastAsia="en-US" w:bidi="ar-SA"/>
        </w:rPr>
        <w:t>Practice — Persons who can sue and be sued — Individuals and corporations, status or standing — Class actions, certification, considerations.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5" w:name="Case Summary_20"/>
            <w:bookmarkEnd w:id="1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McDougall for certification of a class action, and for an order appointing a judicial trustee. McDougall was the proposed representative plaintiff for a class of 160 investors, all of whom anticipated losing a significant portion of their investments in four syndicated mortgage funds. McDougall was not one of the investors. The allegations in the statement of claim were very general and few particulars had been provided. The evidence primarily consisted of the plaintiffs' general unhappiness over their losses and their suspicions of misconduct. The plaintiffs submitted that the defendants had a duty of care to the investors arising from the nature of their relationship, which they submitted was a trust or fiduciary relationship. The statement of claim did not claim a cause of action against all of the defendants. The most compelling submission advanced in support of the certification was the significant financial burden an individual investor would have to incur in order to pursue an action. Collinson and the other defendants argued that a class action could not satisfactorily address the differing and often conflicting issues between the various defendants and investor groups. They also claimed that a class action would not resolve any disputes between the parties in a manner that was fair to all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6" w:name="Holdings of Court_18"/>
            <w:bookmarkEnd w:id="14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Four of the five requirements for certification had not been met. A class action would not be a fair resolution of the dispute for all of the parties. There was no satisfactory evidentiary basis to suggest how the alleged breaches might have occurred. Without more than bare assertions of the alleged breaches, there was insufficient evidence to support the plaintiffs' claims. As such, it had to be concluded that they would not succeed. There were no identifiable common issues. The advantages of the economies of scale in certifying this action were far outweighed by the unmanageability of the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7" w:name="Legislation Cited_15"/>
      <w:bookmarkEnd w:id="1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0"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320" w:history="1">
        <w:r>
          <w:rPr>
            <w:rFonts w:ascii="arial" w:eastAsia="arial" w:hAnsi="arial" w:cs="arial"/>
            <w:i/>
            <w:color w:val="0077CC"/>
            <w:sz w:val="20"/>
            <w:u w:val="single"/>
            <w:shd w:val="clear" w:color="auto" w:fill="FFFFFF"/>
            <w:lang w:val="en-US" w:eastAsia="en-US" w:bidi="ar-SA"/>
          </w:rPr>
          <w:t>R.S.B.C. 1996, c. 50, ss. 1</w:t>
        </w:r>
      </w:hyperlink>
      <w:r>
        <w:rPr>
          <w:rFonts w:ascii="arial" w:eastAsia="arial" w:hAnsi="arial" w:cs="arial"/>
          <w:color w:val="000000"/>
          <w:sz w:val="20"/>
          <w:lang w:val="en-US" w:eastAsia="en-US" w:bidi="ar-SA"/>
        </w:rPr>
        <w:t>, 4, 4(1), 5(5), 6,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Trustee Act,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8" w:name="Counsel_21"/>
      <w:bookmarkEnd w:id="1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1"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 Schroeder, for the plaintiff, M. McDougall. B. Cronquist and D.E. Spelliscy, for the defendant, Dominion Mortgage Corporation. K. Rogers, for the defendants, Rancher Investments Corp., Imperial Mortgage Fund Inc., R218 Enterprises Ltd., Imperial Mortgage Fund (3) and (4) Inc., Imperial Capital Corporation, Woodway Holdings Ltd., and Dominion Depository Agency Inc. D. Kermode, for the defendants, William Collinson, El Rancho Vista Farms Ltd., and Metro-Sunlake Projects Ltd. P.R. Miller, for the defendants, John Stringer and Messer, Stringer &amp; Co. K. Umbarger, for the defendant, Kenway Industries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9" w:name="Judgment_21"/>
      <w:bookmarkEnd w:id="149"/>
      <w:r>
        <w:pict>
          <v:line id="_x0000_s1132"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0" w:name="D.M. SMITH J."/>
            <w:bookmarkEnd w:id="150"/>
            <w:r>
              <w:rPr>
                <w:rFonts w:ascii="arial" w:eastAsia="arial" w:hAnsi="arial" w:cs="arial"/>
                <w:b/>
                <w:color w:val="000000"/>
                <w:sz w:val="30"/>
                <w:lang w:val="en-US" w:eastAsia="en-US" w:bidi="ar-SA"/>
              </w:rPr>
              <w:t>D.M.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Marilyn McDougall is the proposed representative plaintiff for a class of one hundred and sixty investors, six of whom reside outside of British Columbia, and all of whom anticipate losing a significant portion of their investments in four syndicated mortgage funds. On behalf of the investors, Ms. McDougall has commenced an action pursuant to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action seeks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trust and or fiduciary duty and breach of contract against a variety of defendants including the promoters, the contractors, a risk management advisor and a mortgagee. The allegations in the Statement of Claim are very general and few particulars have been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application, Ms. McDougall seeks an order certifying the action as a class proceeding and appointing her as the representative plaintiff on behalf of the investors. Ancillary to that order she seeks an order pursuant to the Trustee Act,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 appointing a judicial trustee for all of the properties and assets held by the defendants for the benefit of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INVESTMENT SCHEME</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William Edward Collinson ("Collinson"), and Kenneth Umbarger ("Umbarger"), collectively referred to as "the Promoters", implemented a plan to raise monies for the development of certain real estate projects in the Okanagan and Castlegar areas of British Columbia. They solicited funds through an umbrella company, Imperial Capital Corporation ("ICC") for investment in four companies ("the borrowing companies"): Imperial Mortgage Fund Inc. ("IMF1 Co"); R 218 Enterprises Ltd. ("IMF2 Co"); Imperial Mortgage Fund (3) Inc. ("IMF3 Co"); and Imperial Mortgage Fund (4) Inc. ("IMF4 Co"). The investment companies are collectively referred to as the "IMF Group". The IMF Group was created and controlled by the Promoters, although Umbarger was not a director of IMF2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Each of the borrowing companies raised monies pursuant to an offering memorandum. A minimum investment of $25,000 was required. The offering memorandum also represented: the investment was eligible for RRSP or RRIF status; the investment would be secured by a mortgage on the project second only to construction financing; and, the total of all mortgages on a project would not exceed 75% of the appraised value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ICC marketed the RRSP investment as having a rate of return of 74.68% and the non-RRSP investment as having an effective rate of return of 24.68%. It offered basic interest payable at 12% per annum plus premium interest of 12% on the principal amount payable upon completion of the development project. Investors in IMF1 Co and IMF3 Co were to be paid on a first in, first out basis. Investors in IMF2 Co and IMF4 Co were to be paid on an equal basis when the projects were completed. Through ICC, the Promoters received commissions of 10% on the investment funds they raised for the IMF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investments being marketed were highly speculative and very risky. The offering memoranda identified a number of "Risk Factors". They specified there were no assets and there was no value in the borrowing companies to support their covenants. They also specified there was no market for the investment units and none was expected to develop. Furthermore, potential investors were cautioned about the adverse effect of a prolonged economic downturn and no assurances of economic growth in the region were provided. The success of the projects was dependent on the competence and integrity of the principals who were required to conduct the affairs of the companies for the benefit of all of the unitholders. A history of the principals' involvement in previous real estate developments was listed. It was noted the principals had been involved directly or indirectly in real estate investments which had resulted in disputes and/or were not profitable. In bold capital letters on the first page of the offering memoranda, investors were urged to consult with their professional advisors before making an investment in the offering.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offering memorandum for IMF4 Co, unlike the other IMF's, also specified that any dispute between the parties had to be resolved by compulsory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Promoters were authorized to supervise the projects and to choose their professional advisors. The material contracts for each project were identified in the offering memoranda. They included a security agreement for the first mortgagee, a nominee agreement, an interest agreement with a company that had loaned monies for a project, a service agreement with the Promoters, and the construction agreements with the Promoters' related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An investor in the IMF Group was defined as a sophisticated investor within the meaning of the Securities Act,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a person individually, or jointly with his or her spouse, who has a net worth of $400,000, and in the last two calendar years had, and in the current calendar year has the expectation of having, a gross annual income of $75,000 or $125,000 jointly with his or her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majority of the investments in the IMF Group were for the sum of $25,000. The average amount invested was approximately $39,000 per investor. I will refer to the investors in each borrowing company as: Investor Group one ("IG1"); Investor Group two ("IG2"); Investor Group three ("IG3"); and Investor Group four ("IG4").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contract between an investor and the borrowing company was contained in two principal documents signed by the unitholder: a subscription agreement, and a mortgage and agreement of nominee ownership. The subscription agreement acknowledged the investor had carefully reviewed the offering memorandum, had been advised to seek professional advice regarding the investment, and understood the level of risk and lack of market for the investment. The unitholder gave a broad and unlimited indemnity in favour of past and future shareholders, directors and officers except for material misrepresentations by the issuer. The agreement for nominee ownership authorized a specified nominee to act as agent for the investor and outlined the rights and obligations of both the unitholder and the nominee. It also gave a broad and unlimited indemnity to the nominee except for acts of wilful default,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fraud.</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nominee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investors' funds were received by a nominee. The nominee advanced the funds to the borrowing companies, issued mortgage unit certificates to the investors and held the mortgage security in its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Pursuant to the agreement of nominee ownership, the nominee had a duty to act honestly and in the best interests of the unitholders. It was required to exercise the care, diligence and skill of a reasonably prudent nominee. That duty would be met if the nominee, acting in good faith, relied on the written instructions of the officers of the borrowing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nominee had no duty to supervise or review the validity of the investments or the adequacy of the security provided for the investments. It had no discretion to interfere with the management of the companies unless requested to do so in writing by 25% of the unitholders in IMF1 Co, IMF2 Co, and IMF3 Co, or 51% of the unitholders in IMF4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nominee agreements also prohibited the unitholders from commencing any action or having a trustee or receiver appointed unless the unitholders first requested the nominee to act on their behalf. Actions could only be commenced in the name of the nominee upon the written request of 25% of the unitholders in each of the first three funds and 51% of the unitholders in the fourth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Initially, there were two nominees. Dominion Depository Agency Inc. ("DDAI") was the nominee for the investors in the first three funds. The sole shareholder, officer and director of DDAI was John Stringer ("Stringer"), a notary public with the firm of Messer, Stringer &amp; Company ("Messer, Stringer") with an office in Kelowna, B.C. Valley First Credit Union ("Valley") was the nominee for the fourth fund but was later replaced by DDAI. The nominees held the registered second mortgages on the project lands for the benefit of the unitholders.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are no allegations of wrongdoing against DDAI or Valley. In fact, Valley was not included as a defendant in the action. The allegations of breach of duty are against Stringer, and vicariously against Stringer's notary firm, Messer, Stringer, for notarial services allegedly provided by Stringer. However, there is no evidence that Stringer or his notary firm, Messer, Stringer, provided notarial services for DDAI. There is also no evidence that Stringer acted personally as a nominee, or that he was personally a party to any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summary, the IMF Group marketed an alluring but highly speculative plan for investment in a variety of real estate developments. The investment scheme promised a substantial return on the purchase of second mortgage units. However, the offering memoranda also identified the high risk nature of the investment. It also alerted prospective investors to the significant commissions, fees and costs associated with the promotion and development of the projects. These monies would be paid out to the promoters, managers and contractors before any return would be realized by the investors. Furthermore, the subscription agreements and nominee agreements limited the individual actions of the unitholders. Broad immunity was provided for the officers and directors of the borrowing companies and the nominee company in the absence of wilful default,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IMF Group was involved in six real estate projects at Vernon, Kelowna and Castlegar, all communities in the B.C. interior.</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Imperial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IMF1 Co purchased land in Vernon for the development and sale of a 44 condominium apartment building ("Imperial Ridge"). The monies for that project were solicited between December 30, 1993, and April 6, 1994. A total of $1,073,000 was raised from IG1. The construction of Imperial Ridge was completed in July, 1995.</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Heritage Hill and Erinmoore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R218 Enterprises Ltd. ("R218"), purchased land in both Vernon and Kelowna for the development and sale of two projects. For the sake of convenience I will refer to R218 as IMF2 Co. The Vernon project involved a three-phase development of 30 low-cost walk-up condominiums ("Heritage Hill"). Phase one of Heritage Hill, which included 8 condominiums, was completed by September, 1995. The Kelowna project involved the construction of 21 luxury townhouses ("Erinmoore"). Funds for these projects were solicited from December 8, 1995, to March 21, 1997. $787,000 was raised from IG2.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Metro-Sunlake Projects Ltd. ("Metro") was the construction and management contractor for the Vernon and Kelowna projects. Metro is owned by Collinson and his company Sunlake Industries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Initially, Vancorp Developments Ltd. ("Vancorp") was a 50% partner with ICC in the Heritage Hill and Erinmoore projects. It contributed about $250,000 toward the purchase of the land. In December, 1995, Vancorp withdrew from the joint venture and sold its shares and interest in R218 to ICC. In satisfaction for its interest, it received five condominium units in the Heritage Hill project and promissory notes for about $70,000. Vancorp alleges that R218 is in default on its promissory notes. Following Vancorp's buyout from R218, financing for the Heritage Hill and Erinmoore projects was obtained from IG2.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offering memoranda for IMF1 Co and IMF2 Co did not permit an allocation of the investment funds outside of their designated projects. Therefore, funds raised by IMF1 Co were to be used solely in the Imperial Ridge project and funds raised by IMF2 Co were to be used solely in the Heritage Hill and Erinmoore projects.</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Westbank (Gelattly)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Westbank lands in the Kelowna area were originally purchased by El Rancho Vista Farms Ltd. ("El Rancho"), a related company of Collinson's. El Rancho sold its interest in the project to IMF3 Co before the syndication. Between November 1, 1994 and September 1, 1995, IMF3 Co raised $2,515,069 for the construction of a 66 apartment style condominium complex ("Gelattly"), as well as for "other unnamed projects". The offering memorandum for IMF3 Co did not specify the other projects in which the investors' funds could be allocated.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addition to Westbank, IMF3 Co funds were invested in the Imperial Ridge, Heritage Hill and Erinmoore projects. IMF3 Co funds also went to purchase the lands for the project at Castlegar. Investor funds loaned to IMF3 Co and allocated to the Imperial Ridge, Heritage Hill, Erinmoore, Westbank, and Castlegar projects were secured by second mortgages against those projects. As additional security, IMF3 Co received units in each of the other three investor groups to the extent of its loans to those groups.</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Castlegar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 263 enterprises Ltd. ("R263") purchased five acres of land in Castlegar with funds from IMF3 Co. DDAI held a second mortgage on the Castlegar lands for the benefit of the IG3.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R263 held the lands as a bare trustee for ICC and Vancorp who were joint venturers in the project. The lands were purchased for the development of a commercial property that would include a shopping centre and office building, as well as a 54 condominium complex. R263 is now in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Vancorp contributed $25,000 to the joint venture. Again, as with R218, Vancorp withdrew from the Castlegar project and received a promissory note for $25,000 in satisfaction of its interest in the project. It also received an entitlement to one-half of the profits from the project, to a maximum of $100,000, less up to 50% of the aggregate losses incurred by R218 in the Erinmoore and Heritage Hill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IMF4 Co raised $1,773,000 between December 8, 1995, and March 21, 1997. Its offering memorandum stated the fund was for the development and sale of several real estate projects in the B.C. interior over a five year period. Six projects were pre-approved for funding: Imperial Ridge, Heritage Hill, Erinmoore, Westbank, Castlegar commercial project (shopping center and office building), and Castlegar condominium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IMF4 Co completed off-site work on the Castlegar project including rezoning of the property, preparation of fully engineered drawings, paving of a city street, construction of sidewalks and installation of street lights. It also excavated a portion of the property for the apartment building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Kenway Industries Ltd. ("Kenway") was the general contractor for the Castlegar projects and is a related company of Umbarger's.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order to keep IG4 monies productive until they were ready to start construction at Castlegar, the Promoters invested those monies in IMF1 Co and IMF2 Co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Initially, the Promoters expected the investment of IMF3 Co and IMF4 Co funds into the IMF1 Co and IMF2 Co projects would provide a safe, short-term haven for the IMF3 Co and IMF4 Co monies. It was anticipated that by applying those monies to the projects in Vernon and Kelowna already underway, the sale of those condominiums would allow pay down of the second mortgages held by IG3 and IG4 which by then, would be in a position to proceed with their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Sudden changes in market conditions brought a halt to this plan. The downturn of the market kept the IMF3 Co and IMF4 Co funds tied up in the IMF1 Co and IMF2 Co projects. It was only after the market collapsed that IG3 and IG4 discovered no construction had commenced on the Westbank and Castlegar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Short-Fall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real estate market took a sudden downturn in early 1996. By then, construction of Imperial Ridge was completed. However, only phase one of Heritage Hill was fully completed and phase two was only partially completed. Phase three had not yet started. As well, Erinmoore was only 60% completed. Revenue from sales in these projects had slowed. No construction had commenced on the Westbank or Castlegar projects. Mortgages went into default and were no longer secured or fully secured by the assets of the projects. The IMF Group faced insurmountable financial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March, 1996, the Promoters arranged meetings with IG1 and IG2. As a result of those meetings, extraordinary resolutions were passed that provided for settlements between IG1 and IG2 and their borrowing companies IMF1 Co and IMF2 Co. Similarly, in December, 1996, the IMF Group arranged a meeting with IG3 which also passed an extraordinary resolution approving a settlement with IMF3 Co ("the Short-Fall Agreements"). The large number of units held by IG3 in IG1 and IG2 assisted IG1 and IG2 in passing the extraordinary resolutions required for these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Short-Fall Agreements amended IMF1 Co, IMF2 Co and IMF3 Co's original subscription agreements to include the compulsory arbitration clause like the one provided for in IMF4 Co's original subscription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They also changed the nature of IG1, IG2 and IG3's investments. The members of IG1, IG2 and IG3 exchanged their rights for repayment of the debt owed to them under the DDAI mortgages, with the Promoters' equity in the projects of the borrowing companies. In addition to giving up their equity in the three borrowing companies, the Promoters also agreed to give IG1 and IG2 equity of about 70% in the Castlegar projects. Thus, IG1, IG2 and IG3 became the owners of their borrowing companies' projects and agreed to terminate their entitlement under the DDAI second mortgages. Instead of receiving a sum certain on their mortgage investment, they agreed to receive a share in the net proceeds from the projects of their respective borrowing companies. The DDAI mortgages were maintained in form to save the costs of foreclosure and to maintain the investments' RRSP and RRIF eligibility.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settlements resulted in the following ownership changes in the projects: (i) IG1 received all of the equity in the Imperial Ridge project as well as some of the equity in the Castlegar projects; (ii) IG2 received all of the equity in the Heritage Hill and Erinmoore projects and some of the equity in the Castlegar projects; (iii) IG3 received all of the equity in the Westbank project and retained its existing investment in the IG1, IG2 and IG4 projects; and (iv) the Castlegar lands remained subject to mortgages from IG3 and IG4.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These changes, while assisting the various investor groups to address their significant financial difficulties, also created conflicting interests between IG1 and IG2 as borrowers and IG3 and IG4 as lenders.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the Short-fall Agreements were made, the three investor groups asked the Promoters to continue managing the various projects. Umbarger and Collinson continued to sit, without compensation, as directors and officers of the borrowing companies even though they no longer held any interest or equity in the Imperial Ridge, Heritage Hill, Erinmoore or Westbank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Takeover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spring of 1997, the Promoters retained Woodway Holdings Ltd. ("Woodway") as a professional "Risk Management Advisor" in order to assist in the management of the projects in which IMF3 Co held an interest. Woodway is a company owned and operated by Kenneth Rogers ("Rogers"). Rogers had expertise in business management and had acted as a financial and development consultant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Woodway was hired on a fee for service basis. IG3 contracted with Woodway to manage, construct and market the Westbank project and IG3's interests in the other projects. In an agreement between IMF3 Co, IG3 and Woodway, Woodway became the sole registered shareholder of IMF3 Co for the benefit of IG3 except to the extent of the payments due to Woodway under its contracts ("the IMF3 Co Shares Agreement"). Woodway and two other unitholders also became IMF3 Co's authorized signatories. Broad indemnity agreements were signed for the benefit of all directors, officers, shareholders, authorized signatures, advisors and committee members. This arrangement provided security to Woodway for its fees and also assisted in preserving the RRSP and RRIF status of the investors' original mortgage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By 1997, all four investor groups were faced with threats of foreclosure from the first mortgagees on their projects. IG3 and IG4 in turn were demanding payment on their second mortgages from IG1 and IG2. All groups were desperately in need of new monies to refinance the first mortgages and to provide extra working capital for their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Conventional lenders were reluctant to provide the additional funds needed. Another syndicated fund established under the Securities Act would take time, and because of amendments to the legislation would be facing higher costs than IMF4 Co. As a result, Umbarger decided to raise the necessary construction financing on his own by forming Dominion Mortgage Corporation ("Dominion").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Umbarger was the principal of Dominion. He arranged for investments from 160 individuals, two of whom were also investors in IMF4 Co. While Dominion may have had the appearance of being IMF5 Co, the investments were made pursuant to the Mortgage Brokers Act, </w:t>
      </w:r>
      <w:r>
        <w:rPr>
          <w:rFonts w:ascii="arial" w:eastAsia="arial" w:hAnsi="arial" w:cs="arial"/>
          <w:i/>
          <w:color w:val="000000"/>
          <w:sz w:val="20"/>
          <w:lang w:val="en-US" w:eastAsia="en-US" w:bidi="ar-SA"/>
        </w:rPr>
        <w:t>R.S.B.C. 1996, c. 313</w:t>
      </w:r>
      <w:r>
        <w:rPr>
          <w:rFonts w:ascii="arial" w:eastAsia="arial" w:hAnsi="arial" w:cs="arial"/>
          <w:color w:val="000000"/>
          <w:sz w:val="20"/>
          <w:lang w:val="en-US" w:eastAsia="en-US" w:bidi="ar-SA"/>
        </w:rPr>
        <w:t>, rather than the Securities Act. There was no offering memorandum or subscription agreements. As the principal of Dominion, Umbarger acted as a mortgage broker, in contrast to his role as Promoter of and owner in the IMF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To avoid any conflict between his position in Dominion and his position in each of the four borrowing companies, Umbarger resigned as officer and director in each of the borrowing companies. This was followed by all four investor groups passing extraordinary resolutions to assume the management and control of their respective borrowing companies from the Promoters. Each of the groups also formed a committee from the members of their investor group to act on that group's behalf in the management of their borrowing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IG3 was the first investor group to assume management and control of IMF3 Co. In the spring of 1997, IG3 formed a committee that was given the authority to act on its behalf in the Westbank project and its interests in the other projects, except Castlegar. The committee also approved the IMF3 Co Shares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order to prevent foreclosure by the first mortgagee, the committee instructed Woodway to secure a new mortgage from Dominion to pay out the existing first mortgage and to provide some extra working capital. Dominion agreed to provide the new mortgage at an interest rate of 12% on the condition that its mortgage would take priority over the other mortgages. Dominion's loan was secured by a first mortgage over the Westbank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IG3's committee was aware Dominion's loan would be costly but it also understood it had little choice in securing this financing if it wanted to avoid foreclosure. Before signing Dominion's mortgage, IG3 received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August, 1997, IG4 also formed a committee to represent the interests of its unitholders. The committee assumed the management and control of IMF4 Co and Ms. McDougall became a director. Initially, Ms. McDougall was an alternate member of the committee, but by September, 1998, she had become a full committee member. At her request, all of the documents and accounts relating to the IMF Group were delivered to her for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Shortly after IG4 formed a committee in August, 1997, IG1 and IG2 did the same. In September, 1997, they also formed committees which assumed the management and control of their respective borrowing companies. A term of IG1 and IG2's takeover agreements was that Woodway would receive the shares of IMF1 Co and IMF2 Co on the same terms as it received the shares of IMF3 Co. Woodway and two other unitholders became authorized signatories. As well, broad indemnity agreements were signed for the benefit of all directors, officers, shareholders, authorized signatories, advisors and committee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with IG3, the IG1 and IG2 committees also decided to raise new monies through a mortgage with Dominion. Dominion advanced four loans that were secured by first mortgages over five condominiums in the Imperial Ridge project and one condominium in the Erinmoore project. The monies from Dominion's mortgages paid out the existing first mortgages, paid down some of the IG3 and IG4 second mortgages, and paid some of the creditors. Dominion's mortgages ranked in priority to the other mortgages. IG1 and IG2 received independent legal advice before entering into Dominion's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takeover agreements also involved DDAI. In September, 1997, Stringer resigned as an officer and director of DDAI. In November, 1997, all four committees approved the takeover of DDAI. The shares of DDAI that had been held by Stringer were transferred to Woodway on the same terms as the shares held by Woodway in the borrowing companies. Similar indemnities were also provided. After the takeover, DDAI replaced Valley as the nominee for IG4.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FINAL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By November, 1997, all four committees were demanding answers as to what had happened to their investments. They requested Woodway to provide a cash accounting that would identify the costs connected to the development and sale of the projects, and address what monies were received by the Promoters, their related companies and Woodway.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 detailed accounting was prepared by Woodway. Ms. McDougall, who by then was actively involved in reviewing the details of this investment scheme, took Woodway's accounting and created her own tables and graphs of the accounting. Both Woodway's accounting and Ms. McDougall's table and graphs were forwarded to all of the investors. The accounting formed the basis upon which the final settlement of all the investor groups' interests was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accounting showed Woodway had received in excess of $500,000 in fees with a further $190,000 owed to it. Woodway's debt has since been secured by a judgment against the Imperial Ridge, Heritage Hill, Erinmoore and Westbank projects. Collinson and his related company Metro, and Umbarger and his related company Kenway, had received estimated costs and fees of approximately $3,380,000.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April, 1998, one of the investors filed a complaint about the investment scheme with the R.C.M.P. In response, representatives of each committee signed a letter to the R.C.M.P. Commercial Crime Unit. The letter stated that the investors were considering a class action against the Promoters. It emphasized that Woodway and Dominion were an important part of the investors' efforts to maximize the assets of the IMF Group and had not caused any of the losses. It also confirmed that the IMF Group had been under the investors' direction and control for the past year. The letter authorized Rogers to discuss the affairs of the IMF Group with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final settlement was approved by all four committees on October 15, 1998. It involved completion of construction on the Erinmoore and Heritage Hill projects, the sale of condominiums at fire-sale prices, the pay down of the first mortgages, and payment of the creditors' and contractors' fees. The remaining unsold condominiums would be transferred to a new company and rented out for a period of time until the market changed. Ultimately, the plan was to simplify management of the remaining assets so that Woodway's expensive consulting expertise could be eliminated. DDAI and any IMF companies not bankrupt, would continue to be managed by volunteers from the investor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unsold condominiums in the Imperial Ridge and Heritage Hill projects were transferred to a new company, Rancher Investment Corp. ("Rancher"). The shares of Rancher were registered in Woodway's name for the benefit of the interests of the investors in those projects and to preserve the RRSP and RRIF status of the investments. With a clean credit rating, Rancher qualified to replace the existing expensive short-term mortgages, including Dominion's, with less expensive rental mortgages. C.I.B.C. was prepared to offer first mortgages on the rental units at 5.99%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Compromise agreements were negotiated on the distribution of the equity in the various projects. IG1 and IG2 would give up their interest in the Castlegar projects and the net proceeds from Castlegar would be split 62.5% to IG4 and 37.5% to IG3, to be shared equally within each investor group. IG3 would receive all of the net proceeds from the Westbank project which would be shared equally within its investor group. The investors' interests in Rancher would be allocated 8.8% to IG1, 8.9% to IG2, 47% to IG3 and 35.3% to IG4. Within each investor group, the split of Rancher shares would be based on the amount of the unitholders' initial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Discounts were negotiated with creditors, subtrades and suppliers, Dominion on its first mortgages, and Woodway and Metro on their contracts. Kenway had agreed to waive its fees. Enough cash from the net sale proceeds was to be set aside in order to permit Rancher to hold the rental condominiums for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Miscellaneous assets of the IMF Group and DDAI such as the construction trailer and show suite furniture would be sold to pay any remaining bills and any surplus would be divided as agreed by the committees. IMF1 Co and IMF2 Co would be petitioned into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Positions for the directors, officers and authorized signatories of Rancher and DDAI, and any of the remaining IMF companies not in bankruptcy, would be filled by volunteer unitholders or their appointees.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Upon completion of the above, Woodway's involvement would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final settlement was implemented and almost completed by December 24, 1998. The remaining assets of the IMF Group included real property, mortgages and some miscellaneous assets, together having a value of about $1.5 million. The IMF Group retained 4 condominiums in Imperial Ridge and one in Erinmoore. Rancher was the registered owner of 15 condominiums in Heritage Hill and 5 condominiums in Imperial Ridge, all of which were rented out. It had listed 10 of the Heritage Hill condominiums for sale along with the 5 Imperial Ridge condominiums.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December 24, 1998, Ms. McDougall and five members from the other committees ("the McDougall group") withdrew their consent to the final settlement and directed that Woodway, and the directors and officers working with Woodway, cease and desist any further actions on behalf of the IMF Group ("the freeze order"). In particular, Woodway was instructed to cease the final transfer of assets pursuant to the settlement. One of the reasons given for this action was to prevent any further monies being paid out to Woodway.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Several committee members resigned in protest alleging the McDougall Group had no authority from the four committees to implement the freeze order. The four committees had only approved a litigation policy to examine the feasibility of commencing a class action against the Promoters. IG2 was opposed to the freeze order and does not want to participate in the proposed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McDougall commenced the class action on February 4, 1999. At that time, she was still a director of IMF4 Co, a defendant in this action. On February 9, 1999, she resigned as a director of IMF4 Co and Umbarger was reinstated.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her affidavit filed in support of the certification application, Ms. McDougall did not mention any of the settlement agreements or the changes they imposed. Instead, she deposed in paragraph 27 of her affidavit of April 9, 1999,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aware of any conflict between my interests in respect to the common issues in this action and the interests of the other members of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After the action was commenced, certificates of pending litigation were filed against the remaining unsold properties which included about 29 parcels of real property. Of these parcels, approximately 20 condominiums were located in the Imperial Ridge and Heritage Hill projects in Vernon and were registered to Rancher.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filing of the certificates of pending litigation prevented some condominium sales from completing. Several sales were lost. A prospective purchaser for the last Erinmoore condominium has since filed suit against IMF2 Co for failing to complete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a result of the freeze order, Dominion has resiled from its agreement to accept a discount of about $60,000 on the monies it was owed, as well as the advancing of about $30,000 in new cash. Foreclosure proceedings on all of its mortgages are now in progress. There appears to be no equity in the Westbank and Erinmoore projects. Woodway has also resiled from its agreement to accept a discount on its judgment for about $200,000 which is registered against the properties. However, as an unsecured creditor, it ranks well behind the first and second mortgagees.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After the class action was commenced, Rogers wrote a highly critical and threatening letter to the investors in the IMF Group. In it he stated the class action had been commenced contrary to his advice and the recommendations of the litigation committee. He also threatened a large countersuit which he said would make every person who joined the class action jointly and severally liable for significant damages and the legal costs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Since then, third party proceedings have been taken against the McDougall group and Valley, and a counterclaim has been filed against Ms. McDougall by the IMF Group and DDAI, all of which are now controlled by Woodway.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McDougall has prepared a very basic plan in support of the certification application. The plan does not address how the common issues in the class action would be advanced. If the application is granted and a judicial trustee appointed, Ms. McDougall proposes to request a contribution of 1% of the principal sum invested by each investor in order to secure a forensic accounting by the judicial trustee. She also proposes that the funds and assets recovered by the judicial trustee be distributed in proportion to the amount of each investor's principal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IN SUPPORT OF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most compelling submission advanced in support of certification is the significant financial burden an individual investor will have to incur in order to pursue an action. As a class, the investors are able to spread the cost of the proceedings amongst all of the members. Economies of scale and access to the judicial system weigh heavily in favour of certification: Harrington v. Dow Corning Corp. </w:t>
      </w:r>
      <w:hyperlink r:id="rId321" w:history="1">
        <w:r>
          <w:rPr>
            <w:rFonts w:ascii="arial" w:eastAsia="arial" w:hAnsi="arial" w:cs="arial"/>
            <w:i/>
            <w:color w:val="0077CC"/>
            <w:sz w:val="20"/>
            <w:u w:val="single"/>
            <w:shd w:val="clear" w:color="auto" w:fill="FFFFFF"/>
            <w:lang w:val="en-US" w:eastAsia="en-US" w:bidi="ar-SA"/>
          </w:rPr>
          <w:t>(1996), 48 C.P.C. (3d) 28</w:t>
        </w:r>
      </w:hyperlink>
      <w:r>
        <w:rPr>
          <w:rFonts w:ascii="arial" w:eastAsia="arial" w:hAnsi="arial" w:cs="arial"/>
          <w:color w:val="000000"/>
          <w:sz w:val="20"/>
          <w:lang w:val="en-US" w:eastAsia="en-US" w:bidi="ar-SA"/>
        </w:rPr>
        <w:t xml:space="preserve"> (B.C.S.C.); Campbell v. Flexwatt Corp. </w:t>
      </w:r>
      <w:hyperlink r:id="rId322"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(B.C.C.A.); Endean v. Canadian Red Cross Society </w:t>
      </w:r>
      <w:hyperlink r:id="rId323" w:history="1">
        <w:r>
          <w:rPr>
            <w:rFonts w:ascii="arial" w:eastAsia="arial" w:hAnsi="arial" w:cs="arial"/>
            <w:i/>
            <w:color w:val="0077CC"/>
            <w:sz w:val="20"/>
            <w:u w:val="single"/>
            <w:shd w:val="clear" w:color="auto" w:fill="FFFFFF"/>
            <w:lang w:val="en-US" w:eastAsia="en-US" w:bidi="ar-SA"/>
          </w:rPr>
          <w:t>(1997), 148 D.L.R. (4th) 158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concern is reflected in paragraph 7 of Ms. McDougall's affidavit sworn July 9, 1999, and filed December 14, 1999, where she deposed that if counsel for the class could not represent the McDougall group named in the third party proceedings because of a conflict, then the third parties have encouraged her to drop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Additionally, if a certification order is not granted, there will be no ancillary order appointing a judicial trustee to manage the assets. Rogers and Umbarger will continue to be in control of the realization of the assets. Any confidence the majority of the investors may have had in Rogers and Umbarger at one time, has long since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AGAINST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all of the defendants oppose a certification order for different reasons, a common theme in their submissions is the inability of a class action to satisfactorily address the differing and often conflicting issues between the various defendants and investor groups. They submit the issues between the investor groups are significantly different because: (i) the investments were made at different times; (ii) there was different security given for the different investments; and, (iii) different settlements were reached with different investor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submit a class action will not resolve any disputes between the parties in a manner that is fair not only to the plaintiffs but also to the defendants. In their view, the numerous defendants in this action reflects a "deep pockets" approach to litigation that may force settlements because of the very substantial legal costs that will be incurred by them. The plaintiffs in a class action are not exposed to the same costs. In support of their submission, the defendants cite the comments of Cumming J.A. in Campbell v. Flexwatt Corp. at paragraph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proceedings are an efficient response to market demand only if they can resolve disputes fairly. Trial court judges must be free to make the new procedure work for plaintiffs and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Lastly, the defendants submit the essence of the plaintiffs' application is for an independent accounting. They state that Woodway has already provided this in great detail, at great cost and on the instructions of the committees. They submit the preferable procedure in which to resolve any of the outstanding issues between the various parties is through compulsory arbitration as required by the amended subscription agreements. Certification, in their view, would create an unmanageable action that would not advance any common issues, if there are any, because of the predominance of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purpose of a class action is to provide a procedural method for advancing common issues of fact or law between a group of claimants in an action, and one or more defendants. Class proceedings legislation does not create any new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Section 1 of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(the Act") defines common issues as: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fact, 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law that arise from common but not necessarily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essence of a class action is the commonality of the issues between the plaintiffs and one or more of the defendants. A resolution of the common issues does not have to be determinative of liability or supportive of the relief sought. It need not produce the same result for all members of the class. It must, however, advance the litigation forward. If it does not, then certification is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Equally important is the requirement that a class action be the preferable procedure to resolve the common issues. In determining if this requirement has been met, the court must consider whether common issues predominate over individual issues. A resolution of the common issues may still require further litigation to deal with individual issues. However, if resolution of the common issues will only assist a few members, then the issues will not be common to the majority of members and the preferred procedure will not be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Section 4 of the Class Proceedings Act lists the five requirements for certification:</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section 2 or 3 if all of the following requirements are met:</w:t>
      </w:r>
    </w:p>
    <w:p>
      <w:pPr>
        <w:numPr>
          <w:numId w:val="1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1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1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1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1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representative plaintiff who</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4"/>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1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All five requirements listed in s. 4(1) of the Act must be satisfied before certification of a class action will be granted. If all five are satisfied, then the court must certify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Section 5(5) sets out the requirements for a person filing an affidavit in support of a certification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filing an affidavit under subsection (2) or (4) must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in the affidavit the material facts on which the person intends to rely at the hearing of the application,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swear that the person knows of no fact material to the application that has not been disclosed in the person's affidavit or in any affidavits previously filed in the proceeding,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the person's best information on the number of members in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Section 6 permits the court to certify a subclass separately from the main class if it is of the view that the protection of the interests of the subclass requires that they be separately 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Section 7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must not refuse to certify a proceeding as a class proceeding merely because of one or more of the following: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relates to separate contracts involving different class members;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remedies are sought for different class members;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includes a subclass whose members have claims that raise common issues not shared by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For the reasons I will provide below, I am of the view the plaintiffs have not met at least four of the mandatory requirements in s. 4(1) of the Act to permit certification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This action involves the rights and obligations of parties to a contract, some of whom may have trust obligations by reason of their investment of other people's monies. It also involves a duty of care between the plaintiffs and defendants as set out in the first stage of the "two-step test" enunciated by Lord Wilberforce in Anns v. Merton London Borough Council, [1977] 2 All E.R. 492 (H.L.). In the present case there was a "sufficient relationship of proximity or neighbourhood" such that, in the reasonable contemplation of the defendants, carelessness on their part might be likely to cause damage to the plaintiffs. Therefore, a prima facie duty of care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For the purposes of a certification application, the facts alleged in the Statement of Claim are assumed to be true provided the defendants do not establish they are "patently ridiculous or incapable of proof" or that it is "plain and obvious" that the claims could not succeed: Peppiatt v. Nicol (1993), 16 O.R. 133 (Ont. G.D.) at 140; Endean v. Canadian Red Cross Society </w:t>
      </w:r>
      <w:hyperlink r:id="rId323" w:history="1">
        <w:r>
          <w:rPr>
            <w:rFonts w:ascii="arial" w:eastAsia="arial" w:hAnsi="arial" w:cs="arial"/>
            <w:i/>
            <w:color w:val="0077CC"/>
            <w:sz w:val="20"/>
            <w:u w:val="single"/>
            <w:shd w:val="clear" w:color="auto" w:fill="FFFFFF"/>
            <w:lang w:val="en-US" w:eastAsia="en-US" w:bidi="ar-SA"/>
          </w:rPr>
          <w:t>(1997), 148 D.L.R. (4th) 158</w:t>
        </w:r>
      </w:hyperlink>
      <w:r>
        <w:rPr>
          <w:rFonts w:ascii="arial" w:eastAsia="arial" w:hAnsi="arial" w:cs="arial"/>
          <w:color w:val="000000"/>
          <w:sz w:val="20"/>
          <w:lang w:val="en-US" w:eastAsia="en-US" w:bidi="ar-SA"/>
        </w:rPr>
        <w:t xml:space="preserve"> (B.C.S.C.). Without determining the merits, the court must decide if there is sufficient evidence of the plaintiffs' claims to raise triable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determining if the pleadings disclose a cause of action under s. 4(1), the court must decide on the evidence before it whether the plaintiffs' claims are "ridiculous or incapable of proof" or "could not succeed"? The difficulty in this case, in assessing whether that requirement has been met, is identifying what is said to constitute the defendants' acts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or trust, and breach of contract. The pleadings are very general and the extensive affidavit material filed in support of the certification application does not disclose any particulars of the alleged acts that might be said to give rise to the various causes of action. This is so despite the fact Ms. McDougall has had all of the relevant documents in her possession since September of 1998. This Court is left to speculate on how the defendants' acts lead to the causes of action claimed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Bittner v. Louisiana-Pacific Corp. </w:t>
      </w:r>
      <w:hyperlink r:id="rId324" w:history="1">
        <w:r>
          <w:rPr>
            <w:rFonts w:ascii="arial" w:eastAsia="arial" w:hAnsi="arial" w:cs="arial"/>
            <w:i/>
            <w:color w:val="0077CC"/>
            <w:sz w:val="20"/>
            <w:u w:val="single"/>
            <w:shd w:val="clear" w:color="auto" w:fill="FFFFFF"/>
            <w:lang w:val="en-US" w:eastAsia="en-US" w:bidi="ar-SA"/>
          </w:rPr>
          <w:t>(1997), 43 B.C.L.R. (3d) 324</w:t>
        </w:r>
      </w:hyperlink>
      <w:r>
        <w:rPr>
          <w:rFonts w:ascii="arial" w:eastAsia="arial" w:hAnsi="arial" w:cs="arial"/>
          <w:color w:val="000000"/>
          <w:sz w:val="20"/>
          <w:lang w:val="en-US" w:eastAsia="en-US" w:bidi="ar-SA"/>
        </w:rPr>
        <w:t xml:space="preserve"> (B.C.S.C.), Kirkpatrick J., at paragraph 23, briefly commented on the effect of a paucity of evidence to support a certification application in a products liability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5(6) of the Act allows the court to adjourn the application to permit further evidence. The scarcity of evidence makes more difficult the determination of certification because the court is left to speculate as to the common and individual issues which may arise in the action. However, because I hold the view that certification is not appropriate for other reasons, it is not necessary to dismiss the application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the absence of any particulars about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trust or fiduciary duty and breach of contract the plaintiffs' claims cannot be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submit the defendants had a duty of care to the investors arising from the nature of their relationship, which they submit was a trust and or fiduciary relationship. They also submit the defendants had a duty of care arising from the wording of the agreements signed with the investors. Specifically, they allege the defendants breached their duties and or contract by: (i) failing to provide realizable security; (ii) providing a minimal return of less than 20% of the principal amount invested by the members; (iii) inappropriately distributing funds and transferring of assets; (iv) receiving unauthorized financial gain and profit; (iv) providing an incomplete accounting; and, (v) intermingling the funds so that they cannot be traced.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Whether or not these claims arise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trust or contract, it seems clear from the wording of the offering memoranda that at least some of these allegations were authorized by the contracts signed by the unitholders. For example, the offering memoranda for IMF3 Co and IMF4 Co authorizes distribution of their funds to other projects. There does not appear to be an allegation that the IMF1 Co or the IMF2 Co funds were distributed outside of their respective projects as provided by the terms of their offering memoranda. As well, the agreement of nominee ownership authorized the nominee to transfer assets on the written instructions of the officers and directors of the borrowing companies. There is no allegation that the nominee did not have that written authorization before transferring the assets. In summary, there is no evidence to support an allegation that any of the defendants acted outside the scope of their authority or contract or terms of the offering memoranda.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 cash accounting of the funds was requested and provided at the direction of the committees. There is no allegation the accounting was not prepared in accordance with the committees' instructions. Presumably, if there were concerns over the accounting provided, the committees would not have accepted it as the basis for final settlement. Also, there is no evidence from the accounting to support an allegation that monies were inappropriately diverted by some or all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Furthermore, the Statement of Claim does not claim a cause of action against all of the defendants. For example, there is no cause of action claimed against Dominion. It is not disputed that monies were solicited by the investor groups on the terms agreed to by the parties, and then applied by the investors to pay out the existing first mortgagees who were threatening foreclosure. The plaintiffs' only claim against Dominion is for an accounting of the funds it advanced. However, there is no independent cause of action for an accounting in the absence of a legal duty to account. There is no claim advanced that Dominion has such a duty. In any event, the plaintiffs already have the authority under the subscription agreements to obtain an independent accounting. Alternatively, they can request an accounting from Dominion through the less costly forum of the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is also no evidence to support a cause of action against Stringer or Messer, Stringer. There is no evidence that these defendants provided notarial or nominee services. The only services provided by Stringer were through DDAI as a nominee. Furthermore, Stringer's notarial firm was never involved in DDAI nor did it provide notarial services. Valley was also a nominee for IMF4 Co, but no claims are made against it for the nominee services it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Court is left with evidence of the plaintiffs' general unhappiness over their losses and their suspicions of misconduct. These suspicions arose after learning of the large sums of money many of the defendants received under the terms of the offering memoranda and contracts with the IMF Group. That evidence alone, cannot provide the basis for certification of an action. There is no evidence to support an allegation that the defendants received any unauthorized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It is "plain and obvious" the claims against Dominion, Stringer, and Messer, Stringer cannot succeed as there is no independent cause of action against Dominion and there is no evidence to support a cause of action against Stringer personally, and Messer, Stringer corporately. I have also concluded that in the absence of further particulars of alleged misconduct against the remaining defendants, it is impossible to identify a cause of action against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trust, fiduciary duty or breach of contract let alone determine if the claims could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Although, prima facie, a contract, trust obligation and duty of care existed between the defendants and the plaintiffs, that alone does not meet the requirements of s. 4(1) that a cause of action be disclosed. There is no satisfactory evidentiary basis to suggest how the alleged breaches might have occurred. Without more than bare assertions of the alleged breaches, there is insufficient evidence to support the plaintiffs' claims. As such, it must be concluded that the plaintiffs would not succeed, and therefore, the requirement in s. 4(1) has not been met.</w:t>
      </w:r>
      <w:r>
        <w:rPr>
          <w:rFonts w:ascii="arial" w:eastAsia="arial" w:hAnsi="arial" w:cs="arial"/>
          <w:sz w:val="20"/>
          <w:lang w:val="en-US" w:eastAsia="en-US" w:bidi="ar-SA"/>
        </w:rPr>
        <w:cr/>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Although many of the plaintiffs registered their mortgage units in RRSP's or RRIF's, individually they still remain an identifiable class. The RRSPs and RRIFs are merely the legal trustees for the class, while the individuals remain the beneficial owners of the units. In the event of certification, it is acknowledged that the six non-resident investors would have to be certified as a separate class from the resident investors.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must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Again, because of the lack of particulars provided, it is difficult to identify what, if any, common issues exist between the plaintiffs and all or some of the defendants. The failure to particularize the alleged misconduct of the various defendants results in speculation as to what the common issues are and what the individual issues are between the defendants. In these circumstances it becomes impossible to identify the triable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Assuming common issues of fact or law could be identified, the court must then ascertain if they raise triable issues which if resolved would advance the litigation in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Statement of Claim and draft order attached to the plaintiffs' notice of motion identifies the following common issues which the plaintiffs submit predominate over any issues affecting the individual members of the class:</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Determination as to the obligations of the defendants with respect to the funds received from the plaintiffs and the nominees;</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defendants obligations to the to the plaintiffs with respect to the funds received;</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has been a breach of the duties and obligations of the defendants to the plaintiffs;</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for the expenditure of the funds received by the defendants;</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tracing of the funds;</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Realization on and preservation of assets and funds of the IMF Group, Dominion and Rancher, on behalf of the plaintiffs;</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determination of members of the class's entitlement to the remaining funds and assets of the IMF Group, Dominion and Rancher;</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determination of an aggregate amount of damages for the class in the event of a finding of liability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Leaving aside the issue of damages, these proposed common issues could be reduced to the following two questions:</w:t>
      </w:r>
      <w:r>
        <w:rPr>
          <w:rFonts w:ascii="arial" w:eastAsia="arial" w:hAnsi="arial" w:cs="arial"/>
          <w:sz w:val="20"/>
          <w:lang w:val="en-US" w:eastAsia="en-US" w:bidi="ar-SA"/>
        </w:rPr>
        <w:cr/>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their duties to the plaintiffs under the terms of the subscribing and nominee agreements or at common law?</w:t>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there be an independent accounting, tracing and orderly realization of the remaining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latter question appears to be more of a remedy than a common issue between the members of the class. In any event, the committees on their own initiative can agree on this action without the need for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former question is very broad and also ignores the settlement agreements and how those agreements changed the nature of the individuals' investments. As well, the settlements changed the forum in which disputes between the parties could be resolved. This issue goes to the very jurisdiction of this court to hear this action. Not surprisingly, the defendants submit that this dispute should be resolved through commercial arbitration and not by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is unclear why Ms. McDougall did not refer to the settlements with IG1, IG2 and IG3. Only after they were disclosed by the defendants did she propose a further common issue be determined regarding the enforceability of the settlement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Even if the settlement agreements are ignored, there are a number of conflicts between the investor groups that affect the commonality of any proposed triable issue. There are also a number of individual issues including reliance and causation that arise from the allegations of misrepresentation by the Promoters in the offering memoranda and by Stringer in the nominee agreements, as well as any alleged oral misrepresentations by these defendants outside the scope of the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There are several identifiable conflicts between the investor groups. Different market conditions existed when each of the four funds were created. The majority of funds for IMF4 Co were raised after the market changed in the spring of 1996. IMF4 Co raised money for investment in six pre-approved projects and other projects to be developed over a five year period. IMF1 Co raised money for investment in the Imperial Ridge development that was expected to complete within a one year period. The maturity date for IG1's investments was one year from the date the investment was made. The maturity date for IG2's investments was one year from when the last investment was made. IG1, IG2 and IG3 were anticipating an effective rate of return of 24%. IG4 was anticipating an effective rate of return of 18%. The representation in the offering memorandum for IMF4 Co had changed with the downward shift in the market which had become evident by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Secondly, IG3 and IG4 loaned monies to IMF1 Co and IMF2 Co and in that manner became unitholders in IG1 and IG2. The security for IG3's and IG4's interests as unitholders in IG1 and IG2, was different than the security for their respective units in IG3 and IG4. There is also a conflict between first in first out repayment provision for the investors of IG1 and IG3, and equal basis repayment provisions for the investors in IG2 and IG4.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settlement agreements raised further conflicts between IG1, IG2 and IG3 who became owners and borrowers for their projects and IG4 who remained a lender and was never an owner of the Castlegar project. Furthermore, IG3 has a conflict within its group as it is not only an owner and borrower in the Westbank project, but it is also a unitholder and lender in the Imperial Ridge, Heritage Hill and Erinmoore projects. IG2 continues to be opposed to the freeze order and does not want to participate in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Before the settlements in 1997, the borrowing companies were managed and controlled by the Promoters. After the settlements, they were managed and controlled by the committees. Before the settlements, only the parties to the IMF4 Co agreements had to resolve their disputes through compulsory arbitration. After the settlements, all disputes had to be resolved through compulsory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compulsory arbitration clauses of the settlement agreements, however, do not affect all of the defendants. Creditors such as Woodway, Metro and Kenway, who are not parties to the subscription agreements, may only commence or have an action commenced against them through the nominee.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Statements of Defence filed on behalf of almost all of the defendants also raise claims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claims necessitate an examination of the following individual issues: (i) an investor's knowledge of the representations in the offering memorandum and the signed agreements, as well as any representations outside the documents; and, (ii) the extent to which those representations may have alerted the individual investor to the nature and risks associated with the investment, as well as to the costs of developing the projects and realizing on the investment. The plaintiffs'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combined with the defendants'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require an examination of individual issues of reliance and causation that would predominate over any common issues of the class. Such an examination would not be conducive to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Due to the difficulty in identifying the common issues, the numerous conflicts between the investor groups both before and after the settlements, and the predominant number of individual issues raised by the pleadings, I have concluded there are no identifiable common issues, that if resolved, would advance the litigation in the interests of the class.</w:t>
      </w:r>
      <w:r>
        <w:rPr>
          <w:rFonts w:ascii="arial" w:eastAsia="arial" w:hAnsi="arial" w:cs="arial"/>
          <w:sz w:val="20"/>
          <w:lang w:val="en-US" w:eastAsia="en-US" w:bidi="ar-SA"/>
        </w:rPr>
        <w:cr/>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proceeding must be the preferable procedure for the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comparing the predominancy requirement in the Act, with that of the Ontario legislation, Esson J. (as he then was), made the following comments in Tiemstra v. Insurance Corp. of British Columbia </w:t>
      </w:r>
      <w:hyperlink r:id="rId325" w:history="1">
        <w:r>
          <w:rPr>
            <w:rFonts w:ascii="arial" w:eastAsia="arial" w:hAnsi="arial" w:cs="arial"/>
            <w:i/>
            <w:color w:val="0077CC"/>
            <w:sz w:val="20"/>
            <w:u w:val="single"/>
            <w:shd w:val="clear" w:color="auto" w:fill="FFFFFF"/>
            <w:lang w:val="en-US" w:eastAsia="en-US" w:bidi="ar-SA"/>
          </w:rPr>
          <w:t>(1996), 49 C.P.C. (3d) 139</w:t>
        </w:r>
      </w:hyperlink>
      <w:r>
        <w:rPr>
          <w:rFonts w:ascii="arial" w:eastAsia="arial" w:hAnsi="arial" w:cs="arial"/>
          <w:color w:val="000000"/>
          <w:sz w:val="20"/>
          <w:lang w:val="en-US" w:eastAsia="en-US" w:bidi="ar-SA"/>
        </w:rPr>
        <w:t xml:space="preserve"> at paragraph 14, aff'd </w:t>
      </w:r>
      <w:hyperlink r:id="rId326" w:history="1">
        <w:r>
          <w:rPr>
            <w:rFonts w:ascii="arial" w:eastAsia="arial" w:hAnsi="arial" w:cs="arial"/>
            <w:i/>
            <w:color w:val="0077CC"/>
            <w:sz w:val="20"/>
            <w:u w:val="single"/>
            <w:shd w:val="clear" w:color="auto" w:fill="FFFFFF"/>
            <w:lang w:val="en-US" w:eastAsia="en-US" w:bidi="ar-SA"/>
          </w:rPr>
          <w:t>(1997), 12 C.P.C. (4th) 197</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by requiring predominancy and four other matters to be considered in relation to the important question of "preferable procedure," it is more restrictive than the Ontario Act. Although the other four sub-sections of s. 4(2) may be less significant in this regard, they all tend in some degree to restrict the circumstances in which certification should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Although the Ontario legislation does not have a predominancy provision, in Abdool v. Anaheim Management Ltd. </w:t>
      </w:r>
      <w:hyperlink r:id="rId327" w:history="1">
        <w:r>
          <w:rPr>
            <w:rFonts w:ascii="arial" w:eastAsia="arial" w:hAnsi="arial" w:cs="arial"/>
            <w:i/>
            <w:color w:val="0077CC"/>
            <w:sz w:val="20"/>
            <w:u w:val="single"/>
            <w:shd w:val="clear" w:color="auto" w:fill="FFFFFF"/>
            <w:lang w:val="en-US" w:eastAsia="en-US" w:bidi="ar-SA"/>
          </w:rPr>
          <w:t>(1993), 15 O.R. (3d) 39</w:t>
        </w:r>
      </w:hyperlink>
      <w:r>
        <w:rPr>
          <w:rFonts w:ascii="arial" w:eastAsia="arial" w:hAnsi="arial" w:cs="arial"/>
          <w:color w:val="000000"/>
          <w:sz w:val="20"/>
          <w:lang w:val="en-US" w:eastAsia="en-US" w:bidi="ar-SA"/>
        </w:rPr>
        <w:t>, Montgomery J., at first instance stated at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 was not intended to be used in circumstances where the individual issues to be determined predominate those issues common to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On appeal to the Ontario Divisional Court, </w:t>
      </w:r>
      <w:hyperlink r:id="rId328" w:history="1">
        <w:r>
          <w:rPr>
            <w:rFonts w:ascii="arial" w:eastAsia="arial" w:hAnsi="arial" w:cs="arial"/>
            <w:i/>
            <w:color w:val="0077CC"/>
            <w:sz w:val="20"/>
            <w:u w:val="single"/>
            <w:shd w:val="clear" w:color="auto" w:fill="FFFFFF"/>
            <w:lang w:val="en-US" w:eastAsia="en-US" w:bidi="ar-SA"/>
          </w:rPr>
          <w:t>(1995), 121 D.L.R. (4th) 496</w:t>
        </w:r>
      </w:hyperlink>
      <w:r>
        <w:rPr>
          <w:rFonts w:ascii="arial" w:eastAsia="arial" w:hAnsi="arial" w:cs="arial"/>
          <w:color w:val="000000"/>
          <w:sz w:val="20"/>
          <w:lang w:val="en-US" w:eastAsia="en-US" w:bidi="ar-SA"/>
        </w:rPr>
        <w:t>, Justice Montgomery's refusal to certify the proceedings was upheld on the basis that the plaintiffs had failed to meet the onus of establishing that a class proceeding would be the preferable procedure for resolution of common issues. At pages 503 - 504, O'Brien J.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accept the submission that any complex, multiple-party lawsuit is entitled to certification merely because that is the "preferable procedure" for resolving common issues which may be involved in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some consideration must be given to individual issues involved in the litigation, the purposes of the Act, and the rights of the parties seeking, and opposing certification.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access to the courts is obviously a worthwhile aim of the Act, it is to be noted the law reform report commented on the concern that frivolous claims might be advanced and defendants "blackmailed" into settling them because of potential legal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Act, once certification is granted, class plaintiffs face little, if any, exposure to legal costs. Contingency fees are permitted for plaintiffs' counsel and s. 31 of the Act provides for the court to exercise its discretion regarding costs, and indicates class members are not liable for those costs except with respect to the determination of their own individual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relative weight to be given common and individual issues is a vexing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my view, these comments are apposite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advantage of the economies of scale in certifying this action, in my view, are far outweighed by the unmanageability of such an action for many of the reasons already stated: the conflicts between the plaintiffs, the number of individual issues, the third party claims, the arbitration provisions of the settlement agreements, the requirements under the nominee agreement for commencing an action and the forum offered by the foreclosure proceedings for another accounting.</w:t>
      </w:r>
      <w:r>
        <w:rPr>
          <w:rFonts w:ascii="arial" w:eastAsia="arial" w:hAnsi="arial" w:cs="arial"/>
          <w:sz w:val="20"/>
          <w:lang w:val="en-US" w:eastAsia="en-US" w:bidi="ar-SA"/>
        </w:rPr>
        <w:cr/>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adequacy of the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court must be satisfied that the proposed representative plaintiff will not only meet her interests, but also the interests of the class. It is difficult to see how a representative plaintiff who is also a third party can fairly and adequately represent the interests of the class. Furthermore, Ms. McDougall, as a director of IMF4 Co, was in a position of conflict at the time the action against IMF4 Co was commenced. The effect of the settlements with IG1, IG2 and IG3 also present conflicts in the resolution of the interests of the class. Lastly, it is difficult to see how the plan submitted by Ms. McDougall will advance the litigation on behalf of the class. It is my view that Ms. McDougall would not be an appropriate representative plaintiff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For the reasons stated, I have concluded that four of the five requirements for certification have not been met by the plaintiffs. I am of the view that to certify this action as it now stands, in the words of Esson C.J. in Tiemstra, would be to create a "monster of litigation". The litigation would see no end in sight, it has little if any chance of success based on the existing evidence before the court, and it could financially destroy many of the defendants. Such an action would not be a fair resolution of the dispute for both the plaintiffs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plaintiffs are not left without any remedy to pursue their concerns. Commercial arbitration is available, an accounting in the foreclosure actions will occur, the committees may decide to pursue their own independent accounting, the nominee may be instructed to take certain actions, or individuals might pursue an action on a test basis. Each of these options offer the plaintiffs an examination of the merits of their claims at a cost that is more balanced for all the parties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application for certification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Subject to submissions, in all of the circumstances, I am of the view that each party should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3"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McIntosh v. Papoutsis, [2009] B.C.J. No. 247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S083886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80 R.P.R. (4th) 256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McIntosh and Sussex Realty, Appellants, and Constantine Papoutsis and Vassiliki Papoutsis, Janet Lacroix and Estate of J. Lacroix,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4"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1" w:name="Keywords_22"/>
      <w:bookmarkEnd w:id="151"/>
      <w:r>
        <w:rPr>
          <w:rFonts w:ascii="arial" w:eastAsia="arial" w:hAnsi="arial" w:cs="arial"/>
          <w:b/>
          <w:color w:val="000000"/>
          <w:sz w:val="20"/>
          <w:lang w:val="en-US" w:eastAsia="en-US" w:bidi="ar-SA"/>
        </w:rPr>
        <w:t xml:space="preserve">Real property law — Real estate agents and brokers — Liability — Breach of duties of disclosure — Appeal by the vendor's real estate agent and his employer from a judgment that found them liable for the purchasers'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for lack of disclosure of water ingress into their home, allowed — Ingress was a patent defect to which the doctrine of caveat emptor applied — Trial judge misapplied that doctrine — Appellants were not liable for purchasers' inability to inspect the property before closing — They were also not liable for the advice they gave to the vendor concerning her completion of a Property Disclosure Statement.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2" w:name="Case Summary_21"/>
            <w:bookmarkEnd w:id="1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defendants McIntosh and Sussex Realty from a judgment that found them liable for the damages of Constantine and Vassiliki Papoutsis claimed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for lack of disclosure in connection with the purchase of their home. Papoutsis made an offer to purchase the property, which was rejected. They submitted a new offer and removed the inspection clause. This offer, which was accepted, was contingent upon the receipt of a completed Property Disclosure Statement which was to be incorporated into the Contract of Purchase and Sale. McIntosh was the agent of the defendant seller Lacroix and he was employed by Sussex. The Statement asked if there were any structural problems with the premises and whether there were any moisture or water problems in the walls, basement or crawl space. Lacroix answered aeno' to both questions. She completed the Statement after McIntosh explained its importance to her. Constantine was unable to inspect the property prior to closing. After the closing he and his wife inspected the crawl space and found that standing water was present, as were two sump pumps. Lacroix and McIntosh were present for that viewing. After that viewing McIntosh obtained a statement from Lacroix that there was a problem with water in the basement but it was fixed with a sump pump. The trial judge decided that the Statement was inaccurate. She found Lacroix, McIntosh and Sussex liable for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3" w:name="Holdings of Court_19"/>
            <w:bookmarkEnd w:id="153"/>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judge erred in finding that the sump pump was a defect. The doctrine of caveat emptor applied in the case of patent defects and the law put the onus on the purchaser to determine the state and quality of the property being sold. There was no duty on the part of a vendor to disclose patent defects to a seller. There was a high onus on the purchaser to inspect and discover patent defects by conducting a reasonable inspection of the premises and by making reasonable inquiries into its qualities. The sump pump and any water ingress issues in the crawl space would have been readily discoverable by Papoutsis had they exercised reasonable vigilance. A reasonable inspection of the property would have put them on notice as to the existence of the pump. Although Papoutsis attempted to view the property a second time prior to closing they waived the inspection clause. Without such a clause Lacroix was not obliged to provide them an opportunity to view the property. The judge reasoned that the Statement missed information that would have alerted Papoutsis to the need for an inspection. Her application of the law transformed the application of the doctrine of caveat emptor from a distinction between patent and latent defects to one where the lack of an inspection made the distinction irrelevant. Such a conclusion was clearly wrong. The judge did not find evidence of fraudulent intention or recklessness on the part of McIntosh and Sussex. Additionally, the alleged defect or misrepresentations did not render the house dangerous or unfit for human habitation. The doctrine of caveat emptor therefore applied. Prior to closing Papoutsis were aware of the possibility of water ingress and structural foundation issues with the property. They sought the advice of legal counsel directly on this point. They closed the contract knowing of the potential for such problems and were cognizant that they waived their inspection privileges. Even though they may have relied on the misrepresentations in the Statement and such reliance was reasonable, the water ingress problems were patent defects that were discoverable by conducting a reasonable inspection and making reasonable inquiries about the property. McIntosh and Sussex were not liable under the circumstances as a result of caveat emptor. Lacroix was the party who denied access to Papoutsis. McIntosh and Sussex were not accountable for Papoutsis' inability to discover the patent defect. The judge erred in her finding of liability against them. McIntosh and Sussex were also not liable for the advice they gave Lacroix concerning her completion of the Statement.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4" w:name="Counsel_22"/>
      <w:bookmarkEnd w:id="1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their own behalf: C. Papoutsis and V. Papoutsis.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Appellants: K.A.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Janet Lacroix: J.H. Bryant.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5" w:name="Judgment_22"/>
      <w:bookmarkEnd w:id="155"/>
      <w:r>
        <w:pict>
          <v:line id="_x0000_s1136" style="position:absolute;z-index:2517841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6" w:name="J.M. GROPPER J."/>
            <w:bookmarkEnd w:id="156"/>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and Ms. Papoutsis purchased the residence at 347 Burns Road in Gibsons, British Columbia (the "property"), from the seller, Ms. Lacroix.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the Provincial Court of British Columbia, the Papoutsis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against the seller, Ms. Lacroix; the seller's agent, Mr. McIntosh; their agent, Mr. Goodwin; and each agent's employer, Sussex Realty and Remax Top 20 Realty, respectively. The claim is premised on a lack of disclosure respecting water ingress problems with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her reasons for judgment dated April 21, 2008 (the "Reasons"), Baird Ellan P.C.J. found Ms. Lacroix, Mr. McIntosh, and Sussex Realty liable for damages. Mr McIntosh and Sussex Realty appeal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standard of review for Small Claims Court appeals was set out in </w:t>
      </w:r>
      <w:r>
        <w:rPr>
          <w:rFonts w:ascii="arial" w:eastAsia="arial" w:hAnsi="arial" w:cs="arial"/>
          <w:b/>
          <w:i/>
          <w:color w:val="000000"/>
          <w:sz w:val="20"/>
          <w:lang w:val="en-US" w:eastAsia="en-US" w:bidi="ar-SA"/>
        </w:rPr>
        <w:t>Perfect Auto Repairs Ltd. v. Westway Roofing Ltd.</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2005 BCSC 1627</w:t>
        </w:r>
      </w:hyperlink>
      <w:r>
        <w:rPr>
          <w:rFonts w:ascii="arial" w:eastAsia="arial" w:hAnsi="arial" w:cs="arial"/>
          <w:color w:val="000000"/>
          <w:sz w:val="20"/>
          <w:lang w:val="en-US" w:eastAsia="en-US" w:bidi="ar-SA"/>
        </w:rPr>
        <w:t xml:space="preserve"> at para. 5, [2006] B.C.W.L.D. 582: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an appeal from a judgment of the Provincial Court, I must approach the matter the same way the Court of Appeal would an appeal from the judgment of this Court. That means that if the appeal is based on a question of law, I am free to consider whether the trial judge was correct. However, where the appeal is based on questions of fact, I cannot reverse the decision of the trial judge unless there is a "palpable and overriding error": </w:t>
      </w:r>
      <w:r>
        <w:rPr>
          <w:rFonts w:ascii="arial" w:eastAsia="arial" w:hAnsi="arial" w:cs="arial"/>
          <w:b/>
          <w:i/>
          <w:color w:val="000000"/>
          <w:sz w:val="20"/>
          <w:lang w:val="en-US" w:eastAsia="en-US" w:bidi="ar-SA"/>
        </w:rPr>
        <w:t>Legrady v. Custom House Currency Exchange Ltd.</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2005 BCSC 802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King v. Holker</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2000 BCSC 64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Serko v. Berg</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2004 BCSC 1152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Further clarification was provided by </w:t>
      </w:r>
      <w:r>
        <w:rPr>
          <w:rFonts w:ascii="arial" w:eastAsia="arial" w:hAnsi="arial" w:cs="arial"/>
          <w:b/>
          <w:i/>
          <w:color w:val="000000"/>
          <w:sz w:val="20"/>
          <w:lang w:val="en-US" w:eastAsia="en-US" w:bidi="ar-SA"/>
        </w:rPr>
        <w:t>Absolute Bailiffs Inc. v. Warbrick</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2001 BCSC 362</w:t>
        </w:r>
      </w:hyperlink>
      <w:r>
        <w:rPr>
          <w:rFonts w:ascii="arial" w:eastAsia="arial" w:hAnsi="arial" w:cs="arial"/>
          <w:color w:val="000000"/>
          <w:sz w:val="20"/>
          <w:lang w:val="en-US" w:eastAsia="en-US" w:bidi="ar-SA"/>
        </w:rPr>
        <w:t xml:space="preserve"> at para. 17: "... the 'palpable and overriding error' test is used interchangeably with the 'clearly wrong' test for appellate review on questions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RELEVANT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early August 2004, Mr. and Ms. Papoutsis attended a viewing with their realtor, Mr. Goodwin, at the property. They did not view the crawl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Papoutsis made an offer on the property, which was rejected. They removed the inspection clause that they had included in the original offer to encourage acceptance. The final offer, which was accepted, was without subject clauses and contingent upon receipt of a completed Property Disclosure Statement (the "PDS") that was to be incorporated into the Contract of Purchase and Sale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PDS form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structural problems with the premises or other buildings on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moisture and/or water problems in the walls, basement or crawl space?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is responsible for the accuracy of the answers on this disclosure statement and where uncertain should reply, 'Do Not Know.' This disclosure statement constitutes a representation under any Contact of Purchase of Sale if so agreed, in writing, by the seller and the buyer.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is urged to get the property inspected.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prudent buyer will use this disclosure statement as the starting point for the buyer's own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McIntosh reviewed the PDS with Ms. Lacroix and he explained its importance to her. Ms. Lacroix completed the PDS form by answering "no" to the first two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Papoutsis alleged that when he signed the contract he had the impression that he would be able to view the property prior to the closing date, which was just nine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Just before the closing date, Mr. Papoutsis met a friend who described some problems with the property. As a result of that conversation, Mr. Papoutsis attempted to view the property prior to closing; however, he was ultimately not able to do so. At Mr. Goodwin's suggestion, Mr. Papoutsis sought legal advice prior to the closing date. After obtaining this advice Mr. Papoutsis followed through with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and Ms. Papoutsis viewed the property again after the contract was complete. Mr. Goodwin, Ms. Lacroix, and Mr. McIntosh were all present for this viewing. They entered into the crawl space and found that standing water was present, as were two sump pumps.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that viewing, Mr. McIntosh obtained a statement from Ms. Lacroix in which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previous owners had disclosed to her that there was a problem with water in the basement that they had fixed with a sump pump, that every house on the street had a sump pump, that she had never had any water problems after the pump was installed although the pump had stopped working at one point and she had an electrician repair it: Reasons,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Lacroix confirmed that statement in her evidence. She said the first time she saw water in the crawl space was the day of the viewing.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Dale Allenback of Pacific Drainage gave evidence that he performed work for Mr. and Ms. Papoutsis in the crawl space to attempt to repair the water leaks. He concluded the pump was not installed properly and that a trench was required to take water away from the house. Mr. Allenback did not consider that there was a perimeter drainage problem. He did not work on or oversee the later installation of a new sump pump or the perimeter work on the property; however, he did observe it after the fact and agreed that the problem remained.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Baird Ellan P.C.J. holds at para. 42 of her Reasons that the PDS is inaccurate. She found that Mr. Allenback's testimony and report established that the underlying problem causing water ingress into the crawlspace was present at the time of sale. Further, Ms. Lacroix was aware of the problem; she was both told by the previous owners and had seen the sump pump for herself. She paid a price considerably below the listing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was a conflict in the evidence as to whether Ms. Lacroix disclosed the presence of the sump pump to her agents, Mr. McIntosh and his assistant, Carol Hautala. Ms. Lacroix stated she asked the agents whether she was required to disclose the pump to the buyers and that they each stated she was not. Each agent denied having had such a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Baird Ellan P.C.J. states at para. 46 of her Reasons that Ms. Lacroix's statement, which was provided at Mr. McIntosh's request after the viewing of the crawl space, appears to presume Mr. McIntosh's prior knowledge of the pump's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finds at paras. 47-49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evidence supports a conclusion that both Lacroix and Mr. McIntosh believed the pump was a non-issue ... I accept Ms. Lacroix's evidence that she did tell Mr. McIntosh and Ms. Hautala about the presence of the pump.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as well that Mr. McIntosh was aware there was a crawl space and declined to view it or measure it for the listing ... It was certainly open to him to inspect the crawl space for himself, or to make further inquiries of Ms. Lacroix than he says he did. It may also have been open to him to view documentation from the prior sale and learn in that fashion that there had been disclosure in the previous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Inspection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Baird Ellan P.C.J. finds at para. 50 of her Reasons that the original inspection clause was a term of the original offer at Mr. Goodwin's suggestion. Further, she holds at para. 51 that it is "... more probable that the clause was removed at Mr. Goodwin's suggestion than at the Papoutsises' insistence." It would be reasonable for Mr. Goodwin to expect that any substantial defects, such as drainage issues, would be disclosed in the PDS so as to protect the buyer from something that would otherwise be detected by an inspection. Further, she holds at para. 53 that he was "... good-naturedly, pushing for the sale and for that reason was not as inclined to insist on the inspection clause being kept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Reliance on the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para. 55 of her reasons, Baird Ellan P.C.J. finds that it was more probable than not that Mr. Goodwin told the Papoutsis that if they found any major defects that were not disclosed on the PDS, they would be entitled to renege on the contract or, at the very least, would have recourse based upon the PDS. Further, she states, "[i]ndeed, I find this is what Mr. Goodwin himself quite reasonably believed." As such, direct reliance was placed by the buyers on the accuracy of the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Inability to Discover the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insertion of the inspection clause in the original offer is consistent with a cursory first viewing. Despite the removal of the inspection clause, there is clear evidence the Papoutsis expected to have another viewing of the property prior to closing. There is evidence that they wished specifically to confirm the condition of the crawl space. Mr. Goodwin attempted to facilitate such a viewing; however, his efforts were ineffective.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Baird Ellan P.C.J. notes at para. 59 that Mr. Goodwin, having knowledge of his clients' concerns, did not intercede to postpone the closing. She states, however, that his failure to do so was not collusion; rather, she finds it is consistent with a belief that the PDS could be relied upon. Mr. Goodwin suggested to the Papoutsis that they seek legal counsel regarding their obligations under the Contract. It was following the receipt of that advice that they proceeded with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OUTLINE OF THE LEARNED TRIAL JUDGE'S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learned Provincial Court Judge enumerates the issues as arising from the findings of fact. I refer only to those that are the subject of this appeal, namely:</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presence of a sump pump was a defect that should have been disclosed;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Lacroix's failure to disclose the sump pump or what was told to her by the previous owners on the PDS was a negligent misrepresentation;</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failure by Mr. McIntosh to require or advise the seller to disclose the existence of a sump pump constituted a breach of a duty to the buyer;</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any established representations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buyers to act to their detriment;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buyers suffered any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trial judge analyzes these issues under subheadings. I will follow the same format in summarizing 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 Sump Pump a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Baird Ellan P.C.J. holds at para. 63 that, "[t]he defect was not the pump itself, rather the improper drainage and structural issues in the crawl space of the house that necessitated the installation of a pump to keep the basement dry" were the defects. She cites </w:t>
      </w:r>
      <w:r>
        <w:rPr>
          <w:rFonts w:ascii="arial" w:eastAsia="arial" w:hAnsi="arial" w:cs="arial"/>
          <w:b/>
          <w:i/>
          <w:color w:val="000000"/>
          <w:sz w:val="20"/>
          <w:lang w:val="en-US" w:eastAsia="en-US" w:bidi="ar-SA"/>
        </w:rPr>
        <w:t>Armstrong v. Eigl</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[1995] B.C.J. No. 2814</w:t>
        </w:r>
      </w:hyperlink>
      <w:r>
        <w:rPr>
          <w:rFonts w:ascii="arial" w:eastAsia="arial" w:hAnsi="arial" w:cs="arial"/>
          <w:color w:val="000000"/>
          <w:sz w:val="20"/>
          <w:lang w:val="en-US" w:eastAsia="en-US" w:bidi="ar-SA"/>
        </w:rPr>
        <w:t xml:space="preserve"> at para. 70,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essential to recognize that the "defect" if there be one, is not the presence of water in the back yard, nor water in the crawl space, nor in due course a sump pump in the crawl space, but rather the existence of hydrogeological factors for which adequate provision had not been made in the preparation of the site and in the construction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learned trial judge concludes at para.65: "Here, the defect was the ingress of water into the crawl space, that had to be controlled by the installation of a sump pump" and "[t]here was clearly a defect of the type addressed by the PDS; 'problems with water in the crawl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there a Misrepresentation by the Seller?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Baird Ellan P.C.J. holds at para. 66 that the PDS was inaccurate as it failed to disclose a defect. She states the wording of the PDS and of the contract make it clear that the buyer was intended to rely upon the PDS as an accurate statement regarding the condition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To exclude the sump pump from the PDS and to affirm that she was unaware of any structural problems or water issues, was clearly misleading and failed to alert the Papoutsis to the need to make further inspection. Thus, Baird Ellan P.C.J. finds at para. 68 of her Reasons that there was a clear misrepresentation made by Ms. Lacroix.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Lacroix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learned trial judge accepts that Ms. Lacroix told Mr. McIntosh and Ms. Hautala about the existence of the sump pump, and that they told her she did not need to disclose it if she had not had any problems with it and if it was in plain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Baird Ellan P.C.J. states the first issue as whether Ms. Lacroix's reliance on her agents' advice negates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In deciding this issue, she relies on the following facts: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Ms. Lacroix was interested in purchasing the property, she was provided with a PDS from the previous owners disclosing the existence of the sump pump;</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Lacroix was alerted by that disclosure of the need to inspect the crawl space, which she did;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Lacroix paid significantly less than the asking price for the property;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Lacroix did not tell either Mr. McIntosh or Ms. Hautala that she had been told there were water problems in the crawl space before she moved in, necessitating the installation of the sump pump;</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Lacroix did not tell either Mr. McIntosh or Ms. Hautala that the pump had been disclosed to her; she simply asked, according to her evidence, whether she needed to disclose it;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Lacroix knew more about the history of the property than did Mr. McIntosh;</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Lacroix signed a statement affirming that she was not aware of any water issues;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Lacroix had the pump serviced at least once and she was aware that if it malfunctioned, the water issues would return;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Lacroix relied upon a repairman to advise her that the crawl space was dry and did not inspect it herself before signing the PDS or assuring her agent that the pump was working perfectly.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Ultimately, at para. 76, Baird Ellan P.C.J.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I find that there was some reliance on the advice she received from Mr. McIntosh and Ms. Hautala, this reliance does not negate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Ms. Lacroix's part. She did not take sufficient steps to ensure that the crawl space was dry before signifying that there were no water issues and the pump was working. She did not tell her agent that she had been told the pump was there because of water problems. Her state of knowledge required her to do more to alert the buyer, particularly when she was aware, before the closing, that they wished to see it before the closing and declined to make it available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learned trial court judge holds at para. 77 that, "[w]hile her misrepresentation may not have been fraudulent, it was clearly negligent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second issue is whether Ms. Lacroix is entitled to be indemnified by her agent. Baird Ellan P.C.J. states at para. 77 that, as follows from the finding of negligent misrepresentation, she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there a Misrepresentation by the Seller's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Baird Ellan P.C.J. states at para. 78 that whether there was a misrepresentation by the seller's agent turns on whether Mr. McIntosh knew that the PDS was inaccurate, or whether he was negligent to its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learned trial judge maintains at para. 79: "[h]aving been advised there was a sump pump, Mr. McIntosh should have concluded that its presence could well signify a structural problem or a defect that should be disclosed." She continues at para. 80 that, "[w]hile he was not obliged to have it inspected himself, he improperly advised the seller it need not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Baird Ellan P.C.J. holds at para. 80 that Mr. McIntosh contributed to and was a party to the false statements made by Ms. Lacroix in the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Mr. McIntosh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 McIntosh and Sussex Realty argued that there was no duty on a selling agent to ascertain the truth of statements made in a PDS. They stated that such an agent's duty extends only to disclosing latent defects of which he is made aware by the seller - otherwise,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applies. They further took the position that a claim against a listing agent, who has no contractual duty to a buyer (as in the case here), must be established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learned trial court judge cites the following authority for the duty of a listing realtor at para. 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realtor has a duty to disclose all material facts known to him or her which could affect a reasonable purchaser's willingness to enter into an agreement of purchase and sale. The listing realtor's duty is normally satisfied, however, by making inquiries of the seller and of other sources readily available to him or her (as, for example, by making reference to information available in the realty office concerning previous transactions involving the same property). In the absence of some reason to doubt the accuracy of the information thus obtained, however, it is not incumbent upon the realtor to inspect the premises or independently verify what he or she has been told: </w:t>
      </w:r>
      <w:r>
        <w:rPr>
          <w:rFonts w:ascii="arial" w:eastAsia="arial" w:hAnsi="arial" w:cs="arial"/>
          <w:i/>
          <w:color w:val="000000"/>
          <w:sz w:val="20"/>
          <w:lang w:val="en-US" w:eastAsia="en-US" w:bidi="ar-SA"/>
        </w:rPr>
        <w:t>Garnot v. City of Prince George</w:t>
      </w:r>
      <w:r>
        <w:rPr>
          <w:rFonts w:ascii="arial" w:eastAsia="arial" w:hAnsi="arial" w:cs="arial"/>
          <w:color w:val="000000"/>
          <w:sz w:val="20"/>
          <w:lang w:val="en-US" w:eastAsia="en-US" w:bidi="ar-SA"/>
        </w:rPr>
        <w:t>, BCPC, unreported, October 18, 2002, Prince George Registry No. SM14693, p. 12, per Blake PCJ.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Baird Ellan P.C.J. states the existence of such a duty of care has been found to exist for a listing agent in relation to a buyer, citing </w:t>
      </w:r>
      <w:r>
        <w:rPr>
          <w:rFonts w:ascii="arial" w:eastAsia="arial" w:hAnsi="arial" w:cs="arial"/>
          <w:b/>
          <w:i/>
          <w:color w:val="000000"/>
          <w:sz w:val="20"/>
          <w:lang w:val="en-US" w:eastAsia="en-US" w:bidi="ar-SA"/>
        </w:rPr>
        <w:t>Walls v. Ross</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2001 BCPC 187</w:t>
        </w:r>
      </w:hyperlink>
      <w:r>
        <w:rPr>
          <w:rFonts w:ascii="arial" w:eastAsia="arial" w:hAnsi="arial" w:cs="arial"/>
          <w:color w:val="000000"/>
          <w:sz w:val="20"/>
          <w:lang w:val="en-US" w:eastAsia="en-US" w:bidi="ar-SA"/>
        </w:rPr>
        <w:t xml:space="preserve">, Stansfield P.C.J., following </w:t>
      </w:r>
      <w:r>
        <w:rPr>
          <w:rFonts w:ascii="arial" w:eastAsia="arial" w:hAnsi="arial" w:cs="arial"/>
          <w:b/>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38 C.C.L.T. 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Although she does not state a specific standard for such a duty, Baird Ellan P.C.J. quotes the "Vancouver Island Real Estate Code of Ethics" cited at para. 22 in </w:t>
      </w:r>
      <w:r>
        <w:rPr>
          <w:rFonts w:ascii="arial" w:eastAsia="arial" w:hAnsi="arial" w:cs="arial"/>
          <w:b/>
          <w:i/>
          <w:color w:val="000000"/>
          <w:sz w:val="20"/>
          <w:lang w:val="en-US" w:eastAsia="en-US" w:bidi="ar-SA"/>
        </w:rPr>
        <w:t>Gilchrist v. City Centre Real Estate Inc.</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2003 BCPC 356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REALTOR has an obligation to discover facts pertaining to every property for which the REALTOR accepts an agency which a reasonably prudent REALTOR would discover in order to fulfill the obligation to avoid error, misrepresentation or concealment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Baird Ellan P.C.J. states at para.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that excerpt from the Code of Ethics applies to realtors in Gibsons, it is a reasonable statement of the duty one would expect from a listing agent, in my view, and it was not met here. I note that documentation from past sales of the property was an avenue of inquiry specifically included within the realm of 'readily available sources' referred to in </w:t>
      </w:r>
      <w:r>
        <w:rPr>
          <w:rFonts w:ascii="arial" w:eastAsia="arial" w:hAnsi="arial" w:cs="arial"/>
          <w:i/>
          <w:color w:val="000000"/>
          <w:sz w:val="20"/>
          <w:lang w:val="en-US" w:eastAsia="en-US" w:bidi="ar-SA"/>
        </w:rPr>
        <w:t>Garnot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learned trial judge found that the PDS related to the previous sale would have indicated a water issue or, at least, the presence of a sump pump.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Reliance - Was the Water Problem Discoverable?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learned trial judge refers to </w:t>
      </w:r>
      <w:r>
        <w:rPr>
          <w:rFonts w:ascii="arial" w:eastAsia="arial" w:hAnsi="arial" w:cs="arial"/>
          <w:b/>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2006 BCSC 333</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41 R.P.R. (4th) 118</w:t>
        </w:r>
      </w:hyperlink>
      <w:r>
        <w:rPr>
          <w:rFonts w:ascii="arial" w:eastAsia="arial" w:hAnsi="arial" w:cs="arial"/>
          <w:color w:val="000000"/>
          <w:sz w:val="20"/>
          <w:lang w:val="en-US" w:eastAsia="en-US" w:bidi="ar-SA"/>
        </w:rPr>
        <w:t>, where Ballance J. states at para. 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distinction between patent and latent defects is central to a vendor's obligation of disclosure under the doctrine. Patent defects are those that can be discovered by conducting a reasonable inspection and making reasonable inquiries about the property. The authorities provide some guidance about the extent of the purchaser's obligation to inspect and make inquiries. The extent of that obligation is, in some respects, the demarcation of the distinction between latent and patent defects. In general, there is a fairly high onus on the purchaser to inspect and discover patent defects. This means that a defect which might not be observable on a casual inspection may nonetheless be patent if it would have been discoverable upon a reasonable inspection by a qualified person ... In some cases, it necessitates a purchaser retaining the appropriate experts to inspect the property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learned trial judge found that the PDS was missing information that would have alerted the buyer to a need for inspection precisely in relation to the defect that existed and further that the statements on the PDS obviated any apparent need for further inspection of the crawl space. She states, at para. 89, "[h]ad at least the presence of the pump been included in the PDS, they no doubt would have re-inserted the inspection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At para. 90 of her Reasons, citing para. 143 of </w:t>
      </w:r>
      <w:r>
        <w:rPr>
          <w:rFonts w:ascii="arial" w:eastAsia="arial" w:hAnsi="arial" w:cs="arial"/>
          <w:b/>
          <w:i/>
          <w:color w:val="000000"/>
          <w:sz w:val="20"/>
          <w:lang w:val="en-US" w:eastAsia="en-US" w:bidi="ar-SA"/>
        </w:rPr>
        <w:t>Cardwell</w:t>
      </w:r>
      <w:r>
        <w:rPr>
          <w:rFonts w:ascii="arial" w:eastAsia="arial" w:hAnsi="arial" w:cs="arial"/>
          <w:color w:val="000000"/>
          <w:sz w:val="20"/>
          <w:lang w:val="en-US" w:eastAsia="en-US" w:bidi="ar-SA"/>
        </w:rPr>
        <w:t>, Baird Ellan P.C.J.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representations discourage a buyer from performing an inspection or induce him to enter into the contract without one, the fact that a defect may have been discoverable had he performed one is not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learned trial judge finds that "... the buyers were dissuaded by the state of the PDS from making prudent inquiries or performing an inspection, and the defect was in the circumstances not reasonably discoverable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Baird Ellan P.C.J. states at para. 99 that "... the proper measure of damages is the difference in the value of the property, had the defect been disclosed: </w:t>
      </w:r>
      <w:r>
        <w:rPr>
          <w:rFonts w:ascii="arial" w:eastAsia="arial" w:hAnsi="arial" w:cs="arial"/>
          <w:i/>
          <w:color w:val="000000"/>
          <w:sz w:val="20"/>
          <w:lang w:val="en-US" w:eastAsia="en-US" w:bidi="ar-SA"/>
        </w:rPr>
        <w:t>Khaira v. Nelson</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[2002] B.C.J. No. 1620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Baird Ellan P.C.J. states at para. 102 that, "[o]n any view of the facts, however, there is ample support for a conclusion that the difference between market value without disclosure, and market value with disclosure, is over the jurisdictional limit of the court." She states that Ms. Lacroix's purchase price, the reassessment performed in 2005 (reflecting a reduction of almost $50,000 from the original assessment), and the amount of expenditures the Papoutsis have made in attempting to rectify the problems support such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Judgment was granted at para. 103 in favour of the Papoutsis in the amount of $25,000 against the defendants Ms. Lacroix, Mr. McIntosh, and Sussex Realty, jointly and severally.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case against Mr. J. Lacroix, Mr. Goodwin, and Remax Top 20 Realty was dismissed at para.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McIntosh and Sussex Realty appeal from Baird Ellan P.C.J.'s decision on the following grounds: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Provincial Court Judge erred in finding that the existence of a patent condition needed to be disclosed by a listing realtor to a potential buyer;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Provincial Court Judge erred in finding that the appellants, as listing realtor and listing brokerage, should have concluded that the presence of a sump pump could signify a structural problem or a defect and needed to be disclosed;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Provincial Court Judge erred in finding, without any evidence of standard of care, that a listing realtor has an obligation to review documents from past sales of a property;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learned Provincial Court Judge erred in finding that the existence of a PDS obviated a buyer's duty to conduct a proper inspection of a property and, therefore, impacted the applicability of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Provincial Court Judge erred in finding there was a duty on a listing realtor to grant a buyer access to property not owned or controlled by the listing realtor;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Provincial Court Judge erred in determining the existence of damages without any evidence of recoverable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To summarize, the appellants disagree with the learned Provincial Court Judge respecting her finding of liability and assessment of damages as against them. They assert that Baird Ellan P.C.J. made a fatal error in finding that there need be disclosure of a patent condition by a listing realtor to a potential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addressing this appeal, two issues must be canvassed: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 listing realtor owe a general duty of care to a potential purchaser? If such a duty is owed, what is the standard of care?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 listing realtor owe a specific duty of care to a potential purchaser to disclose a patent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Does a listing realtor owe a general duty of care to a potential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If such a duty is owed, what is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It is trite law that real estate agents owe their principals a duty to exercise reasonable skill and care: </w:t>
      </w:r>
      <w:r>
        <w:rPr>
          <w:rFonts w:ascii="arial" w:eastAsia="arial" w:hAnsi="arial" w:cs="arial"/>
          <w:b/>
          <w:i/>
          <w:color w:val="000000"/>
          <w:sz w:val="20"/>
          <w:lang w:val="en-US" w:eastAsia="en-US" w:bidi="ar-SA"/>
        </w:rPr>
        <w:t>Charter-York Ltd. v. Hurst</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(1978), 2 R.P.R. 272</w:t>
        </w:r>
      </w:hyperlink>
      <w:r>
        <w:rPr>
          <w:rFonts w:ascii="arial" w:eastAsia="arial" w:hAnsi="arial" w:cs="arial"/>
          <w:color w:val="000000"/>
          <w:sz w:val="20"/>
          <w:lang w:val="en-US" w:eastAsia="en-US" w:bidi="ar-SA"/>
        </w:rPr>
        <w:t xml:space="preserve"> (Ont. H.C.), leave to appeal to S.C.C. refused </w:t>
      </w:r>
      <w:hyperlink r:id="rId348" w:history="1">
        <w:r>
          <w:rPr>
            <w:rFonts w:ascii="arial" w:eastAsia="arial" w:hAnsi="arial" w:cs="arial"/>
            <w:i/>
            <w:color w:val="0077CC"/>
            <w:sz w:val="20"/>
            <w:u w:val="single"/>
            <w:shd w:val="clear" w:color="auto" w:fill="FFFFFF"/>
            <w:lang w:val="en-US" w:eastAsia="en-US" w:bidi="ar-SA"/>
          </w:rPr>
          <w:t>(1979), 28 N.R. 616</w:t>
        </w:r>
      </w:hyperlink>
      <w:r>
        <w:rPr>
          <w:rFonts w:ascii="arial" w:eastAsia="arial" w:hAnsi="arial" w:cs="arial"/>
          <w:color w:val="000000"/>
          <w:sz w:val="20"/>
          <w:lang w:val="en-US" w:eastAsia="en-US" w:bidi="ar-SA"/>
        </w:rPr>
        <w:t xml:space="preserve"> (note)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an appropriate set of circumstances, the duty established in </w:t>
      </w:r>
      <w:r>
        <w:rPr>
          <w:rFonts w:ascii="arial" w:eastAsia="arial" w:hAnsi="arial" w:cs="arial"/>
          <w:b/>
          <w:i/>
          <w:color w:val="000000"/>
          <w:sz w:val="20"/>
          <w:lang w:val="en-US" w:eastAsia="en-US" w:bidi="ar-SA"/>
        </w:rPr>
        <w:t>Charter-York</w:t>
      </w:r>
      <w:r>
        <w:rPr>
          <w:rFonts w:ascii="arial" w:eastAsia="arial" w:hAnsi="arial" w:cs="arial"/>
          <w:color w:val="000000"/>
          <w:sz w:val="20"/>
          <w:lang w:val="en-US" w:eastAsia="en-US" w:bidi="ar-SA"/>
        </w:rPr>
        <w:t xml:space="preserve"> may be extended such that an agent may owe a duty and be liable in tort to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para.34, </w:t>
      </w:r>
      <w:hyperlink r:id="rId349" w:history="1">
        <w:r>
          <w:rPr>
            <w:rFonts w:ascii="arial" w:eastAsia="arial" w:hAnsi="arial" w:cs="arial"/>
            <w:i/>
            <w:color w:val="0077CC"/>
            <w:sz w:val="20"/>
            <w:u w:val="single"/>
            <w:shd w:val="clear" w:color="auto" w:fill="FFFFFF"/>
            <w:lang w:val="en-US" w:eastAsia="en-US" w:bidi="ar-SA"/>
          </w:rPr>
          <w:t>99 D.L.R. (4th) 626</w:t>
        </w:r>
      </w:hyperlink>
      <w:r>
        <w:rPr>
          <w:rFonts w:ascii="arial" w:eastAsia="arial" w:hAnsi="arial" w:cs="arial"/>
          <w:color w:val="000000"/>
          <w:sz w:val="20"/>
          <w:lang w:val="en-US" w:eastAsia="en-US" w:bidi="ar-SA"/>
        </w:rPr>
        <w:t>, the court outlined the elements that must be established to maintain a cause of action in tort for negligent misrepresentation:</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special relationship between the parties giving rise to a duty of care;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misrepresentation which is untrue, inaccurate, or misleading;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the said representation;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reasonable reliance placed on the negligent misrepresentation;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plaintiff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follows that such a cause of action may be available to a person who relies on an agent, regardless of whether the agent is acting for that person,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Real estate agents have been found liable to purchasers for representations made regarding the property being purchased. An agent may be liable to a purchaser where he is aware or should be aware of a problem or defect with a property and fails to reveal it to the purchasers: </w:t>
      </w:r>
      <w:r>
        <w:rPr>
          <w:rFonts w:ascii="arial" w:eastAsia="arial" w:hAnsi="arial" w:cs="arial"/>
          <w:b/>
          <w:i/>
          <w:color w:val="000000"/>
          <w:sz w:val="20"/>
          <w:lang w:val="en-US" w:eastAsia="en-US" w:bidi="ar-SA"/>
        </w:rPr>
        <w:t>Underwood v. Ocean City Realty Ltd.</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(1985), 34 C.C.L.T. 128</w:t>
        </w:r>
      </w:hyperlink>
      <w:r>
        <w:rPr>
          <w:rFonts w:ascii="arial" w:eastAsia="arial" w:hAnsi="arial" w:cs="arial"/>
          <w:color w:val="000000"/>
          <w:sz w:val="20"/>
          <w:lang w:val="en-US" w:eastAsia="en-US" w:bidi="ar-SA"/>
        </w:rPr>
        <w:t xml:space="preserve"> (B.C.S.C.), aff'd </w:t>
      </w:r>
      <w:hyperlink r:id="rId351" w:history="1">
        <w:r>
          <w:rPr>
            <w:rFonts w:ascii="arial" w:eastAsia="arial" w:hAnsi="arial" w:cs="arial"/>
            <w:i/>
            <w:color w:val="0077CC"/>
            <w:sz w:val="20"/>
            <w:u w:val="single"/>
            <w:shd w:val="clear" w:color="auto" w:fill="FFFFFF"/>
            <w:lang w:val="en-US" w:eastAsia="en-US" w:bidi="ar-SA"/>
          </w:rPr>
          <w:t>(1987), 12 B.C.L.R. (2d) 199</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Fletcher v. Hand</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(1994), 40 R.P.R. (2d) 52</w:t>
        </w:r>
      </w:hyperlink>
      <w:r>
        <w:rPr>
          <w:rFonts w:ascii="arial" w:eastAsia="arial" w:hAnsi="arial" w:cs="arial"/>
          <w:color w:val="000000"/>
          <w:sz w:val="20"/>
          <w:lang w:val="en-US" w:eastAsia="en-US" w:bidi="ar-SA"/>
        </w:rPr>
        <w:t xml:space="preserve"> (Alta. Q.B.). The listing agent has a duty to exercise reasonable care and skill to ensure the information is complete and accurate; and the selling agent has a duty to make enquiries and to validate any material representations: </w:t>
      </w:r>
      <w:r>
        <w:rPr>
          <w:rFonts w:ascii="arial" w:eastAsia="arial" w:hAnsi="arial" w:cs="arial"/>
          <w:b/>
          <w:i/>
          <w:color w:val="000000"/>
          <w:sz w:val="20"/>
          <w:lang w:val="en-US" w:eastAsia="en-US" w:bidi="ar-SA"/>
        </w:rPr>
        <w:t>Grisack v. Smith</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(1985), 59 A.R. 238</w:t>
        </w:r>
      </w:hyperlink>
      <w:r>
        <w:rPr>
          <w:rFonts w:ascii="arial" w:eastAsia="arial" w:hAnsi="arial" w:cs="arial"/>
          <w:color w:val="000000"/>
          <w:sz w:val="20"/>
          <w:lang w:val="en-US" w:eastAsia="en-US" w:bidi="ar-SA"/>
        </w:rPr>
        <w:t xml:space="preserve"> (Q.B.) at 243.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Does a listing realtor owe a specific duty of care to a potential purchaser to disclose a patent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learned trial judge referred to </w:t>
      </w:r>
      <w:r>
        <w:rPr>
          <w:rFonts w:ascii="arial" w:eastAsia="arial" w:hAnsi="arial" w:cs="arial"/>
          <w:b/>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2006 BCSC 333</w:t>
        </w:r>
      </w:hyperlink>
      <w:r>
        <w:rPr>
          <w:rFonts w:ascii="arial" w:eastAsia="arial" w:hAnsi="arial" w:cs="arial"/>
          <w:color w:val="000000"/>
          <w:sz w:val="20"/>
          <w:lang w:val="en-US" w:eastAsia="en-US" w:bidi="ar-SA"/>
        </w:rPr>
        <w:t xml:space="preserve">, aff'd </w:t>
      </w:r>
      <w:hyperlink r:id="rId354"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 The Cardwells entered into a contract of purchase and sale of a home that was not subject to an inspection clause. Accordingly, no inspection was carried out before the transaction closed. The disclosure statement contained nothing remarkable and thus the purchasers' agent did not incorporate it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Soon after the Cardwells took possession, they discovered several defects with the residence. The Cardwells never did move into the property. Six-and-a-half months later they sold the residence at a loss of nearly $700,000. The Cardwells, as purchasers, sued the vendors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(including negligent misrepresentation); fraud;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holding that there was no misrepresentation made by Mr. Perthen upon which the Cardwells could be said to have reasonably relied in choosing not to bother with an inspection or otherwise inducing them to enter the contract of purchase and sale, Ballance J. embarked on a review of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("let the buyer beware"). She states at para.119-127, as far as is relevant,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119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 continues to endure with validity and effect in allocating responsibility between a vendor and purchaser in the context of the purchase and sale of real property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120 ... the vendor need not do anything to inform himself about the state of the property being sold or the existence of any defects: that burden falls to the purchaser ... the law has put the onus on the purchaser to determine the state and quality of the property being sold.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121 ... the doctrine has been attenuated by a number of exceptions. Circumstances where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will not operate to deny a plaintiff recovery were summarized by Bennett J. in </w:t>
      </w:r>
      <w:r>
        <w:rPr>
          <w:rFonts w:ascii="arial" w:eastAsia="arial" w:hAnsi="arial" w:cs="arial"/>
          <w:i/>
          <w:color w:val="000000"/>
          <w:sz w:val="20"/>
          <w:lang w:val="en-US" w:eastAsia="en-US" w:bidi="ar-SA"/>
        </w:rPr>
        <w:t>McCluskie v. Reynolds</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(1998), 65 B.C.L.R. (3d) 191</w:t>
        </w:r>
      </w:hyperlink>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 R.P.R. (3d) 218</w:t>
        </w:r>
      </w:hyperlink>
      <w:r>
        <w:rPr>
          <w:rFonts w:ascii="arial" w:eastAsia="arial" w:hAnsi="arial" w:cs="arial"/>
          <w:color w:val="000000"/>
          <w:sz w:val="20"/>
          <w:lang w:val="en-US" w:eastAsia="en-US" w:bidi="ar-SA"/>
        </w:rPr>
        <w:t xml:space="preserve"> at para. 53 (S.C.):</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fraudulently misrepresents or conceals;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knows of a latent defect rendering the house unfit for human habitation;</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is reckless as to the truth or falsity of statements relating to the fitness of the house for habitation;</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has breached his duty to disclose a latent defect which renders the premises dangerous.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The distinction between patent and latent defects is central to a vendor's obligation of disclosure under the doctrine. </w:t>
      </w:r>
      <w:r>
        <w:rPr>
          <w:rFonts w:ascii="arial" w:eastAsia="arial" w:hAnsi="arial" w:cs="arial"/>
          <w:color w:val="000000"/>
          <w:sz w:val="20"/>
          <w:u w:val="single"/>
          <w:lang w:val="en-US" w:eastAsia="en-US" w:bidi="ar-SA"/>
        </w:rPr>
        <w:t>Patent defects are those that can be discovered by conducting a reasonable inspection and making reasonable inquiries about the property</w:t>
      </w:r>
      <w:r>
        <w:rPr>
          <w:rFonts w:ascii="arial" w:eastAsia="arial" w:hAnsi="arial" w:cs="arial"/>
          <w:color w:val="000000"/>
          <w:sz w:val="20"/>
          <w:lang w:val="en-US" w:eastAsia="en-US" w:bidi="ar-SA"/>
        </w:rPr>
        <w:t xml:space="preserve"> ... </w:t>
      </w:r>
      <w:r>
        <w:rPr>
          <w:rFonts w:ascii="arial" w:eastAsia="arial" w:hAnsi="arial" w:cs="arial"/>
          <w:color w:val="000000"/>
          <w:sz w:val="20"/>
          <w:u w:val="single"/>
          <w:lang w:val="en-US" w:eastAsia="en-US" w:bidi="ar-SA"/>
        </w:rPr>
        <w:t>In general, there is a fairly high onus on the purchaser to inspect and discover patent defects. This means that a defect which might not be observable on a casual inspection may nonetheless be patent if it would have been discoverable upon a reasonable inspection</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 </w:t>
      </w:r>
      <w:r>
        <w:rPr>
          <w:rFonts w:ascii="arial" w:eastAsia="arial" w:hAnsi="arial" w:cs="arial"/>
          <w:color w:val="000000"/>
          <w:sz w:val="20"/>
          <w:u w:val="single"/>
          <w:lang w:val="en-US" w:eastAsia="en-US" w:bidi="ar-SA"/>
        </w:rPr>
        <w:t>Latent defects - being ones which are not discoverable by observation and reasonable inquiry - are treated differently. A vendor who is aware of and fails to disclose and/or conceals or makes non-innocent misrepresentations with regard to a latent defect may well become liable to the purchaser for damages suffered as a result of that latent defect.</w:t>
      </w:r>
      <w:r>
        <w:rPr>
          <w:rFonts w:ascii="arial" w:eastAsia="arial" w:hAnsi="arial" w:cs="arial"/>
          <w:color w:val="000000"/>
          <w:sz w:val="20"/>
          <w:lang w:val="en-US" w:eastAsia="en-US" w:bidi="ar-SA"/>
        </w:rPr>
        <w:t xml:space="preserve"> This principle is sound because, unlike a patent defect, a latent defect is not discoverable by a purchaser on appropriate inquiries and inspection and thus, as a matter of fairness in the commercial transaction, the obligation to disclose and to not misrepresent will rest with the party who knows about the deficiency.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Levine J.A. dismissed the appeal, holding that Ballance J. did not err in articulating and applying the legal test for distinguishing patent and latent defects. She states at para.35: "... she applied the proper test in determining which defects and deficiencies the appellants complained of were undisclosed dangerous latent defects for which the respondent was liable, and awarded damages for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To summarize,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strictly applies in the case of patent defects and thus the law has put the onus on the purchaser to determine the state and quality of the property being sold. In general, there is no duty on the part of a vendor to disclose patent defects to the purchaser; rather, there is a fairly high onus on the purchaser to inspect and discover patent defects by conducting a reasonable inspection of the premises and by making reasonable inquiries into its qualities.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There are circumstances where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will not operate to deny a plaintiff recovery, which are summarized in </w:t>
      </w:r>
      <w:r>
        <w:rPr>
          <w:rFonts w:ascii="arial" w:eastAsia="arial" w:hAnsi="arial" w:cs="arial"/>
          <w:b/>
          <w:i/>
          <w:color w:val="000000"/>
          <w:sz w:val="20"/>
          <w:lang w:val="en-US" w:eastAsia="en-US" w:bidi="ar-SA"/>
        </w:rPr>
        <w:t>McCluskie</w:t>
      </w:r>
      <w:r>
        <w:rPr>
          <w:rFonts w:ascii="arial" w:eastAsia="arial" w:hAnsi="arial" w:cs="arial"/>
          <w:color w:val="000000"/>
          <w:sz w:val="20"/>
          <w:lang w:val="en-US" w:eastAsia="en-US" w:bidi="ar-SA"/>
        </w:rPr>
        <w:t>. The exceptions do not apply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 learned trial judge clearly wrong in her conclusion the sump pump was a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learned trial judge concluded that the defect was the ingress of water into the crawl space, which had to be controlled by the installation of a sump pump, after quoting from para.70 of </w:t>
      </w:r>
      <w:r>
        <w:rPr>
          <w:rFonts w:ascii="arial" w:eastAsia="arial" w:hAnsi="arial" w:cs="arial"/>
          <w:b/>
          <w:i/>
          <w:color w:val="000000"/>
          <w:sz w:val="20"/>
          <w:lang w:val="en-US" w:eastAsia="en-US" w:bidi="ar-SA"/>
        </w:rPr>
        <w:t>Armstrong</w:t>
      </w:r>
      <w:r>
        <w:rPr>
          <w:rFonts w:ascii="arial" w:eastAsia="arial" w:hAnsi="arial" w:cs="arial"/>
          <w:color w:val="000000"/>
          <w:sz w:val="20"/>
          <w:lang w:val="en-US" w:eastAsia="en-US" w:bidi="ar-SA"/>
        </w:rPr>
        <w:t>. With respect, the conclusion contradicts that quote, which states that the defect is not the ingress of the water into the crawl space, or the existence of a sump pump. The defect is "... the existence of hydrogeological factors for which adequate provision had not been made in the preparation of the site and in the construction of the home", which ultimately resulted in water ingress.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disagree with the learned trial judge in her conclusion that the presence of a sump pump is a defect. The trial judge does not comment on the hydrogeological factors; rather, she relies on the evidence of Mr. Allenback, who did not consider that there was a problem with perimeter drainage. Additionally, the replacement of the sump pump did not rectify the problem. With that evidence, the learned trial judge was clearly wrong in her conclusion that the sump pump was a defect. If it was, its replacement would have removed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Was the learned trial judge clearly wrong in her application of the doctrine of </w:t>
      </w:r>
      <w:r>
        <w:rPr>
          <w:rFonts w:ascii="arial" w:eastAsia="arial" w:hAnsi="arial" w:cs="arial"/>
          <w:b/>
          <w:i/>
          <w:color w:val="000000"/>
          <w:sz w:val="20"/>
          <w:lang w:val="en-US" w:eastAsia="en-US" w:bidi="ar-SA"/>
        </w:rPr>
        <w:t>caveat emptor?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evidence before the learned trial judge was that the sump pump and any water ingress issues in the crawl space of the property would have been readily discoverable by Mr. and Mrs. Papoutsis had they exercised reasonable vigilance in the circumstances. A reasonable inspection of the property would have put them on notice of the existence of the sump pump.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Mr. and Mrs. Papoutsis attempted to view the property a second time prior to closing, the inspection clause had been waived. They completed the contract. Without an inspection clause, Ms. Lacroix was not obliged to provide them an opportunity to view the property. Although the trial judge found that the inspection clause was removed on the recommendation of Mr. Goodwin, it was the purchasers who took the risk of removing the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learned trial judge reasons that the statement on the PDS was missing information that would have alerted Mr. and Mrs. Papoutsis of the need for an inspection. She states, "[h]ad at least the presence of the pump been included in the PDS, they no doubt would have re-inserted the inspection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At para. 90 of her Reasons, Baird Ellan P.C.J.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representations discourage a buyer from performing an inspection or induce him to enter into the contract without one, the fact that a defect may have been discoverable had he performed one is not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This statement is crucial to the case at hand. Baird Ellan P.C.J.'s authority for this statement is cited as para. 143 of </w:t>
      </w:r>
      <w:r>
        <w:rPr>
          <w:rFonts w:ascii="arial" w:eastAsia="arial" w:hAnsi="arial" w:cs="arial"/>
          <w:b/>
          <w:i/>
          <w:color w:val="000000"/>
          <w:sz w:val="20"/>
          <w:lang w:val="en-US" w:eastAsia="en-US" w:bidi="ar-SA"/>
        </w:rPr>
        <w:t>Cardwell</w:t>
      </w:r>
      <w:r>
        <w:rPr>
          <w:rFonts w:ascii="arial" w:eastAsia="arial" w:hAnsi="arial" w:cs="arial"/>
          <w:color w:val="000000"/>
          <w:sz w:val="20"/>
          <w:lang w:val="en-US" w:eastAsia="en-US" w:bidi="ar-SA"/>
        </w:rPr>
        <w:t>, which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Cardwell's evidence fell short of demonstrating that the inaccurate contents of the Disclosure Statement induced the Cardwells to enter into the contract or that they relied on it in reaching the decision to do without a proper inspection. And their conduct suggests otherwise. Neither she nor her real estate agent asked for a copy of it at the second meeting and more importantly, although it was open to them to do so, the Cardwells did not incorporate the Disclosure Statement into the terms of the contract of purchase and sale even though they were foregoing an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my respectful view, Baird Ellan P.C.J.'s interpretation of Ballance J.'s comments in </w:t>
      </w:r>
      <w:r>
        <w:rPr>
          <w:rFonts w:ascii="arial" w:eastAsia="arial" w:hAnsi="arial" w:cs="arial"/>
          <w:b/>
          <w:i/>
          <w:color w:val="000000"/>
          <w:sz w:val="20"/>
          <w:lang w:val="en-US" w:eastAsia="en-US" w:bidi="ar-SA"/>
        </w:rPr>
        <w:t>Cardwell</w:t>
      </w:r>
      <w:r>
        <w:rPr>
          <w:rFonts w:ascii="arial" w:eastAsia="arial" w:hAnsi="arial" w:cs="arial"/>
          <w:color w:val="000000"/>
          <w:sz w:val="20"/>
          <w:lang w:val="en-US" w:eastAsia="en-US" w:bidi="ar-SA"/>
        </w:rPr>
        <w:t xml:space="preserve"> goes further than substantiated. Her statement essentially transforms the application of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from a distinction between patent and latent defects, to one where the lack of an inspection makes a distinction irrelevant. Such a conclusion is clearly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Cardwell</w:t>
      </w:r>
      <w:r>
        <w:rPr>
          <w:rFonts w:ascii="arial" w:eastAsia="arial" w:hAnsi="arial" w:cs="arial"/>
          <w:color w:val="000000"/>
          <w:sz w:val="20"/>
          <w:lang w:val="en-US" w:eastAsia="en-US" w:bidi="ar-SA"/>
        </w:rPr>
        <w:t xml:space="preserve">, the court concluded that, despite there being misrepresentations made by the vendor, there was no misrepresentation made upon which the purchasers could be said to have reasonably relied in choosing not to bother with an inspection or otherwise inducing them to enter the contract for purchase and sale. She also determined that the vendor was liable for recklessly failing to disclose latent defects of which he was aware. In that case, the disclosure statement, in which misrepresentations were made, was not included as a term of the contract. Further, </w:t>
      </w:r>
      <w:r>
        <w:rPr>
          <w:rFonts w:ascii="arial" w:eastAsia="arial" w:hAnsi="arial" w:cs="arial"/>
          <w:b/>
          <w:i/>
          <w:color w:val="000000"/>
          <w:sz w:val="20"/>
          <w:lang w:val="en-US" w:eastAsia="en-US" w:bidi="ar-SA"/>
        </w:rPr>
        <w:t>Cardwell</w:t>
      </w:r>
      <w:r>
        <w:rPr>
          <w:rFonts w:ascii="arial" w:eastAsia="arial" w:hAnsi="arial" w:cs="arial"/>
          <w:color w:val="000000"/>
          <w:sz w:val="20"/>
          <w:lang w:val="en-US" w:eastAsia="en-US" w:bidi="ar-SA"/>
        </w:rPr>
        <w:t xml:space="preserve"> was decided in the context of a vendor's liability rather than a listing agent's liability. Thus, </w:t>
      </w:r>
      <w:r>
        <w:rPr>
          <w:rFonts w:ascii="arial" w:eastAsia="arial" w:hAnsi="arial" w:cs="arial"/>
          <w:b/>
          <w:i/>
          <w:color w:val="000000"/>
          <w:sz w:val="20"/>
          <w:lang w:val="en-US" w:eastAsia="en-US" w:bidi="ar-SA"/>
        </w:rPr>
        <w:t>Cardwell</w:t>
      </w:r>
      <w:r>
        <w:rPr>
          <w:rFonts w:ascii="arial" w:eastAsia="arial" w:hAnsi="arial" w:cs="arial"/>
          <w:color w:val="000000"/>
          <w:sz w:val="20"/>
          <w:lang w:val="en-US" w:eastAsia="en-US" w:bidi="ar-SA"/>
        </w:rPr>
        <w:t xml:space="preserve"> differs somewhat from the case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Baird Ellan P.C.J. did not find evidence of fraudulent intention or recklessness on the part of the appellants; additionally, the alleged defect or misrepresentations do not render the house dangerous or unfit for human habitation. Thus, the evidence is insufficient to meet the test laid down in </w:t>
      </w:r>
      <w:r>
        <w:rPr>
          <w:rFonts w:ascii="arial" w:eastAsia="arial" w:hAnsi="arial" w:cs="arial"/>
          <w:b/>
          <w:i/>
          <w:color w:val="000000"/>
          <w:sz w:val="20"/>
          <w:lang w:val="en-US" w:eastAsia="en-US" w:bidi="ar-SA"/>
        </w:rPr>
        <w:t>McCluskie</w:t>
      </w:r>
      <w:r>
        <w:rPr>
          <w:rFonts w:ascii="arial" w:eastAsia="arial" w:hAnsi="arial" w:cs="arial"/>
          <w:color w:val="000000"/>
          <w:sz w:val="20"/>
          <w:lang w:val="en-US" w:eastAsia="en-US" w:bidi="ar-SA"/>
        </w:rPr>
        <w:t xml:space="preserve">. As the exceptions to the rule are not met,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 trial judge clearly wrong in finding that Mr. McIntosh or Sussex Realty made misrepresentations upon which the Papoutsis reasonably relied in choosing not to include the inspection clause or in otherwise inducing them to enter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and Mrs. Papoutsis were aware, prior to closing, of the possibility of water ingress and structural foundation issues with the property. Upon their agent's suggestion, they sought the advice of legal counsel directly on this point. They closed the contract knowing of the potential for such problems and cognisant that they had waived their inspection privileges. However, the fact that the Papoutsis may have relied on the misrepresentations in the PDS, their decision to accept their agent's advice to waive the inspection clause, must be considered. Regardless, this would likely go to Mr. Goodwin's liability, which is not at issue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Even if it is held that the purchasers relied on the misrepresentations made in the PDS and that such reliance was reasonable, the characterization of the water ingress problems remains at issue. As the alleged defects are likely patent defects discoverable by conducting a reasonable inspection and making reasonable inquiries about the property, I do not consider that the listing agent and the agent's employer are liable under all the circumstances as a result of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refusal of access was at the hands of the vendor - not the listing agent. Mr. McIntosh and his brokerage are not accountable for the purchasers' inability to discover the patent defect. The learned trial judge erred in her finding of liability against the appellants.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learned trial judge erred in finding that the sump pump was a defect and misapplied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Further, she erred in finding that the vendor's agent was liable for the purchasers' inability to inspect the property before closing. Finally, Mr. McIntosh and Sussex Realty are not liable for the advice they gave Ms. Lacroix concerning her completion of the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Lacroix did not file a notice of appeal in this matter. I reach no conclusion on whether my holdings would affect the liability of the vendor and make no order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appeal is allowed. The action against Mr. McIntosh and Sussex Realty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Unless there are matters of which I am not aware, the appellants are entitled to their costs, both of this appeal and of the action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7"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Meise v. Whiting, [2002] B.C.J. No. 534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Dawson Creek,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Meiklem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16,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6, 2002.</w:t>
      </w:r>
    </w:p>
    <w:p>
      <w:pPr>
        <w:spacing w:before="120" w:line="260" w:lineRule="atLeast"/>
        <w:jc w:val="center"/>
        <w:rPr>
          <w:lang w:val="en-US" w:eastAsia="en-US" w:bidi="ar-SA"/>
        </w:rPr>
      </w:pPr>
      <w:r>
        <w:rPr>
          <w:rFonts w:ascii="arial" w:eastAsia="arial" w:hAnsi="arial" w:cs="arial"/>
          <w:color w:val="000000"/>
          <w:sz w:val="20"/>
          <w:lang w:val="en-US" w:eastAsia="en-US" w:bidi="ar-SA"/>
        </w:rPr>
        <w:t>Dawson Creek Registry No. 11044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534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352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CarswellBC 518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113 A.C.W.S. (3d) 184</w:t>
      </w:r>
    </w:p>
    <w:p>
      <w:pPr>
        <w:spacing w:before="120" w:line="260" w:lineRule="atLeast"/>
        <w:rPr>
          <w:lang w:val="en-US" w:eastAsia="en-US" w:bidi="ar-SA"/>
        </w:rPr>
      </w:pPr>
      <w:r>
        <w:rPr>
          <w:rFonts w:ascii="arial" w:eastAsia="arial" w:hAnsi="arial" w:cs="arial"/>
          <w:color w:val="000000"/>
          <w:sz w:val="20"/>
          <w:lang w:val="en-US" w:eastAsia="en-US" w:bidi="ar-SA"/>
        </w:rPr>
        <w:t>Between Dolly Belinda Meise, plaintiff, and David Whiting,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38" style="position:absolute;z-index:2516828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7" w:name="Keywords_23"/>
      <w:bookmarkEnd w:id="157"/>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Careless acts — Standard of care, particular persons and relationships — Snowmobile operators — Damages — General damages — General damages for personal injury — Prospective loss of wages or earnings (incl. formula) — Pre-trial loss of wages or earnings — Future care and treatment.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8" w:name="Case Summary_22"/>
            <w:bookmarkEnd w:id="15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action by Meise against Whiting for damages for personal injuries sustained as a passenger in a snowmobile accident. Meise had indicated to Whiting that she had never been on a snowmobile before and asked what she should wear. He told her simply to wear a lot of socks. Meise had also asked Whiting to drive slowly. Although he initially drove slowly, he eventually started to drive fast. Meise fell off the snowmobile while they were cornering on a trail. Meise, who was wearing high top running shoes and three pairs of socks, thought that her foot had slipped and caught a stump. She fell face down and the machine passed over her left ankle. Both her tibia and fibula were fractured. Her doctor described her injuries as severely debilitating and the prognosis for full recovery was zero. It was likely that she would end up with an ankle fusion. Further it was likely that she would need shoe modification at least once a year for the rest of her life. It was strongly recommended that she never participate in any occupation with high physical demands. Meise's recovery was plagued with infection and osteoarthritis. Eight years after the accident, she underwent surgery to correct lateral ankle ligament instability. In addition, she had symptoms of possible secondary osteoarthritis in the ankle. She continued to suffer from a lot of pain. Her gait remained affected and she had difficulty walking on stairs. She was unable to run or ride a bike or hike, skate or ski. Meise's physician indicated that she was probably unfit for work until at least five years after the accident. At the time of the accident, Meise had been enroled in college with a view to becoming a social worker. She testified that because of her injuries, she withdrew from school. He time her marks were fairly poor. She indicated that she wished to return to school to become either a secretary or receptionist. Both before and since her accident, Meise had been employed on and off in a series of low-paying jobs. Meise argued that but for the accident, she would have qualified as a social services worker and would have been earning an income in the high $20,000 range. </w:t>
            </w:r>
            <w:r>
              <w:rPr>
                <w:lang w:val="en-US" w:eastAsia="en-US" w:bidi="ar-SA"/>
              </w:rPr>
              <w:cr/>
            </w:r>
          </w:p>
          <w:p>
            <w:pPr>
              <w:spacing w:before="120" w:line="260" w:lineRule="atLeast"/>
              <w:ind w:left="240"/>
              <w:jc w:val="both"/>
              <w:rPr>
                <w:lang w:val="en-US" w:eastAsia="en-US" w:bidi="ar-SA"/>
              </w:rPr>
            </w:pPr>
            <w:bookmarkStart w:id="159" w:name="Holdings of Court_20"/>
            <w:bookmarkEnd w:id="159"/>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Meise was awarded $70,000 general damages. She was awarded $20,000 for past loss of income and another $20,000 for loss of future earning capacity. She was awarded $36,500 for future care needs. Meise had established that Whiting had breached the required standard of care by failing to heed her stated insecurity and driving in such a manner that he was unable to maintain sufficient control of the machine to avoid dislodging his inexperienced passenger and running her over.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attributed to Meise for her choice of footwear. The court did not accept that Meise's injuries caused her to discontinue her course of study. It was likely that she had lost interest. With respect to Meise's past wage loss, she probably lost one full year of employability at any job, and an additional five years where her employability was reduced by an average of 20 per cent per year, which amounted to another year of income. The value of that loss was assessed at $12,000 per year, which then had to be adjusted for contingencies. Meise's loss of future earning capacity was found to be relatively modest considering her past employment history and the degree of likelihood that her ankle disability would play a role in her future employability. </w:t>
            </w:r>
            <w:r>
              <w:rPr>
                <w:lang w:val="en-US" w:eastAsia="en-US" w:bidi="ar-SA"/>
              </w:rPr>
              <w:cr/>
            </w:r>
          </w:p>
          <w:p>
            <w:pPr>
              <w:rPr>
                <w:lang w:val="en-US" w:eastAsia="en-US" w:bidi="ar-SA"/>
              </w:rPr>
            </w:pPr>
          </w:p>
        </w:tc>
      </w:tr>
    </w:tbl>
    <w:p>
      <w:pPr>
        <w:jc w:val="both"/>
        <w:rPr>
          <w:lang w:val="en-US" w:eastAsia="en-US" w:bidi="ar-SA"/>
        </w:rPr>
      </w:pPr>
      <w:bookmarkStart w:id="160" w:name="Counsel_23"/>
      <w:bookmarkEnd w:id="16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9" style="position:absolute;z-index:2517340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Oliver Hui, for the plaintiff. No one appeared for the defendant.</w:t>
      </w:r>
      <w:r>
        <w:rPr>
          <w:lang w:val="en-US" w:eastAsia="en-US" w:bidi="ar-SA"/>
        </w:rPr>
        <w:cr/>
      </w:r>
    </w:p>
    <w:p>
      <w:pPr>
        <w:spacing w:after="240"/>
        <w:rPr>
          <w:lang w:val="en-US" w:eastAsia="en-US" w:bidi="ar-SA"/>
        </w:rPr>
      </w:pPr>
      <w:bookmarkStart w:id="161" w:name="Judgment_23"/>
      <w:bookmarkEnd w:id="161"/>
      <w:r>
        <w:pict>
          <v:line id="_x0000_s1140" style="position:absolute;z-index:25178521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2" w:name="MEIKLEM J."/>
            <w:bookmarkEnd w:id="162"/>
            <w:r>
              <w:rPr>
                <w:rFonts w:ascii="arial" w:eastAsia="arial" w:hAnsi="arial" w:cs="arial"/>
                <w:b/>
                <w:color w:val="000000"/>
                <w:sz w:val="30"/>
                <w:lang w:val="en-US" w:eastAsia="en-US" w:bidi="ar-SA"/>
              </w:rPr>
              <w:t>MEIKLEM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whom I will refer to by her married name, Ms. Bunker, was injured in a snowmobile accident near Fort St John on December 5th, 1993, at age 22. She was a passenger on a snowmobile being driven by Mr. Whiting, her boyfriend at the time, and she fell from the machine while they were cornering on a trail. She fell face down and the machine passed over her left ankle, fracturing both the tibia and the fibula.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and quantum of damages were both disputed. Mr. Whiting was represented by counsel at least to the date of his examination for discovery in July 1996, but he did not appear at trial, notwithstanding that the trial date was made peremptory upon him on the occasion of a previous adjournment.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Bunker testified that this Sunday afternoon snowmobile trail ride was her first ever. She made Mr. Whiting aware of this and asked him to drive slowly. He drove slowly at first but then started to drive faster. She complained about his speed, but he called her a "wuss". The accident occurred as they were returning to their vehicle after approximately one-and-one-half to two hours of riding and visiting with a friend who had accompanied them on a wheeled all-terrain vehicle. She said that the snowmobile was bouncing and her foot slipped off the footrest and she returned it, but then her foot seemed to catch something and went under the snowmobile track, and she was thrown off the machine, which passed over her lower leg. She believes her foot may have hit a stump or other object. She had been holding onto a strap on the seat pursuant to Mr. Whiting's instructions, and he was driving with one knee on the seat and one foot upon the running board. A portion of the defendant's examination for discovery evidence, which was read in, indicated that the machine started to slide on snow covered ice and Mr. Whiting's energies were focused on controlling the slide. It was only after correcting the slide that he noticed there was something the matter with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Bunker was wearing high-topped running shoes with three pairs of socks for warmth. This was probably unsuitable footwear for snowmobiling in that running shoes would provide inadequate traction on the running boards. In response to questions from the court, Ms. Bunker testified that she had better boots in boxes somewhere, but she had asked Mr. Whiting about footwear and he said only, "make sure you have lots of socks".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Hui cited three cases dealing with the liability of snowmobile drivers to their passengers.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Ainge v. Siemon, </w:t>
      </w:r>
      <w:hyperlink r:id="rId363" w:history="1">
        <w:r>
          <w:rPr>
            <w:rFonts w:ascii="arial" w:eastAsia="arial" w:hAnsi="arial" w:cs="arial"/>
            <w:i/>
            <w:color w:val="0077CC"/>
            <w:sz w:val="20"/>
            <w:u w:val="single"/>
            <w:shd w:val="clear" w:color="auto" w:fill="FFFFFF"/>
            <w:lang w:val="en-US" w:eastAsia="en-US" w:bidi="ar-SA"/>
          </w:rPr>
          <w:t>[1971] 3 O.R. 119</w:t>
        </w:r>
      </w:hyperlink>
      <w:r>
        <w:rPr>
          <w:rFonts w:ascii="arial" w:eastAsia="arial" w:hAnsi="arial" w:cs="arial"/>
          <w:color w:val="000000"/>
          <w:sz w:val="20"/>
          <w:lang w:val="en-US" w:eastAsia="en-US" w:bidi="ar-SA"/>
        </w:rPr>
        <w:t>, the plaintiff was a first-time rider who fell off a snowmobile and was struck by another snowmobile that was following too closely. The plaintiff had felt insecure and apprehensive because of the bumpiness of the road and the speed they were travelling, and fearing the machine he was riding on was going to tip he had let go of the handle grips to prepare for the fall and lost his balance. The driver of the second machine was held to be negligent for following too closely, but in dismissing the action against the first driver, the court said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Siemon testified at trial to the effect that, and I believe that it is common knowledge, people frequently fall off snowmobiles. It is part of the very nature of the sport. The very hazard of falling off into the snow and the sensation of risk is part of the thrills that add to the attractiveness and popularity of the sport. There is, therefore, no doubt in my mind that a person in the position of the plaintiff, when volunteering to ride as a passenger on a snowmobile, voluntarily assumes the risk of falling off. He is, of course, entitled to expect that his driver will not be negligent in the sense that he will act within the standard of care to be expected from a reasonably prudent driver engaging in that particular sport. I indicated immediately after the close of evidence at trial that I could find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whatsoever on the part of the defendant Siemon and I did not call upon his counsel to present argument. In my view, it is quite clear that that particular defendant knew nothing of the danger to his passenger and there is absolutely nothing on the record to indicate that he should have known that his passenger was in any particular danger or any particular apprehension of falling off. He always had his machine under control and there is nothing to indicate that he failed to act as a reasonable driver should who is engaging in that sport. The action as against the defendant Siemon must, therefore, be dismissed with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Hewett v. Higgins, </w:t>
      </w:r>
      <w:hyperlink r:id="rId364" w:history="1">
        <w:r>
          <w:rPr>
            <w:rFonts w:ascii="arial" w:eastAsia="arial" w:hAnsi="arial" w:cs="arial"/>
            <w:i/>
            <w:color w:val="0077CC"/>
            <w:sz w:val="20"/>
            <w:u w:val="single"/>
            <w:shd w:val="clear" w:color="auto" w:fill="FFFFFF"/>
            <w:lang w:val="en-US" w:eastAsia="en-US" w:bidi="ar-SA"/>
          </w:rPr>
          <w:t>[1993] O.J. No. 2870</w:t>
        </w:r>
      </w:hyperlink>
      <w:r>
        <w:rPr>
          <w:rFonts w:ascii="arial" w:eastAsia="arial" w:hAnsi="arial" w:cs="arial"/>
          <w:color w:val="000000"/>
          <w:sz w:val="20"/>
          <w:lang w:val="en-US" w:eastAsia="en-US" w:bidi="ar-SA"/>
        </w:rPr>
        <w:t xml:space="preserve"> both passenger and driver were thrown from a snowmobile driven at 35 mph across a pressure crack on a lake which the driver had seen from the short distance but had not reduced his speed. The female passenger was experienced with snowmobiles and was held to be 30% liable for failing to communicate her knowledge of pressure cracks and her concern to the defendant. The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consisted of failing to keep the proper lookout and travelling at an excessive speed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Ryan v. Hickson </w:t>
      </w:r>
      <w:hyperlink r:id="rId365" w:history="1">
        <w:r>
          <w:rPr>
            <w:rFonts w:ascii="arial" w:eastAsia="arial" w:hAnsi="arial" w:cs="arial"/>
            <w:i/>
            <w:color w:val="0077CC"/>
            <w:sz w:val="20"/>
            <w:u w:val="single"/>
            <w:shd w:val="clear" w:color="auto" w:fill="FFFFFF"/>
            <w:lang w:val="en-US" w:eastAsia="en-US" w:bidi="ar-SA"/>
          </w:rPr>
          <w:t>(1974), 7 O.R. (2d) 352</w:t>
        </w:r>
      </w:hyperlink>
      <w:r>
        <w:rPr>
          <w:rFonts w:ascii="arial" w:eastAsia="arial" w:hAnsi="arial" w:cs="arial"/>
          <w:color w:val="000000"/>
          <w:sz w:val="20"/>
          <w:lang w:val="en-US" w:eastAsia="en-US" w:bidi="ar-SA"/>
        </w:rPr>
        <w:t xml:space="preserve"> a 9-year-old plaintiff passenger was thrown from a snowmobile being operated by a 12-year-old that struck a snowdrift and then struck by another snowmobile driven by a third youth. The plaintiff and both drivers were each held 33.3% at fault. The 12-year-old's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consisted of driving too fast in the circumstances, which included the relative youth and lesser strength of his passenger and the closeness of the following snowmobile. The other driver was negligent in following too closely, and the passenger was negligent in turning to wave at the following snowmobile and failing to keep the firm hold on the driver at all times. (The snowmobile lacked passenger handgrips.)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the case at bar, I do not attribute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plaintiff for her choice of footwear. She communicated her lack of experience to Mr. Whiting and sought his advice. The inadequacy of her footwear was one of the circumstances known to Mr. Whiting and he should have taken it into account in his manner of driving. No one is suggesting that Mr. Whiting was driving recklessly but I am satisfied that the plaintiff has established that the defendant breached the required standard of care by failing to heed her stated insecurity and driving in such a manner that he was unable to maintain sufficient control of the machine to avoid dislodging his inexperienced passenger and running over her.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Nature of the injuries and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initial injuries and treatment are described as follows by the attending surgeon, Dr. Bruce, in his medical legal report dated June 5th, 1996: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Dolly MEISE, date of birth 4 January 1971, was seen on the 5 December 1993 following a snowmobile accident. She stated that a snowmobile had run over her left leg and clinically she had swelling and tenderness of the left ankle area. An x-ray showed an oblique fracture through the distal tibia and a fracture of the lateral malleolus. She had no other injuries. She was treated in a posterior slab and on the 7 December underwent open reduction and internal fixation and application of a plaster of paris cast. Recheck x-ray was taken and showed a satisfactory reduction. The ankle mortis having been reconstituted into anatomic configuration. Her post operative course was uncomplicated and she was allowed to be ambulant with crutches after five days. On the sixth hospital day the regional cast was changed and a walking plaster applied. She was seen in Emergency one week later, at which time the cast was changed, the sutures were removed and another below knee walking cast applied. She was ambulant with crutches.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Bunker returned to Dr. Bruce on December 30th, 1993 complaining of pain and then in early January 1994 she was hospitalized for eleven days with symptoms of tenderness heat and swelling which were treated as possible osteomyelitis.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significant elements of her treatment from that time are set out succinctly in a history provided by Dr. J. K. Browne, Orthopaedic Consultant, in his August 7th, 2001 report: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28th of January, 1994:</w:t>
      </w:r>
    </w:p>
    <w:p>
      <w:pPr>
        <w:spacing w:before="120" w:line="260" w:lineRule="atLeast"/>
        <w:ind w:left="720"/>
        <w:rPr>
          <w:lang w:val="en-US" w:eastAsia="en-US" w:bidi="ar-SA"/>
        </w:rPr>
      </w:pPr>
      <w:r>
        <w:rPr>
          <w:rFonts w:ascii="arial" w:eastAsia="arial" w:hAnsi="arial" w:cs="arial"/>
          <w:color w:val="000000"/>
          <w:sz w:val="20"/>
          <w:lang w:val="en-US" w:eastAsia="en-US" w:bidi="ar-SA"/>
        </w:rPr>
        <w:t>She was seen by myself in the emergency department at the Dawson Creek &amp; District hospital. At that time the cast was removed and x-rays were taken of the ankle. Arrangements were made for her to have physiotherapy at the hospital in Fort St. John.</w:t>
      </w:r>
    </w:p>
    <w:p>
      <w:pPr>
        <w:spacing w:before="120" w:line="260" w:lineRule="atLeast"/>
        <w:ind w:left="720"/>
        <w:rPr>
          <w:lang w:val="en-US" w:eastAsia="en-US" w:bidi="ar-SA"/>
        </w:rPr>
      </w:pPr>
      <w:r>
        <w:rPr>
          <w:rFonts w:ascii="arial" w:eastAsia="arial" w:hAnsi="arial" w:cs="arial"/>
          <w:color w:val="000000"/>
          <w:sz w:val="20"/>
          <w:lang w:val="en-US" w:eastAsia="en-US" w:bidi="ar-SA"/>
        </w:rPr>
        <w:t>4th of February, 1994:</w:t>
      </w:r>
    </w:p>
    <w:p>
      <w:pPr>
        <w:spacing w:before="120" w:line="260" w:lineRule="atLeast"/>
        <w:ind w:left="720"/>
        <w:rPr>
          <w:lang w:val="en-US" w:eastAsia="en-US" w:bidi="ar-SA"/>
        </w:rPr>
      </w:pPr>
      <w:r>
        <w:rPr>
          <w:rFonts w:ascii="arial" w:eastAsia="arial" w:hAnsi="arial" w:cs="arial"/>
          <w:color w:val="000000"/>
          <w:sz w:val="20"/>
          <w:lang w:val="en-US" w:eastAsia="en-US" w:bidi="ar-SA"/>
        </w:rPr>
        <w:t>The patient was again reviewed by myself. She was having severe pain in the distal third of the left leg, foot and ankle area. The symptoms had come on the day before. She was also feeling unwell and nauseated. I suggested to her family doctor that she be treated as if she had infection in the distal part of the leg.</w:t>
      </w:r>
    </w:p>
    <w:p>
      <w:pPr>
        <w:spacing w:before="120" w:line="260" w:lineRule="atLeast"/>
        <w:ind w:left="720"/>
        <w:rPr>
          <w:lang w:val="en-US" w:eastAsia="en-US" w:bidi="ar-SA"/>
        </w:rPr>
      </w:pPr>
      <w:r>
        <w:rPr>
          <w:rFonts w:ascii="arial" w:eastAsia="arial" w:hAnsi="arial" w:cs="arial"/>
          <w:color w:val="000000"/>
          <w:sz w:val="20"/>
          <w:lang w:val="en-US" w:eastAsia="en-US" w:bidi="ar-SA"/>
        </w:rPr>
        <w:t>15th of February, 1994:</w:t>
      </w:r>
    </w:p>
    <w:p>
      <w:pPr>
        <w:spacing w:before="120" w:line="260" w:lineRule="atLeast"/>
        <w:ind w:left="720"/>
        <w:rPr>
          <w:lang w:val="en-US" w:eastAsia="en-US" w:bidi="ar-SA"/>
        </w:rPr>
      </w:pPr>
      <w:r>
        <w:rPr>
          <w:rFonts w:ascii="arial" w:eastAsia="arial" w:hAnsi="arial" w:cs="arial"/>
          <w:color w:val="000000"/>
          <w:sz w:val="20"/>
          <w:lang w:val="en-US" w:eastAsia="en-US" w:bidi="ar-SA"/>
        </w:rPr>
        <w:t>The patient was again reviewed by myself. The patient was admitted to the Dawson Creek &amp; District hospital for rest, elevation and intravenous antibiotics and physiotherapy.</w:t>
      </w:r>
    </w:p>
    <w:p>
      <w:pPr>
        <w:spacing w:before="120" w:line="260" w:lineRule="atLeast"/>
        <w:ind w:left="720"/>
        <w:rPr>
          <w:lang w:val="en-US" w:eastAsia="en-US" w:bidi="ar-SA"/>
        </w:rPr>
      </w:pPr>
      <w:r>
        <w:rPr>
          <w:rFonts w:ascii="arial" w:eastAsia="arial" w:hAnsi="arial" w:cs="arial"/>
          <w:color w:val="000000"/>
          <w:sz w:val="20"/>
          <w:lang w:val="en-US" w:eastAsia="en-US" w:bidi="ar-SA"/>
        </w:rPr>
        <w:t>22nd of February, 1994:</w:t>
      </w:r>
    </w:p>
    <w:p>
      <w:pPr>
        <w:spacing w:before="120" w:line="260" w:lineRule="atLeast"/>
        <w:ind w:left="720"/>
        <w:rPr>
          <w:lang w:val="en-US" w:eastAsia="en-US" w:bidi="ar-SA"/>
        </w:rPr>
      </w:pPr>
      <w:r>
        <w:rPr>
          <w:rFonts w:ascii="arial" w:eastAsia="arial" w:hAnsi="arial" w:cs="arial"/>
          <w:color w:val="000000"/>
          <w:sz w:val="20"/>
          <w:lang w:val="en-US" w:eastAsia="en-US" w:bidi="ar-SA"/>
        </w:rPr>
        <w:t>The patient was taken to the operating room and under general anesthesia the left ankle was examined, x-rays were taken and the tension band wire and K-wires were removed from the distal fibula on the left side.</w:t>
      </w:r>
    </w:p>
    <w:p>
      <w:pPr>
        <w:spacing w:before="120" w:line="260" w:lineRule="atLeast"/>
        <w:ind w:left="720"/>
        <w:rPr>
          <w:lang w:val="en-US" w:eastAsia="en-US" w:bidi="ar-SA"/>
        </w:rPr>
      </w:pPr>
      <w:r>
        <w:rPr>
          <w:rFonts w:ascii="arial" w:eastAsia="arial" w:hAnsi="arial" w:cs="arial"/>
          <w:color w:val="000000"/>
          <w:sz w:val="20"/>
          <w:lang w:val="en-US" w:eastAsia="en-US" w:bidi="ar-SA"/>
        </w:rPr>
        <w:t>26th of February, 1994:</w:t>
      </w:r>
    </w:p>
    <w:p>
      <w:pPr>
        <w:spacing w:before="120" w:line="260" w:lineRule="atLeast"/>
        <w:ind w:left="720"/>
        <w:rPr>
          <w:lang w:val="en-US" w:eastAsia="en-US" w:bidi="ar-SA"/>
        </w:rPr>
      </w:pPr>
      <w:r>
        <w:rPr>
          <w:rFonts w:ascii="arial" w:eastAsia="arial" w:hAnsi="arial" w:cs="arial"/>
          <w:color w:val="000000"/>
          <w:sz w:val="20"/>
          <w:lang w:val="en-US" w:eastAsia="en-US" w:bidi="ar-SA"/>
        </w:rPr>
        <w:t>The patient was discharged from hospital and was to return to emergency three times a day for intravenous antibiotics.</w:t>
      </w:r>
    </w:p>
    <w:p>
      <w:pPr>
        <w:spacing w:before="120" w:line="260" w:lineRule="atLeast"/>
        <w:ind w:left="720"/>
        <w:rPr>
          <w:lang w:val="en-US" w:eastAsia="en-US" w:bidi="ar-SA"/>
        </w:rPr>
      </w:pPr>
      <w:r>
        <w:rPr>
          <w:rFonts w:ascii="arial" w:eastAsia="arial" w:hAnsi="arial" w:cs="arial"/>
          <w:color w:val="000000"/>
          <w:sz w:val="20"/>
          <w:lang w:val="en-US" w:eastAsia="en-US" w:bidi="ar-SA"/>
        </w:rPr>
        <w:t>27th of September, 1994:</w:t>
      </w:r>
    </w:p>
    <w:p>
      <w:pPr>
        <w:spacing w:before="120" w:line="260" w:lineRule="atLeast"/>
        <w:ind w:left="720"/>
        <w:rPr>
          <w:lang w:val="en-US" w:eastAsia="en-US" w:bidi="ar-SA"/>
        </w:rPr>
      </w:pPr>
      <w:r>
        <w:rPr>
          <w:rFonts w:ascii="arial" w:eastAsia="arial" w:hAnsi="arial" w:cs="arial"/>
          <w:color w:val="000000"/>
          <w:sz w:val="20"/>
          <w:lang w:val="en-US" w:eastAsia="en-US" w:bidi="ar-SA"/>
        </w:rPr>
        <w:t>The patient was again seen by myself. She was still complaining of pain in the left ankle region felt mostly on the medial aspect.</w:t>
      </w:r>
    </w:p>
    <w:p>
      <w:pPr>
        <w:spacing w:before="120" w:line="260" w:lineRule="atLeast"/>
        <w:ind w:left="720"/>
        <w:rPr>
          <w:lang w:val="en-US" w:eastAsia="en-US" w:bidi="ar-SA"/>
        </w:rPr>
      </w:pPr>
      <w:r>
        <w:rPr>
          <w:rFonts w:ascii="arial" w:eastAsia="arial" w:hAnsi="arial" w:cs="arial"/>
          <w:color w:val="000000"/>
          <w:sz w:val="20"/>
          <w:lang w:val="en-US" w:eastAsia="en-US" w:bidi="ar-SA"/>
        </w:rPr>
        <w:t>Arrangements were made to admit her to hospital for removal of the plate and screws from the left distal tibia.</w:t>
      </w:r>
    </w:p>
    <w:p>
      <w:pPr>
        <w:spacing w:before="120" w:line="260" w:lineRule="atLeast"/>
        <w:ind w:left="720"/>
        <w:rPr>
          <w:lang w:val="en-US" w:eastAsia="en-US" w:bidi="ar-SA"/>
        </w:rPr>
      </w:pPr>
      <w:r>
        <w:rPr>
          <w:rFonts w:ascii="arial" w:eastAsia="arial" w:hAnsi="arial" w:cs="arial"/>
          <w:color w:val="000000"/>
          <w:sz w:val="20"/>
          <w:lang w:val="en-US" w:eastAsia="en-US" w:bidi="ar-SA"/>
        </w:rPr>
        <w:t>4th of October, 1994:</w:t>
      </w:r>
    </w:p>
    <w:p>
      <w:pPr>
        <w:spacing w:before="120" w:line="260" w:lineRule="atLeast"/>
        <w:ind w:left="720"/>
        <w:rPr>
          <w:lang w:val="en-US" w:eastAsia="en-US" w:bidi="ar-SA"/>
        </w:rPr>
      </w:pPr>
      <w:r>
        <w:rPr>
          <w:rFonts w:ascii="arial" w:eastAsia="arial" w:hAnsi="arial" w:cs="arial"/>
          <w:color w:val="000000"/>
          <w:sz w:val="20"/>
          <w:lang w:val="en-US" w:eastAsia="en-US" w:bidi="ar-SA"/>
        </w:rPr>
        <w:t>The patient was re-admitted to hospital.</w:t>
      </w:r>
    </w:p>
    <w:p>
      <w:pPr>
        <w:spacing w:before="120" w:line="260" w:lineRule="atLeast"/>
        <w:ind w:left="720"/>
        <w:rPr>
          <w:lang w:val="en-US" w:eastAsia="en-US" w:bidi="ar-SA"/>
        </w:rPr>
      </w:pPr>
      <w:r>
        <w:rPr>
          <w:rFonts w:ascii="arial" w:eastAsia="arial" w:hAnsi="arial" w:cs="arial"/>
          <w:color w:val="000000"/>
          <w:sz w:val="20"/>
          <w:lang w:val="en-US" w:eastAsia="en-US" w:bidi="ar-SA"/>
        </w:rPr>
        <w:t>5th of October, 1994:</w:t>
      </w:r>
    </w:p>
    <w:p>
      <w:pPr>
        <w:spacing w:before="120" w:line="260" w:lineRule="atLeast"/>
        <w:ind w:left="720"/>
        <w:rPr>
          <w:lang w:val="en-US" w:eastAsia="en-US" w:bidi="ar-SA"/>
        </w:rPr>
      </w:pPr>
      <w:r>
        <w:rPr>
          <w:rFonts w:ascii="arial" w:eastAsia="arial" w:hAnsi="arial" w:cs="arial"/>
          <w:color w:val="000000"/>
          <w:sz w:val="20"/>
          <w:lang w:val="en-US" w:eastAsia="en-US" w:bidi="ar-SA"/>
        </w:rPr>
        <w:t>Under general anesthesia the plate and screws were removed from the left distal tibia</w:t>
      </w:r>
    </w:p>
    <w:p>
      <w:pPr>
        <w:spacing w:before="120" w:line="260" w:lineRule="atLeast"/>
        <w:ind w:left="720"/>
        <w:rPr>
          <w:lang w:val="en-US" w:eastAsia="en-US" w:bidi="ar-SA"/>
        </w:rPr>
      </w:pPr>
      <w:r>
        <w:rPr>
          <w:rFonts w:ascii="arial" w:eastAsia="arial" w:hAnsi="arial" w:cs="arial"/>
          <w:color w:val="000000"/>
          <w:sz w:val="20"/>
          <w:lang w:val="en-US" w:eastAsia="en-US" w:bidi="ar-SA"/>
        </w:rPr>
        <w:t>9th of October, 1994:</w:t>
      </w:r>
    </w:p>
    <w:p>
      <w:pPr>
        <w:spacing w:before="120" w:line="260" w:lineRule="atLeast"/>
        <w:ind w:left="720"/>
        <w:rPr>
          <w:lang w:val="en-US" w:eastAsia="en-US" w:bidi="ar-SA"/>
        </w:rPr>
      </w:pPr>
      <w:r>
        <w:rPr>
          <w:rFonts w:ascii="arial" w:eastAsia="arial" w:hAnsi="arial" w:cs="arial"/>
          <w:color w:val="000000"/>
          <w:sz w:val="20"/>
          <w:lang w:val="en-US" w:eastAsia="en-US" w:bidi="ar-SA"/>
        </w:rPr>
        <w:t>The patient was discharged from hospital and was to return to the office in four days for removal of sutures.</w:t>
      </w:r>
    </w:p>
    <w:p>
      <w:pPr>
        <w:spacing w:before="120" w:line="260" w:lineRule="atLeast"/>
        <w:ind w:left="720"/>
        <w:rPr>
          <w:lang w:val="en-US" w:eastAsia="en-US" w:bidi="ar-SA"/>
        </w:rPr>
      </w:pPr>
      <w:r>
        <w:rPr>
          <w:rFonts w:ascii="arial" w:eastAsia="arial" w:hAnsi="arial" w:cs="arial"/>
          <w:color w:val="000000"/>
          <w:sz w:val="20"/>
          <w:lang w:val="en-US" w:eastAsia="en-US" w:bidi="ar-SA"/>
        </w:rPr>
        <w:t>14th of October, 1994:</w:t>
      </w:r>
    </w:p>
    <w:p>
      <w:pPr>
        <w:spacing w:before="120" w:line="260" w:lineRule="atLeast"/>
        <w:ind w:left="720"/>
        <w:rPr>
          <w:lang w:val="en-US" w:eastAsia="en-US" w:bidi="ar-SA"/>
        </w:rPr>
      </w:pPr>
      <w:r>
        <w:rPr>
          <w:rFonts w:ascii="arial" w:eastAsia="arial" w:hAnsi="arial" w:cs="arial"/>
          <w:color w:val="000000"/>
          <w:sz w:val="20"/>
          <w:lang w:val="en-US" w:eastAsia="en-US" w:bidi="ar-SA"/>
        </w:rPr>
        <w:t>Sutures were removed and the wound found to be clean.</w:t>
      </w:r>
    </w:p>
    <w:p>
      <w:pPr>
        <w:spacing w:before="120" w:line="260" w:lineRule="atLeast"/>
        <w:ind w:left="720"/>
        <w:rPr>
          <w:lang w:val="en-US" w:eastAsia="en-US" w:bidi="ar-SA"/>
        </w:rPr>
      </w:pPr>
      <w:r>
        <w:rPr>
          <w:rFonts w:ascii="arial" w:eastAsia="arial" w:hAnsi="arial" w:cs="arial"/>
          <w:color w:val="000000"/>
          <w:sz w:val="20"/>
          <w:lang w:val="en-US" w:eastAsia="en-US" w:bidi="ar-SA"/>
        </w:rPr>
        <w:t>18th of October, 1994:</w:t>
      </w:r>
    </w:p>
    <w:p>
      <w:pPr>
        <w:spacing w:before="120" w:line="260" w:lineRule="atLeast"/>
        <w:ind w:left="720"/>
        <w:rPr>
          <w:lang w:val="en-US" w:eastAsia="en-US" w:bidi="ar-SA"/>
        </w:rPr>
      </w:pPr>
      <w:r>
        <w:rPr>
          <w:rFonts w:ascii="arial" w:eastAsia="arial" w:hAnsi="arial" w:cs="arial"/>
          <w:color w:val="000000"/>
          <w:sz w:val="20"/>
          <w:lang w:val="en-US" w:eastAsia="en-US" w:bidi="ar-SA"/>
        </w:rPr>
        <w:t>The patient appeared to be making satisfactory progress and arrangements were made to see her again in four weeks.</w:t>
      </w:r>
    </w:p>
    <w:p>
      <w:pPr>
        <w:spacing w:before="120" w:line="260" w:lineRule="atLeast"/>
        <w:ind w:left="720"/>
        <w:rPr>
          <w:lang w:val="en-US" w:eastAsia="en-US" w:bidi="ar-SA"/>
        </w:rPr>
      </w:pPr>
      <w:r>
        <w:rPr>
          <w:rFonts w:ascii="arial" w:eastAsia="arial" w:hAnsi="arial" w:cs="arial"/>
          <w:color w:val="000000"/>
          <w:sz w:val="20"/>
          <w:lang w:val="en-US" w:eastAsia="en-US" w:bidi="ar-SA"/>
        </w:rPr>
        <w:t>29th of November, 1994:</w:t>
      </w:r>
    </w:p>
    <w:p>
      <w:pPr>
        <w:spacing w:before="120" w:line="260" w:lineRule="atLeast"/>
        <w:ind w:left="720"/>
        <w:rPr>
          <w:lang w:val="en-US" w:eastAsia="en-US" w:bidi="ar-SA"/>
        </w:rPr>
      </w:pPr>
      <w:r>
        <w:rPr>
          <w:rFonts w:ascii="arial" w:eastAsia="arial" w:hAnsi="arial" w:cs="arial"/>
          <w:color w:val="000000"/>
          <w:sz w:val="20"/>
          <w:lang w:val="en-US" w:eastAsia="en-US" w:bidi="ar-SA"/>
        </w:rPr>
        <w:t>The patient was complaining of pain in the ankle, quite severe at times. She had a reasonable range of motion in the ankle at that time.</w:t>
      </w:r>
    </w:p>
    <w:p>
      <w:pPr>
        <w:spacing w:before="120" w:line="260" w:lineRule="atLeast"/>
        <w:ind w:left="720"/>
        <w:rPr>
          <w:lang w:val="en-US" w:eastAsia="en-US" w:bidi="ar-SA"/>
        </w:rPr>
      </w:pPr>
      <w:r>
        <w:rPr>
          <w:rFonts w:ascii="arial" w:eastAsia="arial" w:hAnsi="arial" w:cs="arial"/>
          <w:color w:val="000000"/>
          <w:sz w:val="20"/>
          <w:lang w:val="en-US" w:eastAsia="en-US" w:bidi="ar-SA"/>
        </w:rPr>
        <w:t>I have no further record of seeing her until the 2nd of December, 1997 and at that time I gave her a note that stated that she was unfit for any type of work that would involve her being on her feet for any length of time.</w:t>
      </w:r>
    </w:p>
    <w:p>
      <w:pPr>
        <w:spacing w:before="120" w:line="260" w:lineRule="atLeast"/>
        <w:ind w:left="720"/>
        <w:rPr>
          <w:lang w:val="en-US" w:eastAsia="en-US" w:bidi="ar-SA"/>
        </w:rPr>
      </w:pPr>
      <w:r>
        <w:rPr>
          <w:rFonts w:ascii="arial" w:eastAsia="arial" w:hAnsi="arial" w:cs="arial"/>
          <w:color w:val="000000"/>
          <w:sz w:val="20"/>
          <w:lang w:val="en-US" w:eastAsia="en-US" w:bidi="ar-SA"/>
        </w:rPr>
        <w:t>6th of January, 1998:</w:t>
      </w:r>
    </w:p>
    <w:p>
      <w:pPr>
        <w:spacing w:before="120" w:line="260" w:lineRule="atLeast"/>
        <w:ind w:left="720"/>
        <w:rPr>
          <w:lang w:val="en-US" w:eastAsia="en-US" w:bidi="ar-SA"/>
        </w:rPr>
      </w:pPr>
      <w:r>
        <w:rPr>
          <w:rFonts w:ascii="arial" w:eastAsia="arial" w:hAnsi="arial" w:cs="arial"/>
          <w:color w:val="000000"/>
          <w:sz w:val="20"/>
          <w:lang w:val="en-US" w:eastAsia="en-US" w:bidi="ar-SA"/>
        </w:rPr>
        <w:t>She was seen at the office at the request of her family physician, Dr. M. Pilgrim. At that time I thought it would be worth trying her on physiotherapy and that she might get some benefit from wearing a brace.</w:t>
      </w:r>
    </w:p>
    <w:p>
      <w:pPr>
        <w:spacing w:before="120" w:line="260" w:lineRule="atLeast"/>
        <w:ind w:left="720"/>
        <w:rPr>
          <w:lang w:val="en-US" w:eastAsia="en-US" w:bidi="ar-SA"/>
        </w:rPr>
      </w:pPr>
      <w:r>
        <w:rPr>
          <w:rFonts w:ascii="arial" w:eastAsia="arial" w:hAnsi="arial" w:cs="arial"/>
          <w:color w:val="000000"/>
          <w:sz w:val="20"/>
          <w:lang w:val="en-US" w:eastAsia="en-US" w:bidi="ar-SA"/>
        </w:rPr>
        <w:t>17th of March, 1998:</w:t>
      </w:r>
    </w:p>
    <w:p>
      <w:pPr>
        <w:spacing w:before="120" w:line="260" w:lineRule="atLeast"/>
        <w:ind w:left="720"/>
        <w:rPr>
          <w:lang w:val="en-US" w:eastAsia="en-US" w:bidi="ar-SA"/>
        </w:rPr>
      </w:pPr>
      <w:r>
        <w:rPr>
          <w:rFonts w:ascii="arial" w:eastAsia="arial" w:hAnsi="arial" w:cs="arial"/>
          <w:color w:val="000000"/>
          <w:sz w:val="20"/>
          <w:lang w:val="en-US" w:eastAsia="en-US" w:bidi="ar-SA"/>
        </w:rPr>
        <w:t>The patient was no better with physiotherapy and the wearing of a brace and on that date I wrote to Dr. Ackermann at the hospital in Dawson Creek asking him to see her in consultation.</w:t>
      </w:r>
    </w:p>
    <w:p>
      <w:pPr>
        <w:spacing w:before="120" w:line="260" w:lineRule="atLeast"/>
        <w:ind w:left="720"/>
        <w:rPr>
          <w:lang w:val="en-US" w:eastAsia="en-US" w:bidi="ar-SA"/>
        </w:rPr>
      </w:pPr>
      <w:r>
        <w:rPr>
          <w:rFonts w:ascii="arial" w:eastAsia="arial" w:hAnsi="arial" w:cs="arial"/>
          <w:color w:val="000000"/>
          <w:sz w:val="20"/>
          <w:lang w:val="en-US" w:eastAsia="en-US" w:bidi="ar-SA"/>
        </w:rPr>
        <w:t>9th of June, 1998:</w:t>
      </w:r>
    </w:p>
    <w:p>
      <w:pPr>
        <w:spacing w:before="120" w:line="260" w:lineRule="atLeast"/>
        <w:ind w:left="720"/>
        <w:rPr>
          <w:lang w:val="en-US" w:eastAsia="en-US" w:bidi="ar-SA"/>
        </w:rPr>
      </w:pPr>
      <w:r>
        <w:rPr>
          <w:rFonts w:ascii="arial" w:eastAsia="arial" w:hAnsi="arial" w:cs="arial"/>
          <w:color w:val="000000"/>
          <w:sz w:val="20"/>
          <w:lang w:val="en-US" w:eastAsia="en-US" w:bidi="ar-SA"/>
        </w:rPr>
        <w:t>The patient was seen by Dr. Ackermann at the Dawson Creek &amp; District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appears that Dr. Ackermann requested that Ms. Bunker be seen in consultation by Dr. Coetzee. That consultation happened on July 16th, 1998. Dr. Coetzee's report dated January 25th, 1999 sets forth the following prognosis and summary: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lang w:val="en-US" w:eastAsia="en-US" w:bidi="ar-SA"/>
        </w:rPr>
      </w:pPr>
      <w:r>
        <w:rPr>
          <w:rFonts w:ascii="arial" w:eastAsia="arial" w:hAnsi="arial" w:cs="arial"/>
          <w:color w:val="000000"/>
          <w:sz w:val="20"/>
          <w:lang w:val="en-US" w:eastAsia="en-US" w:bidi="ar-SA"/>
        </w:rPr>
        <w:t>Mrs. Meise presents with a complicated problem. She presents with a mal united distal tibia and fibula fracture with significant secondary osteoarthritic changes. The problem is compounded by the fact that she is only 28 years old.</w:t>
      </w:r>
    </w:p>
    <w:p>
      <w:pPr>
        <w:spacing w:before="120" w:line="260" w:lineRule="atLeast"/>
        <w:ind w:left="720"/>
        <w:rPr>
          <w:lang w:val="en-US" w:eastAsia="en-US" w:bidi="ar-SA"/>
        </w:rPr>
      </w:pPr>
      <w:r>
        <w:rPr>
          <w:rFonts w:ascii="arial" w:eastAsia="arial" w:hAnsi="arial" w:cs="arial"/>
          <w:color w:val="000000"/>
          <w:sz w:val="20"/>
          <w:lang w:val="en-US" w:eastAsia="en-US" w:bidi="ar-SA"/>
        </w:rPr>
        <w:t>Looking at her current condition and the x-ray picture, she is without a doubt on the way to severe osteoarthritic changes of the ankle.</w:t>
      </w:r>
    </w:p>
    <w:p>
      <w:pPr>
        <w:spacing w:before="120" w:line="260" w:lineRule="atLeast"/>
        <w:ind w:left="720"/>
        <w:rPr>
          <w:lang w:val="en-US" w:eastAsia="en-US" w:bidi="ar-SA"/>
        </w:rPr>
      </w:pPr>
      <w:r>
        <w:rPr>
          <w:rFonts w:ascii="arial" w:eastAsia="arial" w:hAnsi="arial" w:cs="arial"/>
          <w:color w:val="000000"/>
          <w:sz w:val="20"/>
          <w:lang w:val="en-US" w:eastAsia="en-US" w:bidi="ar-SA"/>
        </w:rPr>
        <w:t>The initial plan is to try and minimize her pain and post pone any major surgical intervention as long as possible. That is the reasoning for the ISO brace that will hopefully alleviate her pain to some degree.</w:t>
      </w:r>
    </w:p>
    <w:p>
      <w:pPr>
        <w:spacing w:before="120" w:line="260" w:lineRule="atLeast"/>
        <w:ind w:left="720"/>
        <w:rPr>
          <w:lang w:val="en-US" w:eastAsia="en-US" w:bidi="ar-SA"/>
        </w:rPr>
      </w:pPr>
      <w:r>
        <w:rPr>
          <w:rFonts w:ascii="arial" w:eastAsia="arial" w:hAnsi="arial" w:cs="arial"/>
          <w:color w:val="000000"/>
          <w:sz w:val="20"/>
          <w:lang w:val="en-US" w:eastAsia="en-US" w:bidi="ar-SA"/>
        </w:rPr>
        <w:t>However, she will inevitably end up with either an ankle fusion or an ankle replacement. Due to her young age, an ankle fusion is still the gold standard. An ankle fusion will alleviate at least 90% of the pain but it is not without potential problems.</w:t>
      </w:r>
    </w:p>
    <w:p>
      <w:pPr>
        <w:spacing w:before="120" w:line="260" w:lineRule="atLeast"/>
        <w:ind w:left="720"/>
        <w:rPr>
          <w:lang w:val="en-US" w:eastAsia="en-US" w:bidi="ar-SA"/>
        </w:rPr>
      </w:pPr>
      <w:r>
        <w:rPr>
          <w:rFonts w:ascii="arial" w:eastAsia="arial" w:hAnsi="arial" w:cs="arial"/>
          <w:color w:val="000000"/>
          <w:sz w:val="20"/>
          <w:lang w:val="en-US" w:eastAsia="en-US" w:bidi="ar-SA"/>
        </w:rPr>
        <w:t>An ankle fusion obviously eliminates the ankle mobility completely. This leads to increased stresses and strains of the subtalar and mid foot joints. It is stated in the Orthopedic literature that an ankle fusion will inevitably lead to subtalar and or mid foot arthritis. This could happen in a time span of five to twenty years. It is seldom that the subsequent arthritis needs surgical intervention but it might limit her mobility even more and cause increased pain years down the road.</w:t>
      </w:r>
    </w:p>
    <w:p>
      <w:pPr>
        <w:spacing w:before="120" w:line="260" w:lineRule="atLeast"/>
        <w:ind w:left="720"/>
        <w:rPr>
          <w:lang w:val="en-US" w:eastAsia="en-US" w:bidi="ar-SA"/>
        </w:rPr>
      </w:pPr>
      <w:r>
        <w:rPr>
          <w:rFonts w:ascii="arial" w:eastAsia="arial" w:hAnsi="arial" w:cs="arial"/>
          <w:color w:val="000000"/>
          <w:sz w:val="20"/>
          <w:lang w:val="en-US" w:eastAsia="en-US" w:bidi="ar-SA"/>
        </w:rPr>
        <w:t>An ankle fusion also limits one's activity level. It is very difficult to participate in any sporting activity that requires running or jogging. It is usually only possible to walk or jog at a slow pace. It also precludes occupations where one has to walk on uneven terrain or going up and down inclines on a regular basis. This is especially true in an ankle fusion at a young age. It is recommended that she limits her working activities to either a sedentary occupation or an occupation that needs very little physical involvement.</w:t>
      </w:r>
    </w:p>
    <w:p>
      <w:pPr>
        <w:spacing w:before="120" w:line="260" w:lineRule="atLeast"/>
        <w:ind w:left="720"/>
        <w:rPr>
          <w:lang w:val="en-US" w:eastAsia="en-US" w:bidi="ar-SA"/>
        </w:rPr>
      </w:pPr>
      <w:r>
        <w:rPr>
          <w:rFonts w:ascii="arial" w:eastAsia="arial" w:hAnsi="arial" w:cs="arial"/>
          <w:color w:val="000000"/>
          <w:sz w:val="20"/>
          <w:lang w:val="en-US" w:eastAsia="en-US" w:bidi="ar-SA"/>
        </w:rPr>
        <w:t>The second option is an ankle arthroplasty. This is still very experimental and is usually reserved for older patients with a very low demand on the ankle joint. It is, therefore, not an option for her.</w:t>
      </w:r>
    </w:p>
    <w:p>
      <w:pPr>
        <w:spacing w:before="120" w:line="260" w:lineRule="atLeast"/>
        <w:ind w:left="720"/>
        <w:rPr>
          <w:lang w:val="en-US" w:eastAsia="en-US" w:bidi="ar-SA"/>
        </w:rPr>
      </w:pPr>
      <w:r>
        <w:rPr>
          <w:rFonts w:ascii="arial" w:eastAsia="arial" w:hAnsi="arial" w:cs="arial"/>
          <w:color w:val="000000"/>
          <w:sz w:val="20"/>
          <w:lang w:val="en-US" w:eastAsia="en-US" w:bidi="ar-SA"/>
        </w:rPr>
        <w:t>SUMMARY:</w:t>
      </w:r>
    </w:p>
    <w:p>
      <w:pPr>
        <w:spacing w:before="120" w:line="260" w:lineRule="atLeast"/>
        <w:ind w:left="720"/>
        <w:rPr>
          <w:lang w:val="en-US" w:eastAsia="en-US" w:bidi="ar-SA"/>
        </w:rPr>
      </w:pPr>
      <w:r>
        <w:rPr>
          <w:rFonts w:ascii="arial" w:eastAsia="arial" w:hAnsi="arial" w:cs="arial"/>
          <w:color w:val="000000"/>
          <w:sz w:val="20"/>
          <w:lang w:val="en-US" w:eastAsia="en-US" w:bidi="ar-SA"/>
        </w:rPr>
        <w:t>Mrs. Meise sustained a severely debilitating injury. The prognosis for full recovery is 0. She will more than likely end up with an ankle fusion that will hopefully reduce 90% of her pain.</w:t>
      </w:r>
    </w:p>
    <w:p>
      <w:pPr>
        <w:spacing w:before="120" w:line="260" w:lineRule="atLeast"/>
        <w:ind w:left="720"/>
        <w:rPr>
          <w:lang w:val="en-US" w:eastAsia="en-US" w:bidi="ar-SA"/>
        </w:rPr>
      </w:pPr>
      <w:r>
        <w:rPr>
          <w:rFonts w:ascii="arial" w:eastAsia="arial" w:hAnsi="arial" w:cs="arial"/>
          <w:color w:val="000000"/>
          <w:sz w:val="20"/>
          <w:lang w:val="en-US" w:eastAsia="en-US" w:bidi="ar-SA"/>
        </w:rPr>
        <w:t>It will, however, leave her with a very stiff ankle complex that might lead to subtalar or mid foot problems in future. In an attempt to prevent or post pone the subsequent arthritic changes, she will benefit from a rocker bottom shoe. This shoe modification will have to be done on all her shoes and usually wears out within a year. It is, therefore, foreseeable that she will need shoe modifications at least once a year for the rest of her life.</w:t>
      </w:r>
    </w:p>
    <w:p>
      <w:pPr>
        <w:spacing w:before="120" w:line="260" w:lineRule="atLeast"/>
        <w:ind w:left="720"/>
        <w:rPr>
          <w:lang w:val="en-US" w:eastAsia="en-US" w:bidi="ar-SA"/>
        </w:rPr>
      </w:pPr>
      <w:r>
        <w:rPr>
          <w:rFonts w:ascii="arial" w:eastAsia="arial" w:hAnsi="arial" w:cs="arial"/>
          <w:color w:val="000000"/>
          <w:sz w:val="20"/>
          <w:lang w:val="en-US" w:eastAsia="en-US" w:bidi="ar-SA"/>
        </w:rPr>
        <w:t>It is strongly recommended that she never participates in any occupation with a high physical demand.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early January 2001 Ms. Bunker was referred to Orthopedic Surgeon, Dr. Aganaba, of Dawson Creek because of an acute exacerbation of ankle pain. At that time x-rays showed a well healed fracture and possible signs of very early osteoarthritic changes in the ankle joint. Dr. Aganaba treated her with a plaster cast for a week and then removed it and injected her ankle joint with medication. Subsequently, on July 26th, 2001 she underwent surgery to correct lateral ankle ligament instability. On October 10th, 2001 Dr. Aganaba reported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She made a satisfactory post-op recovery. Her ankle is now quite stable. Her recovery is as expected. She is undergoing physiotherapy, which is part of her rehabilitation program.</w:t>
      </w:r>
    </w:p>
    <w:p>
      <w:pPr>
        <w:spacing w:before="120" w:line="260" w:lineRule="atLeast"/>
        <w:ind w:left="720"/>
        <w:rPr>
          <w:lang w:val="en-US" w:eastAsia="en-US" w:bidi="ar-SA"/>
        </w:rPr>
      </w:pPr>
      <w:r>
        <w:rPr>
          <w:rFonts w:ascii="arial" w:eastAsia="arial" w:hAnsi="arial" w:cs="arial"/>
          <w:color w:val="000000"/>
          <w:sz w:val="20"/>
          <w:lang w:val="en-US" w:eastAsia="en-US" w:bidi="ar-SA"/>
        </w:rPr>
        <w:t>The rupture of the lateral ankle ligament comp ex may well have arisen as a result of the ongoing problem in her ankle following a fracture of the left distal tibia and fibular 8 years ago, which was treated by open reduction and internal fixation. Postoperatively she developed infection, which eventually settled and she had the hardware removed 1 year.</w:t>
      </w:r>
    </w:p>
    <w:p>
      <w:pPr>
        <w:spacing w:before="120" w:line="260" w:lineRule="atLeast"/>
        <w:ind w:left="720"/>
        <w:rPr>
          <w:lang w:val="en-US" w:eastAsia="en-US" w:bidi="ar-SA"/>
        </w:rPr>
      </w:pPr>
      <w:r>
        <w:rPr>
          <w:rFonts w:ascii="arial" w:eastAsia="arial" w:hAnsi="arial" w:cs="arial"/>
          <w:color w:val="000000"/>
          <w:sz w:val="20"/>
          <w:lang w:val="en-US" w:eastAsia="en-US" w:bidi="ar-SA"/>
        </w:rPr>
        <w:t>She has symptoms of possible secondary osteoarthritis in the ankle and this leaves her with an intermittently painful ankle. She may need a secondary operation for this, if the pain deteriorates ie: arthroscopy and debridement, or an ankle fusion. Therefore further treatment may be necessary in the future with regard to the underlying ankle osteoarthritis.</w:t>
      </w:r>
    </w:p>
    <w:p>
      <w:pPr>
        <w:spacing w:before="120" w:line="260" w:lineRule="atLeast"/>
        <w:ind w:left="720"/>
        <w:rPr>
          <w:lang w:val="en-US" w:eastAsia="en-US" w:bidi="ar-SA"/>
        </w:rPr>
      </w:pPr>
      <w:r>
        <w:rPr>
          <w:rFonts w:ascii="arial" w:eastAsia="arial" w:hAnsi="arial" w:cs="arial"/>
          <w:color w:val="000000"/>
          <w:sz w:val="20"/>
          <w:lang w:val="en-US" w:eastAsia="en-US" w:bidi="ar-SA"/>
        </w:rPr>
        <w:t>This long-term prognosis remains the same in terms of her ongoing disability of intermittent pain in the ankle secondary to the osteoarthritis.</w:t>
      </w:r>
    </w:p>
    <w:p>
      <w:pPr>
        <w:spacing w:before="120" w:line="260" w:lineRule="atLeast"/>
        <w:ind w:left="720"/>
        <w:rPr>
          <w:lang w:val="en-US" w:eastAsia="en-US" w:bidi="ar-SA"/>
        </w:rPr>
      </w:pPr>
      <w:r>
        <w:rPr>
          <w:rFonts w:ascii="arial" w:eastAsia="arial" w:hAnsi="arial" w:cs="arial"/>
          <w:color w:val="000000"/>
          <w:sz w:val="20"/>
          <w:lang w:val="en-US" w:eastAsia="en-US" w:bidi="ar-SA"/>
        </w:rPr>
        <w:t>Hopefully the present operation, which she had to stabilize the lateral ankle ligament complex, will deal with the problem of ankle instability, thereby improving her motion and level of activities. She is undergoing physiotherapy at the moment and I have encouraged her to continue with the same. She may not need a brace, certainly in the near future, but if she develops significant secondary osteoarthritis in the ankle, a brace or a splint may be necessary prior to ankle fusion, if this becomes indicated.</w:t>
      </w:r>
    </w:p>
    <w:p>
      <w:pPr>
        <w:spacing w:before="120" w:line="260" w:lineRule="atLeast"/>
        <w:ind w:left="720"/>
        <w:rPr>
          <w:lang w:val="en-US" w:eastAsia="en-US" w:bidi="ar-SA"/>
        </w:rPr>
      </w:pPr>
      <w:r>
        <w:rPr>
          <w:rFonts w:ascii="arial" w:eastAsia="arial" w:hAnsi="arial" w:cs="arial"/>
          <w:color w:val="000000"/>
          <w:sz w:val="20"/>
          <w:lang w:val="en-US" w:eastAsia="en-US" w:bidi="ar-SA"/>
        </w:rPr>
        <w:t>She should be able to walk better now on an uneven surface but depending on the level of secondary degenerative changes in the ankle she may find it painful on prolonged walking or standing, as well as lifting heavy objects. This will become clearer once she has completed her rehabilitation program following the recent operation.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suffered a severe fracture and her recovery was plagued with infection and osteoarthritis. She has suffered a significant amount of pain and continues to do so, more than 8 years following the injury. She still takes up to 10 doses of Tylenol 3 per week for ankle pain. She says that pain still causes her to awaken at night and contributes to a grumpy personality.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has not regained full mobility in her ankle and it appears that she never will. Her gait remains affected and she has difficulty walking on stairs. She is unable to run or ride a bicycle or hike, skate or ski. She has great difficulty walking any significant distance. She is troubled by her scars, which she considers ugly, and she avoids wearing dresses and shorts in public. She also says that her scars are itchy and "drive me crazy", because she cannot feel any scratching in relief. She will probably require an ankle fusion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assess the plaintiff's general damages at $70,000.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Past Wage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the time of the accident Ms. Bunker was enrolled part-time at Northern Lights College, in English 102, History 104 and Psychology 102. Although she had not graduated from high school she was accepted at the college by virtue of her performances on entrance tests in September 1991. Her goal was to obtain qualification as a social services worker and work with abused children. She planned to do the 2-year program over 4 years. Because of her injuries she was unable to write the scheduled exams on December 6th, 1993, and although she did write the exams after Christmas, she withdrew from the College on February 7th, 1994. She testified that her reason for withdrawing was that her hospitalization in February 1994 would have prevented her from personally attending her psychology course, and she would have had to repay her student loan and start again at the beginning. I must confess that this explanation does not make sense to me, and in light of her stated present desire to go to college to train for the job as a secretary or as a receptionist, I infer she must have been losing interest in her former course of study, possibly as a result of her modest academic performance. I do not accept that the injury she sustained in the snowmobile accident caused her to discontinue her course of study.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Bunker's work history between her departure from high school in grade 11 in 1988 and the date of the accident consisted of working at McDonald's, working as a waitress in Dawson Creek and Edson, Alberta (6 months in 1990), as a vacuum cleaner salesperson in Edmonton for 2 months, and intermittent work for unspecified periods as a gas jockey and as a carhop.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Bunker did some work following the accident. As early as December of 1994, while pregnant, she babysat 40 hours per week for two months earning $786 per month. During May to July 1995 she worked 10 weeks for the Dawson Creek Cooperative Union earning $7.55 per hour. She testified that she was "fired", but could have had her job back following the suspension of her boss. Her total income in 1995 was $7,226 comprised of $2,383 from T4 earnings and $4,843 from social assistance. She testified that she was receiving income assistance from 1994 to 1998 of $485 per month. In 1998 she provided childcare for her boyfriend's daughter. From September 1999 to October 2000 she had three children in care and her home and in the latter portion of that period earned $1,062 per month. She testified that throughout the period 1995 to 2000 she looked for waitressing or convenience store or hotel front desk clerk jobs but " nothing panned out". Ms. Bunker also testified that she has been pregnant nine times, without delivering. From this I infer that she has been planning a family and has not been continuously seeking employment for which she is qualified and fit to perform, nor would she have continuously been seeking such employment in the absence of her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closing argument counsel for the plaintiff urged me to find that but for the accident Ms. Bunker would have qualified as a social services worker by 1995 and started earning income in the high $20,000 range. He argued that after a discount for the contingency of not succeeding in that and after deducting social assistance payments of approximately $6,000 per year, the appropriate award for past income loss would be at least $10,000 per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very recently released Court of Appeal decision in M.B. v. British Columbia, </w:t>
      </w:r>
      <w:hyperlink r:id="rId366" w:history="1">
        <w:r>
          <w:rPr>
            <w:rFonts w:ascii="arial" w:eastAsia="arial" w:hAnsi="arial" w:cs="arial"/>
            <w:i/>
            <w:color w:val="0077CC"/>
            <w:sz w:val="20"/>
            <w:u w:val="single"/>
            <w:shd w:val="clear" w:color="auto" w:fill="FFFFFF"/>
            <w:lang w:val="en-US" w:eastAsia="en-US" w:bidi="ar-SA"/>
          </w:rPr>
          <w:t>[2002] B.C.J. No. 390</w:t>
        </w:r>
      </w:hyperlink>
      <w:r>
        <w:rPr>
          <w:rFonts w:ascii="arial" w:eastAsia="arial" w:hAnsi="arial" w:cs="arial"/>
          <w:color w:val="000000"/>
          <w:sz w:val="20"/>
          <w:lang w:val="en-US" w:eastAsia="en-US" w:bidi="ar-SA"/>
        </w:rPr>
        <w:t xml:space="preserve"> changes the law in this Province on deductibility of social assistance payments in the absence of a subrogation agreement. It is absolutely clear to me that if those payments were deductible, the evidence in this case would not establish sufficient past income loss to result in an award under this heading. Even on the basis that the social assistance payments are not deductible from the potential award for past income loss, the losses proven under this head of damage are minimal.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Clearly, in the absence of the injury, Ms. Bunker would have had a greater range of jobs open to her immediately upon her withdrawal from Northern Lights College. The available range of jobs would have included jobs involving lifting and standing or walking that she was qualified for by her education and previous employment. This would have included jobs she had performed previously such as waitressing. There was no evidence provided as to her potential earnings in that event so that I could compare her potential earnings in the absence of injury to her actual earnings after the injury. Such evidence is of course very difficult to develop.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does establish that one year after the accident she was able to provide childcare services for 40 hours per week and earn $786 per month. In mid 1995 she was able to earn $7.55 per hour for ten 40-hour weeks. By September 1999 she was able to earn $1,062 per month providing day-care in her own home. Clearly some of Dr. Browne's comments on Ms. Bunker's ability to work which are set out in his August 7th, 2001 letter must be qualified in light of this work history. In that letter Dr. Browne stated that he believed she would have been unfit for work until at least in 1994. That opinion seems well founded in that the chronology set out earlier in these reasons shows that Dr. Browne was treating Ms. Bunker regularly until November 29th, 1994. However, Dr. Browne goes on to say: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did not see the patient again during 1995 and 1996 until the second of December 1997. At that time I felt she was having sufficient symptoms to make it impossible for her to work. I feel that she was probably unfit for work up until at least the time she saw Dr. Ackerman on the 9th of June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will be recalled that Ms. Bunker testified that throughout the period 1995 to 2000 she was looking for waitressing or convenience store or hotel front desk jobs but nothing panned out. It will be recalled also that Dr. Browne provided Ms. Bunker with a note on December 2nd, 1997 stating that she was unfit for "any type of work that would involve her being on her feet for any length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My findings on this head of damage are that Ms. Bunker probably lost one full year of employability at any job, and an additional 5 years where her employability was reduced by an average of 20% per year, which amounts to another year of income. I assess the value of that loss at $12,000 per year, which should then be adjusted for the contingencies that absent the injury might nevertheless have caused Ms. Bunker not to be fully employed. I would therefore reduce the final award for past loss of income to $20,000.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Loss of 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Ms. Bunker clearly qualifies for an award in this category on a consideration of the elements identified in Brown v. Golaiy </w:t>
      </w:r>
      <w:hyperlink r:id="rId79"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I assess her loss as relatively modest considering her past employment history and the degree of likelihood that her ankle disability will play a role in her future employability. In this regard I note that one of the vocational assessments in evidence expresses optimism that Ms. Bunker can, with appropriate training, become competitive in the job market in the area of her interests and aptitudes, namely receptionist or telephone operator. These occupations are not affected by the partial impairment of her ability to lift, walk or stand, and are more remunerative than the other types of employment within her aptitudes that she is foreclosed from by her partial disability.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range in the cases cited by the plaintiff in this category of loss is from $20,000 to $150,000. I find that the appropriate award in this case is $20,000.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Costs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on this head of damages consists primarily of the written report of Lila N. Quastel, Registered Occupational Therapy Consultant, based on a telephone interview with the plaintiff. Future care needs are identified and recommended in six categories, namely: treatment, footwear, aids and adaptations, household assistance, vocational rehabilitation, and future surgical intervention. Ms. Quastel estimates total initial and one-time costs of recommended items at $16,314.40 and annual costs of $5,750.67 to age 65 and $5,150.67 after age 65.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treatment category, Ms. Quastel does not provide a medical foundation for her view or presumption that Ms. Bunker will need regular ongoing physiotherapy. I note that physiotherapy was part of the rehabilitation from her July 2001 ligament surgery, and her initial surgery, but physiotherapy in January and February of 1998 was ineffective.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footwear category, the medical evidence and Ms. Bunker's testimony indicate the need for special orthopaedic boots and high quality runners, but special hiking boots would be inconsistent with Ms. Bunker's testimony that she can no longer go hiking, which is one of the lost activities she is being compensated for under the head of non-pecuniary loss. Warm winter boots are standard equipment.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Under the category of aids and adaptations, only the rocker bottoms for her shoes and the air cast brace are supported on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Coetzee's April 16th, 1999 letter indicates that it is highly unlikely that Ms. Bunker will need homemaking assistance, since walking and standing in a house will not be affected. I do not therefore accept Ms. Quastel's recommendations for annual costs totalling $3,000 per year in the category of household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category of vocational rehabilitation, Ms. Quastel recommends a one-time allocation of $10,000 for vocational assessment, counselling and training. I assume that she was unaware of the two vocational assessments in evidence, which were probably underway, or just recently completed at the time of her report. The costs of these assessments will be recoverable as costs to the plaintiff. The training costs of the 10-month Applied Business Technology programme described in the appendix to the January 23rd, 2001 report of Vocational Pacific Ltd. is $1,040 plus books and supplies. I will round that cost up to $1,500.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Bunker will require some homemaker assistance in conjunction with the future probable ankle fusion. That is likely to be many years in the future, so the anticipated cost can be covered by investment of a discounted award at this time. The recent intervention to stabilize the ankle seems to have been quite successful. I will award $1,500 for this component.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no evidence she will require more physiotherapy than available Medical Services Plan funding will provide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summary, I find Ms. Bunker's future care needs include initial or one-time costs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Orthopaedic Boots</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w:t>
            </w:r>
          </w:p>
        </w:tc>
        <w:tc>
          <w:tcPr>
            <w:tcW w:w="4813"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Vocational Training</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$1,500</w:t>
            </w:r>
          </w:p>
        </w:tc>
        <w:tc>
          <w:tcPr>
            <w:tcW w:w="4813"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Homemaker Assistance</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$1,500</w:t>
            </w:r>
          </w:p>
        </w:tc>
        <w:tc>
          <w:tcPr>
            <w:tcW w:w="4813"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$3,500</w:t>
            </w:r>
          </w:p>
        </w:tc>
        <w:tc>
          <w:tcPr>
            <w:tcW w:w="4813"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together with annual costs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Medication</w:t>
            </w:r>
          </w:p>
        </w:tc>
        <w:tc>
          <w:tcPr>
            <w:tcW w:w="460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$ 800 per year to age 65</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$ 200 per year after 65</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Footwear (Boot Replacement</w:t>
            </w:r>
          </w:p>
        </w:tc>
        <w:tc>
          <w:tcPr>
            <w:tcW w:w="460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$ 400 per year</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and High Quality Runners)</w:t>
            </w:r>
          </w:p>
        </w:tc>
        <w:tc>
          <w:tcPr>
            <w:tcW w:w="4608"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99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Rocker Bottoms and Air Brace</w:t>
            </w:r>
          </w:p>
        </w:tc>
        <w:tc>
          <w:tcPr>
            <w:tcW w:w="460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$ 288 per year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460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$1,688 per year to age 65</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$1,088 per year after 65</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Utilizing the tables and information provided in the actuarial report of Associated Economic Consultants Ltd., I have determined that the present value of these recurring annual costs listed above is $32,884. Adding in the initial and one-time costs of $3,500 and rounding up, I award the sum of $36,500 for costs of future care.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Summary of Awards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359"/>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Non- Pecuniary Damages</w:t>
            </w:r>
          </w:p>
        </w:tc>
        <w:tc>
          <w:tcPr>
            <w:tcW w:w="1331"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$ 70,000</w:t>
            </w:r>
          </w:p>
        </w:tc>
        <w:tc>
          <w:tcPr>
            <w:tcW w:w="4198"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Past Wage Loss</w:t>
            </w:r>
          </w:p>
        </w:tc>
        <w:tc>
          <w:tcPr>
            <w:tcW w:w="1331"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$ 20,000</w:t>
            </w:r>
          </w:p>
        </w:tc>
        <w:tc>
          <w:tcPr>
            <w:tcW w:w="4198"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Loss of Future Earning Capacity</w:t>
            </w:r>
          </w:p>
        </w:tc>
        <w:tc>
          <w:tcPr>
            <w:tcW w:w="1331"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$ 20,000</w:t>
            </w:r>
          </w:p>
        </w:tc>
        <w:tc>
          <w:tcPr>
            <w:tcW w:w="4198"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Cost of Future Care</w:t>
            </w:r>
          </w:p>
        </w:tc>
        <w:tc>
          <w:tcPr>
            <w:tcW w:w="1331"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$ 36,500</w:t>
            </w:r>
          </w:p>
        </w:tc>
        <w:tc>
          <w:tcPr>
            <w:tcW w:w="4198"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1331"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$146,500</w:t>
            </w:r>
          </w:p>
        </w:tc>
        <w:tc>
          <w:tcPr>
            <w:tcW w:w="4198"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is entitled to costs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MEIKLEM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Palmer v. Blake, [2003] B.C.J. No. 1859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Ralph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2,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6, 2003.</w:t>
      </w:r>
    </w:p>
    <w:p>
      <w:pPr>
        <w:spacing w:before="120" w:line="260" w:lineRule="atLeast"/>
        <w:jc w:val="center"/>
        <w:rPr>
          <w:lang w:val="en-US" w:eastAsia="en-US" w:bidi="ar-SA"/>
        </w:rPr>
      </w:pPr>
      <w:r>
        <w:rPr>
          <w:rFonts w:ascii="arial" w:eastAsia="arial" w:hAnsi="arial" w:cs="arial"/>
          <w:color w:val="000000"/>
          <w:sz w:val="20"/>
          <w:lang w:val="en-US" w:eastAsia="en-US" w:bidi="ar-SA"/>
        </w:rPr>
        <w:t>Courtenay Registry No. S5180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1859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1219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124 A.C.W.S. (3d) 292</w:t>
      </w:r>
    </w:p>
    <w:p>
      <w:pPr>
        <w:spacing w:before="120" w:line="260" w:lineRule="atLeast"/>
        <w:rPr>
          <w:lang w:val="en-US" w:eastAsia="en-US" w:bidi="ar-SA"/>
        </w:rPr>
      </w:pPr>
      <w:r>
        <w:rPr>
          <w:rFonts w:ascii="arial" w:eastAsia="arial" w:hAnsi="arial" w:cs="arial"/>
          <w:color w:val="000000"/>
          <w:sz w:val="20"/>
          <w:lang w:val="en-US" w:eastAsia="en-US" w:bidi="ar-SA"/>
        </w:rPr>
        <w:t>Between Jaimie Angela Lynne Palmer, plaintiff, and Steven Michael Blake and Michael Lawrence Blake,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2" style="position:absolute;z-index:2516838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63" w:name="Keywords_24"/>
      <w:bookmarkEnd w:id="163"/>
      <w:r>
        <w:rPr>
          <w:rFonts w:ascii="arial" w:eastAsia="arial" w:hAnsi="arial" w:cs="arial"/>
          <w:b/>
          <w:color w:val="000000"/>
          <w:sz w:val="20"/>
          <w:lang w:val="en-US" w:eastAsia="en-US" w:bidi="ar-SA"/>
        </w:rPr>
        <w:t xml:space="preserve">Damages — General damages — General damages for personal injury — Assessment of damages — Mitigation — Torts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Particular matters — Motor vehicle accidents — Failure to wear a seatbelt.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64" w:name="Case Summary_23"/>
            <w:bookmarkEnd w:id="16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action by Palmer for damages for personal injuries sustained when her vehicle overturned after being involved in a collision. Although liability was not contested, the defendants, the Blakes, argued that Palmer was contributorily negligent because she had not been wearing a seat belt. They also argued that she had failed to mitigate her damages by failing to pursue treatments that could have assisted her recovery. Palmer's principal complaint at the time was of an injury to her right shoulder, elbow and clavicle. There were no fractures. Seven years following the accident, her family physician noted that her disability consisted of a fairly marked decreased range of motion to her right shoulder. Palmer encountered significant pain whenever she tried to move her right arm behind the level of her chest. He also indicated in his report that she would continue to have pain for at least several more years if not longer. The pain interfered substantially with her capacity to participate in what had been an active athletic program during her teenage years. In addition, the pain had caused considerable discomfort to Palmer in carrying out her work-related duties. In 1997, she was diagnosed with a major depression. Palmer claimed that this condition was caused or contributed to by the accident. Although the psychiatrist's clinical notes referred to the accident, it was not referred to in the report. The evidence as to whether Palmer had been wearing a seat belt was contradictory. Even Palmer was not sure whether she had a seat belt on. She stated that she did not continue with physiotherapy after a few sessions because it did not seem to do anything. She also found that the massage therapy was not helpful and was very painful. She stated that she did some stretching exercises at home, but did not have a regular routine. Palmer was currently employed as a cook in a logging camp and there was no evidence of any future employment plans or training programs. </w:t>
            </w:r>
            <w:r>
              <w:rPr>
                <w:lang w:val="en-US" w:eastAsia="en-US" w:bidi="ar-SA"/>
              </w:rPr>
              <w:cr/>
            </w:r>
          </w:p>
          <w:p>
            <w:pPr>
              <w:spacing w:before="120" w:line="260" w:lineRule="atLeast"/>
              <w:ind w:left="240"/>
              <w:jc w:val="both"/>
              <w:rPr>
                <w:lang w:val="en-US" w:eastAsia="en-US" w:bidi="ar-SA"/>
              </w:rPr>
            </w:pPr>
            <w:bookmarkStart w:id="165" w:name="Holdings of Court_21"/>
            <w:bookmarkEnd w:id="165"/>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Palmer was awarded non-pecuniary damages of $30,000. The accident caused an injury to Palmer's right shoulder and elbow and the right side of her neck. The evidence supported a finding that she was still suffering accident-related pain in the area of her right shoulder and would continue to suffer from it for some time. As a result of the accident, Palmer had experienced pain and discomfort in her shoulder area for an unusually lengthy period of time. However, Palmer had not established that the Bakers'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her depression. With respect to the argument that the damages should be reduced, even if Palmer negligently failed to wear a seat belt, and the evidence was not conclusive on this point, there was insufficient evidence that the injuries she sustained would have been prevented or lessened had she worn a seat belt. In addition, there was neither medical evidence, nor was it self-evident, that a more extensive course of physiotherapy would have mitigated the injuries or the length of Palmer's recovery. With respect to the claim for future economic loss, it was speculation to conclude that Palmer had suffered an impaired capacity to earn income. Therefore an award for loss of future earning capacity was not appropriate. </w:t>
            </w:r>
            <w:r>
              <w:rPr>
                <w:lang w:val="en-US" w:eastAsia="en-US" w:bidi="ar-SA"/>
              </w:rPr>
              <w:cr/>
            </w:r>
          </w:p>
          <w:p>
            <w:pPr>
              <w:rPr>
                <w:lang w:val="en-US" w:eastAsia="en-US" w:bidi="ar-SA"/>
              </w:rPr>
            </w:pPr>
          </w:p>
        </w:tc>
      </w:tr>
    </w:tbl>
    <w:p>
      <w:pPr>
        <w:jc w:val="both"/>
        <w:rPr>
          <w:lang w:val="en-US" w:eastAsia="en-US" w:bidi="ar-SA"/>
        </w:rPr>
      </w:pPr>
      <w:bookmarkStart w:id="166" w:name="Legislation Cited_16"/>
      <w:bookmarkEnd w:id="16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43" style="position:absolute;z-index:2517350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 18A(11)(a)(i).</w:t>
      </w:r>
      <w:r>
        <w:rPr>
          <w:lang w:val="en-US" w:eastAsia="en-US" w:bidi="ar-SA"/>
        </w:rPr>
        <w:cr/>
      </w:r>
    </w:p>
    <w:p>
      <w:pPr>
        <w:keepNext/>
        <w:spacing w:before="240" w:line="340" w:lineRule="atLeast"/>
        <w:rPr>
          <w:lang w:val="en-US" w:eastAsia="en-US" w:bidi="ar-SA"/>
        </w:rPr>
      </w:pPr>
      <w:bookmarkStart w:id="167" w:name="Counsel_24"/>
      <w:bookmarkEnd w:id="16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4" style="position:absolute;z-index:2517862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James E. Dow, for the plaintiff. Kathryn J. Dirom, for the defendant.</w:t>
      </w:r>
      <w:r>
        <w:rPr>
          <w:lang w:val="en-US" w:eastAsia="en-US" w:bidi="ar-SA"/>
        </w:rPr>
        <w:cr/>
      </w:r>
    </w:p>
    <w:p>
      <w:pPr>
        <w:spacing w:after="240"/>
        <w:rPr>
          <w:lang w:val="en-US" w:eastAsia="en-US" w:bidi="ar-SA"/>
        </w:rPr>
      </w:pPr>
      <w:bookmarkStart w:id="168" w:name="Judgment_24"/>
      <w:bookmarkEnd w:id="168"/>
      <w:r>
        <w:pict>
          <v:line id="_x0000_s1145" style="position:absolute;z-index:25183744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9" w:name="RALPH J."/>
            <w:bookmarkEnd w:id="169"/>
            <w:r>
              <w:rPr>
                <w:rFonts w:ascii="arial" w:eastAsia="arial" w:hAnsi="arial" w:cs="arial"/>
                <w:b/>
                <w:color w:val="000000"/>
                <w:sz w:val="30"/>
                <w:lang w:val="en-US" w:eastAsia="en-US" w:bidi="ar-SA"/>
              </w:rPr>
              <w:t>RALPH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late evening of April 21, 1995, the plaintiff, Ms. Palmer, was a passenger in the back seat of a motor vehicle driven by the defendant Steven Michael Blake and owned by the defendant Michael Lawrence Blake. Ms. Palmer, who was then 15 years old, was injured when the vehicle overturned on a Campbell River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accident is not contested by the defendants but they allege that Ms. Palmer was contributorily negligent in failing to wear a seatbelt at the time. The defendants also say that Ms. Palmer failed to mitigate her damages in that she did not pursue treatments that could have benefited her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have brought a motion for summary judgment pursuant to Rule 18A and seek to have the court pronounce judgment on the issues of quantum of damages and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does not oppose the determination of the issues by way of summary judgment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Immediately following the accident Ms. Palmer was taken to hospital by ambulance but released later the same evening. She returned for x-rays the following morning but no fractures were observed. Ms. Palmer's principal complaint at the time was of injury to her right shoulder, elbow and clavicle. Pain medications were prescribed. She saw one of her family physicians on May 16 and he noted injury to her right clavicular area. Although Ms. Palmer attended her family physicians for a variety of other matters in the following years, her physicians' records continued to note from time to time over the next five years continuing pain and tender parts in her right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Her family physician's clinical records for September 12, 1995, note that "rehab exercises" were to be "supervised by physio" but there is no further evidence of a physiotherapy referral around this time. Ms. Palmer did attend 5 massage therapy sessions in 1996 and 4 physiotherapy appointments in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 September 7, 2000, medical report, Ms. Palmer's then family physician, Dr. S. K. Millar, found that Ms. Palmer had a "very limited ability to raise her right arm above the horizontal level". He also reported that she was "very tender in her right shoulder and neck muscles". He described the prognosis for Ms. Palmer as "guarded" and stated that he expects that she will have pain in her right shoulder and arm and headaches "at least for several more years, if not longer".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 follow-up letter of December 20, 2002, Dr. Millar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Her disability at the moment consists of fairly marked decreased range of motion of her right shoulder. She encounters significant pain whenever she tries to move her right arm behind the level of her chest. Her shoulder in the front and back and down into her middle back are generally all tender. She did see Dr. Sheriff who diagnosed fibromyalgia. She is finding that physiotherapy is not helping so she has stopped those treatments. She noted to you and to me that she was having trouble sleeping and it seems to be largely due to her shoulder pain as she moves in the night. I've changed her to a different medication to try to help her with her sleep.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Millar had referred Ms. Palmer to Dr. M. K. Sheriff, a rheumatologist. In his report of October 29, 2001, to Dr. Millar, Dr. Sheriff found that Ms. Palmer's right shoulder "seemed to be painful and on active abduction she could only abduct to about 60 degrees as she has a lot of pain in the posterior aspect of the shoulder and scapula". He also reported that it was not clear to him how long Ms. Palmer's problems had existed, but he stated that it is quite clear that after the accident Ms. Palmer's symptoms did get worse.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assessing Ms. Palmer's condition he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lady does have at least 12 of the 18 tender points for fibromyalgia. A lot of the symptoms she describes would be in keeping with the diagnosis of fibromyalgia syndrome. She does have myofascial pain in the right scapula area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David Davies, a psychiatrist, also diagnosed Ms. Palmer in January 1997 as having a major depression. Ms. Palmer says that this condition was caused or contributed to, by the accident. It is her evidence that over the year after the accident she became very depressed and gained 40 pounds which she has since been unable to shed. She deposes that she has gradually worked her way through her mental suffering and has had full-time jobs in the last three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Davies saw Ms. Palmer on January 17, 1997. In his consultation report to Dr. Saunders, he reviewed Ms. Palmer's condition as well as the results of a Beck Depression Inventory administered to Ms. Palmer. He prescribed medication for her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describing Ms. Palmer's circumstances Dr. Davies referred to a number of difficulties experienced by Ms. Palmer in her life but does not refer to the motor vehicle accident. His clinical records do record, however, "back injury in MVA a yr. ago".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Palmer deposes that she attempted to go back to school after the accident but did not have the energy or desire to continue at school. She continued to live at home with her father and sister for a period of time and did some babysitting for two or three families. She later worked in the mail room at North Island College for an unspecified period. From the winter of 1999 through to 2001, Ms. Palmer worked as a housekeeper and then a supervisor on the housekeeping staff at Mt. Washington.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Since August 2002, Ms. Palmer has worked as a bull cook in a logging camp. Her work cycle is 14 days in camp and 7 days off. Her work responsibilities include dishwashing, working in the kitchen and doing washroom cleanup. Ms. Palmer says that she takes substantial quantities of pain medication to control her pain while working. She deposes that she knows "that I must ultimately find something less strenuous but at this time this is the only work available to me and I am going to do it as long as I can".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of whether Ms. Palmer was wearing a seatbelt at the time of the accident comes from a number of sources. Ms. Palmer deposed on July 4, 2002 that "to this day" she does not know if her seat belt was on but the pain she experienced emanated from the area where the seat belt may have been.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hospital emergency admitting form describes Ms. Palmer as a passenger with her seat belt on in one part of the form and records "? wearing SB" in another part. I understand this second note to mean that there is a question as to whether Ms. Palmer was wearing a seat 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massage therapist's clinical notes record that Ms. Palmer was "unseatbelted". In her examination for discovery Ms. Palmer testified that she was putting her seatbelt on when the accident happened. She had told her younger sister who was also a passenger in the back seat to put her seatbelt on. She said that the accident occurred in less than one minute from the time the vehicle pulled away from the store where Ms. Palmer and her sister had entered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alleging Ms. Palmer's failure to mitigate her damages is that she did not pursue treatments that could have assisted her recovery. In her examination for discovery Ms Palmer stated that she did not continue physiotherapy after a few sessions because they "didn't seem to do anything". She also found that the massage therapy was not helpful and was very painful. She did carry out exercises at home that were described in material given to her by her family physician or her physiotherapist. She continues to do some stretching exercises but does not have a regular routine.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submit that Ms. Palmer suffered a soft tissue injury in the accident and is entitled to non-pecuniary damages within the range of $15,000 to $25,000. They say that case law supports an award closer to $15,000. They say further that such an award should be reduced by 10 to 25% because of Ms. Palmer's failure to wear a seatbelt and her failure to pursue treatments that would have benefited her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Ms. Palmer submits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caused injuries that are permanent. It is argued that Ms. Palmer's psychological problems and the condition described by Dr. Sheriff were caused by the accident and that the injury to her right shoulder, arm and neck area continues. Ms. Palmer also asserts that she will be limited in the type of work she can do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Ms. Palmer further submits that there should be no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her or any failure to mitigate her damages. Her counsel referred to cases said to be similar to the circumstances of Ms. Palmer. In counsel's submission they would support an award to Ms. Palmer of $100,000 non-pecuniary damages and $30,000 for loss of 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Rule 18A(11)(a)(i) permits the court to grant judgment unless the court is unable on the whole of the evidence before the court on the application to find the facts necessary to decide the issues of fact or law. As I have noted above, counsel for the applicant says the application is suitable for resolution under R. 18A and the plaintiff does not oppose the determination of the issues by way of summary judgment. One might have wished for more evidence than was presented in this case but I have concluded that I am able to find the facts necessary to grant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satisfied that the accident of April 21, 1995 caused an injury to Ms. Palmer's right shoulder and elbow and the right side of her neck. The evidence supports a finding that she is still suffering accident-related pain in the area of her right shoulder and will continue to suffer from it for some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my view, Ms. Palmer has not established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depression which was diagnosed by Dr. Davies in January 1997, over one and one-half years after the accident. I reach this conclusion despite the affidavit evidence of Ms. Palmer and her father that Ms. Palmer did not suffer from depression prior to the accident. A review of Dr. Davies' report indicates that there were a number of other explanations for the depression. I also think it is significant that, although his clinical notes record the happening of the motor vehicle accident, it is not referred to in the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Dr. Sheriff observed the difficulties with Ms. Palmer's shoulder noted above, I do not conclude that his report supports a finding that the accident caused her fibromyalgia, even if it can be said its presence has been conclusively diagnosed. Dr. Sheriff did not examine Ms. Palmer until over six years after the accident. He goes no further than to state, "A lot of the symptoms she describes would be in keeping with the diagnosis of fibromyalgia syndrome." He further acknowledges in his report that, "Exact details of what happened during the accident and what sort of injuries she sustained and what treatments she had at the time are not available."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assessing Ms. Palmer's non-pecuniary damages I conclude that, as a result of the accident, she has experienced pain and discomfort in her shoulder area for an unusually lengthy period of time and I accept her family physician's opinion that it will be some time yet before Ms. Palmer's shoulder is healed. The accident occurred when Ms. Palmer was 15 years of age. It interfered substantially with her capacity to participate in what had been an active athletic program during her teen-age years. In addition, the pain caused by the accident has caused considerable discomfort to Ms. Palmer in carrying out her work-related duties.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read the cases provided by both counsel. In my view the circumstances present in the cases submitted by counsel for Ms. Palmer are dissimilar from the circumstances of Ms. Palmer. A major difference is found in the fact that, although counsel for Ms. Palmer has alleged that certain injuries were present in both the cases referred to by counsel and the case of Ms. Palmer, I have not found that the evidence supports such findings. For example, I have not found that Ms. Palmer's depression or fibromyalgia were caused by the accident. As a result, I have concluded that Ms. Palmer's non-pecuniary damages are more similar to those present in the cases submitted by counsel for the defendant. One distinguishing feature, however, is the duration of the pain experienced by Ms. Palmer.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assess non-pecuniary damages at $30,000.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Palmer's claim for future economic loss is based upon her evidence that she is working in employment which she cannot continue because of the strenuous nature of the work. It is submitted by her counsel that she may need to take training which would allow her to take other employment and she would incur a loss of income during that retraining.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claim for future economic loss can be considered as the loss of an opportunity that was a real possibility or as the impairment of earning capacity viewed as a capital asset. Factors to be considered in determining an impaired ability to earn income are set out in Kwei v. Boisclair </w:t>
      </w:r>
      <w:hyperlink r:id="rId78"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In my view the issue to be addressed with respect to this aspect of Ms. Palmer's claim is whether there is reliable evidence that she has lost the ability to take advantage of all job opportunities which might otherwise have been open to her had she not been injured.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an absence of evidence of any future employment plans or training programs. Of greater concern is the fact that, despite Ms. Palmer's evidence of the pain experienced in carrying out her present employment duties, she has carried out moderately physically demanding employment for a number of years and it is now more than eight years since the accident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recognize that Ms. Palmer was only 15 years old at the time of the accident. One would not expect her to have had a developed vocational plan within the first few years after the accident. In my view of the evidence before me, however, it would not get past the level of speculation to conclude that Ms. Palmer has suffered an impaired capacity to earn income. I decline to award damages for loss of 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say that the award of damages should be reduced because of the failure of the plaintiff to wear a seatbelt at the time of the accident. As noted in Linden: Canadian Tort Law (7th ed.) at p. 464: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It is clear that the onus is on the defendant to prove that there was a failure to wear belts, that this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injuries would have been prevented or lessened if the belts had been worn.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my view, the evidence is unclear as to whether Ms. Palmer was wearing her seat belt at the time of the accident. There is some evidence to suggest that the defendant Steven Michael Blake drove off before Ms. Palmer had any opportunity to fasten her seat belt and the collision occurred moments after that. Even if Ms. Palmer negligently failed to wear a seat belt, there is insufficient evidence that the injuries she sustained would have been prevented or lessened had she worn a seat belt. As a result, I find that the defendants have failed to prove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Ms. Palmer.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also say that the award of damages should be reduced as a result of Ms. Palmer's failure to mitigate her damages by undertaking a more extensive program of physiotherapy. I have set out above the nature and extent of the physiotherapy and massage therapy undertaken. There is neither medical evidence, nor is it self-evident, that a more extensive course of physiotherapy would have mitigated the injuries or the length of Ms. Palmer's recovery in this case. Ms. Palmer does not appear to have ignored her doctor's advice. I find that the defendants have not proven that Ms. Palmer failed to mitigate her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result, I find that the plaintiff is entitled to non-pecuniary damages in the amount of $30,000. The plaintiff would also appear to be entitled to her costs on scale 3. If there are matters relating to costs of which I am unaware, counsel may arrange through the registry to speak to them.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RALPH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Pearlman v. Atlantic Trading Co., [2010] B.C.J. No. 1078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28,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M101344, S064665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1078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809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190 A.C.W.S. (3d) 658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1390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Pearlman, Plaintiff, and Atlantic Trading Company Ltd. and Rebecca Lee Spence, Defendants And between David Pearlman, Plaintiff, and The Insurance Corporation of British Columbia/ICBC and Kelly Winn,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7"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0" w:name="Keywords_25"/>
      <w:bookmarkEnd w:id="170"/>
      <w:r>
        <w:rPr>
          <w:rFonts w:ascii="arial" w:eastAsia="arial" w:hAnsi="arial" w:cs="arial"/>
          <w:b/>
          <w:color w:val="000000"/>
          <w:sz w:val="20"/>
          <w:lang w:val="en-US" w:eastAsia="en-US" w:bidi="ar-SA"/>
        </w:rPr>
        <w:t>Civil litigation — Civil procedure — Costs — Assessment or fixing of costs — Appeal or review — Appeal by the plaintiff, by way of notices of appeal, from two decisions of Registrars who assessed costs against him — Appeals should have been commenced by way of notices of motion — Court cured this defect — Appeal dismissed — There was no merit to the appeals.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1" w:name="Case Summary_24"/>
            <w:bookmarkEnd w:id="1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Pearlman by way of notices of appeal from two assessments of costs against him. Pearlman commenced two actions related to a motor vehicle accident that occurred in November 2004. The first action was a tort claim for injuries that resulted from the accident. The second action was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Insurance Corporation of British Columbia based on Pearlman's assertion that ICBC had requested a medical report from his family doctor whose authorization to provide the report had been revoked by Pearlman. The tort claim was dismissed and the Registrar assessed the costs payable by Pearlman in the amount of $34,000.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also dismissed and the Registrar assessed costs payable by Pearlman in the amount of $32,000. The defendants applied to dismiss the notices of appeal for want of prosecution.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2" w:name="Holdings of Court_22"/>
            <w:bookmarkEnd w:id="172"/>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notices of appeal that Pearlman filed were not the proper procedure to be undertaken to review the Registrars' assessments. He should have filed a notice of motion. However, this was an error of form rather than of substance and the Court exercised its discretion to grant relief. The notices were dismissed for want of prosecution. Pearlman failed to take any further steps once he filed the notices. It was immaterial for these appeals that Pearlman took steps regarding his appeal of the decisions that dismissed his two actions. The two costs' appeals lacked merit. Regarding one appeal the Registrar carefully reviewed the bill of costs that had been presented to him. In the other case the Registrar had jurisdiction to consider the bill of costs. There were no errors of principles that would allow the Court to intervene.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3" w:name="Legislation Cited_17"/>
      <w:bookmarkEnd w:id="1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8"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2(1), Rule 57(26), Rule 57(33)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4" w:name="Counsel_25"/>
      <w:bookmarkEnd w:id="17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9"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Appearing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 G. Critchley.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5" w:name="Judgment_25"/>
      <w:bookmarkEnd w:id="175"/>
      <w:r>
        <w:pict>
          <v:line id="_x0000_s1150"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6" w:name="J.M. GROPPER J. (orally)"/>
            <w:bookmarkEnd w:id="176"/>
            <w:r>
              <w:rPr>
                <w:rFonts w:ascii="arial" w:eastAsia="arial" w:hAnsi="arial" w:cs="arial"/>
                <w:b/>
                <w:color w:val="000000"/>
                <w:sz w:val="30"/>
                <w:lang w:val="en-US" w:eastAsia="en-US" w:bidi="ar-SA"/>
              </w:rPr>
              <w:t>J.M. GROPPER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Mr. Pearlman commenced these actions relating to claims arising from a motor vehicle accident which occurred in November 2004. The first action is a tort claim for injuries arising from the accident, and the second action is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Insurance Corporation of British Columbia (ICBC) based on his assertion that ICBC had requested a medical report from his family doctor whose authorization to provide the report had been revoked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tort claim was heard by Mr. Justice Rice with a jury in September 2009. The jury concluded that Mr. Pearlman's injuries were not caused by the accident and his claims were dismissed. The court made an order for costs. A bill of costs was presented by the defendants in that action and the matter came for assessment before Registrar Blok in 2009. Registrar Blok assessed the costs payable by the plaintiff in the approximate amount of $34,000.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heard by Mr. Justice Smith with a jury in April 2009. The defendants applied to dismiss the plaintiff's claim on the basis of no evidence, which the trial judge upheld. He dismissed the plaintiff's action and made an order for costs. The assessment of the defendant's costs came before Registrar Sainty in August and September 2009, who assessed costs payable by the plaintiff of approximately $32,000.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Pearlman filed notices of appeal from the registrars' assessments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in both actions seek to have Mr. Pearlman's notices of appeal dismissed. The positions of the defendants are, first, that Mr. Pearlman has undertaken the wrong procedure to proceed with an appeal from the registrars' assessments. He is required to proceed by way of notice of motion in accordance with Rule 57(33)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The defendants say that Mr. Pearlman has not taken any steps to file the proper document to pursue his review of the registrars' assessments; and second, that Mr. Pearlman has not taken any steps to pursue his appeal from the registrars' assessments and therefore they should be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respect of the assessments by Registrars Blok and Sainty, the defendants point out that:</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a 14-month period since the assessment of Registrar Blok and approximately one year since the assessment by Registrar Sainty but Mr. Pearlman has not provided any explanation for his delay in proceeding with his appeals.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rarely interferes with a registrar's assessment unless there is an error in principle. None has been identified by Mr. Pearlman in his notice of appeal.</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merit in Mr. Pearlman's appeal from the assessment of Registrar Blok and he is unlikely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Ultimately, the defendants argue that it is in the interests of justice that the matter of costs in these actions be brought to an end.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Pearlman makes the following response: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procedure which he has undertaken is the correct procedure, and he followed the advice of the New Westminster Registry in preparing the notices of appeal in these matters.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Pearlman has not engaged in any delay in proceeding with these appeals. He has proceeded to the Court of Appeal and the Supreme Court of Canada. Many applications have been made to the court, and the Supreme Court of Canada is presently considering his application for leave to appeal in both matters. He says he anticipates a successful result from the Supreme Court of Canada's consideration of his leave.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Pearlman asserts that in regard to Registrar Blok's assessment, the Registrar allowed disbursements for experts which were not called as witnesses by the defence in the tort claim; that Registrar Blok allowed for disbursements for photocopies which were both excessive and unproven, and that Registrar Blok should have required Mr. Critchley, counsel for the defendants, to give evidence in that proceeding under oath.</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Registrar Sainty's assessment, Mr. Pearlman says that Registrar Sainty had no jurisdiction to undertake an assessment as there was no entered order dismissing this action before Mr. Justice Smith and therefore the taxation is a nullity. He also says that Registrar Sainty erred in allowing costs of approximately $12,000 in respect of disbursements for Dr. Goldstein. Dr. Goldstein was a dentist who prepared a report for the defendants. Mr. Pearlman challenges a disbursement allowed in respect of his report and also in respect of Dr. Goldstein's bill for the cancellation of his appearance in court.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Pearlman says further that Registrar Sainty's assessment is exorbitant and without proof. He also criticizes Registrar Sainty's decision to disallow the plaintiff's application in the hearing to call Dr. Goldstein as a witness.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defendants say that the plaintiff's assertion that he is proceeding in court with these appeals is incorrect, that the appeals that Mr. Pearlman has proceeded with relate to his appeals in the tort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and not in relation to his appeal concerning the assessment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respect of the position that Registrar Sainty did not have jurisdiction, the defendants point out that while Registrar Sainty did not have a copy of the entered order, the parties agreed that there was an order for costs made by Mr. Justice Smith and agreed to the form of the order and Registrar Sainty had a copy before her. She did not have a filed copy of the order of Mr. Justice Smith as it had not been returned by the registry. That was due to delay on the part of the registry and, in part, a delay in Mr. Critchley's office in filing the order for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find that the plaintiff's notices of appeal are not the proper procedure to be undertaken to review the registrar's assessment. I refer to the decision of Mr. Justice Finch (as he then was) in </w:t>
      </w:r>
      <w:r>
        <w:rPr>
          <w:rFonts w:ascii="arial" w:eastAsia="arial" w:hAnsi="arial" w:cs="arial"/>
          <w:i/>
          <w:color w:val="000000"/>
          <w:sz w:val="20"/>
          <w:lang w:val="en-US" w:eastAsia="en-US" w:bidi="ar-SA"/>
        </w:rPr>
        <w:t>Xerox Canada Inc. v. Sweany,</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[1990] B.C.J. No. 1234</w:t>
        </w:r>
      </w:hyperlink>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42 C.P.C. (2d) 101</w:t>
        </w:r>
      </w:hyperlink>
      <w:r>
        <w:rPr>
          <w:rFonts w:ascii="arial" w:eastAsia="arial" w:hAnsi="arial" w:cs="arial"/>
          <w:color w:val="000000"/>
          <w:sz w:val="20"/>
          <w:lang w:val="en-US" w:eastAsia="en-US" w:bidi="ar-SA"/>
        </w:rPr>
        <w:t>, where, at the second paragraph at p. 2 of the decision, the court specifically states: "A review of taxation is properly brought by way of notice of motion under Rule 57(26)." That rule is now Rule 57(33),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party who is dissatisfied with a decision of the registrar on an assessment may, within 14 days after the registrar has certified the costs, apply to the court for a review of the assessment, and the court may make an order as it thinks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procedure undertaken by Mr. Pearlman in filing notices of appeal is a an error but as </w:t>
      </w:r>
      <w:r>
        <w:rPr>
          <w:rFonts w:ascii="arial" w:eastAsia="arial" w:hAnsi="arial" w:cs="arial"/>
          <w:i/>
          <w:color w:val="000000"/>
          <w:sz w:val="20"/>
          <w:lang w:val="en-US" w:eastAsia="en-US" w:bidi="ar-SA"/>
        </w:rPr>
        <w:t>Xerox</w:t>
      </w:r>
      <w:r>
        <w:rPr>
          <w:rFonts w:ascii="arial" w:eastAsia="arial" w:hAnsi="arial" w:cs="arial"/>
          <w:color w:val="000000"/>
          <w:sz w:val="20"/>
          <w:lang w:val="en-US" w:eastAsia="en-US" w:bidi="ar-SA"/>
        </w:rPr>
        <w:t xml:space="preserve"> notes at paragraph 3 of p. 2, the failure of a party to proceed under the correct Rule is an error of form, rather than of substance and I have the discretion to grant relief against such an error by reason of Rule 2(1)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 failure to comply with these rules shall be treated as an irregularity and does not nullify a proceeding, a step taken or any document or order made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respect of the defendants' application to dismiss the notices of appeal for want of prosecution, I agree that the test which I am to apply is the same as that which is applied by the Court of Appeal when it is considering an application by an appellant to reactivate an appeal which has been moved to the inactive list based on the fact that the appellant took no steps upon it within a year of the notice of appeal having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Murphy v. Wynne,</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2008 BCCA 26</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Section 25 of the Court of Appeal Act governs inactive appeals. There is no rigid test on an application to reinstate. The overriding issue has been said to be whether it is in the interests of justice to grant the application: </w:t>
      </w:r>
      <w:r>
        <w:rPr>
          <w:rFonts w:ascii="arial" w:eastAsia="arial" w:hAnsi="arial" w:cs="arial"/>
          <w:i/>
          <w:color w:val="000000"/>
          <w:sz w:val="20"/>
          <w:lang w:val="en-US" w:eastAsia="en-US" w:bidi="ar-SA"/>
        </w:rPr>
        <w:t>Kar Recovery Ltd. v. KDA</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2004 BCCA 503</w:t>
        </w:r>
      </w:hyperlink>
      <w:r>
        <w:rPr>
          <w:rFonts w:ascii="arial" w:eastAsia="arial" w:hAnsi="arial" w:cs="arial"/>
          <w:color w:val="000000"/>
          <w:sz w:val="20"/>
          <w:lang w:val="en-US" w:eastAsia="en-US" w:bidi="ar-SA"/>
        </w:rPr>
        <w:t>. Factors which have been considered by the Court in removing a case from the inactive list are the extent of the delay, any explanation for the delay, the existence of prejudice arising from the delay, and the likelihood of success on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applicant bears the onus of establishing a good reason for reactivating the appeal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conclude that there has been a delay by the plaintiff in regard to both appeals. I am satisfied that there have been no steps taken on his appeals from the assessment of the registrars, even if I assume that that is the proper procedure. Mr. Pearlman's position is that he had not delayed and thus he has not provided any explicit explanation provided for a delay. While Mr. Pearlman may have taken steps with regard to his appeals in the underlying tort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this is insufficient to address why the plaintiff has not proceeded with any steps in regard to pursuing a review of the registrars'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appreciate Mr. Pearlman's point that if he is successful in his appeals on the underlying actions, it may affect whether or not he has to pay costs at all. However, that does not address his lack of progress with regard to these notices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existence of prejudice to the defendants is clear: The defendants have a valid and subsisting order for costs in both these actions and have proceeded to a registrar's assessment and certification of those costs. They are entitled to pursue payment of the costs as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Regarding the merits of the appeal, I am mindful that courts rarely intervene in the assessment of registrars unless there is an error in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respect of Registrar Blok's assessment, I can consider that he undertook a careful review of the bill of costs presented to him as demonstrated by his conclusion that the bill should be reduced by approximately $10,000. The plaintiff simply disagrees with the result. He says that there were costs for disbursements for reports for experts who were not called in evidence, that the disbursements for photocopies were exorbitant, and that Mr. Critchley was not required to give evidence under oath. I do not find that any of those disagreements constitute a meritorious appeal. The defendants are entitled to claim for costs and to receive costs for experts who are not called as witnesses, or not required to be called as witnesses; photocopy disbursements were considered by the registrar and approved, and Mr. Critchley was not required to give evidence under oath in a registrar's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that basis, I conclude that Mr. Pearlman's notice of appeal in respect of Registrar Blok's assessment is unlikely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respect of Registrar Sainty's assessment, the plaintiff says, first and foremost, that she had no jurisdiction to consider the bill of costs, and he says that the assessments which were made of costs were excessive and without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satisfied that Registrar Sainty had jurisdiction to consider the defendants' bill of costs. She was aware that the court had ordered that costs were payable by the plaintiff to the defendants. She had a copy of the form of order which had been agreed to, and it was only the entered copy of the order which was not before her. I am satisfied that she had jurisdiction based on the court's order that costs were payable by the plaintiff and that the form of order was agreed to. There was a delay in receiving the entered order. That is insufficient, in my view, to oust her jurisdiction to proceed with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respect of the disagreements by the plaintiff regarding specific matters before Registrar Sainty, I reach the same conclusion as I did in respect of his disagreements with the assessment of Registrar Blok; this does not mean that the appeals are meritorious.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in the interests of justice that the proceedings before the courts conclude and specifically these proceedings related to the orders for costs payable by the plaintiff in these two actions. The Rules require the parties to proceed without undue delay, and in this case, I have specifically found that Mr. Pearlman has engaged in unexplained delay. He has not satisfied the onus of establishing a good reason why these appeals should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therefore dismiss the notices of appeal of Registrars Blok and Sainty's assessments filed by the plaintiff in both actions. For clarification, I also dismiss Mr. Pearlman's application for review of the assessments.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I do not have an application for a stay of proceedings, and in any event, there is no stay in this matter. I have dismissed the notices of appeal, so there is nothing for me to stay. Mr. Pearlman's comments on how the procedure ought to occur do not require my consideration. Mr. Critchley suggested that if Mr. Pearlman wishes to seek an order that the defendants not proceed with enforcement of their costs order, he is free to do so. There is no such application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are entitled to their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1"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Perry v. Eisen, [2000] B.C.J. No. 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Morrison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8 - 12, 15, 19, 22 - 26, 29 - 31,</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April 1 and 12 - 14, 1999.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10,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C942015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28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25</w:t>
      </w:r>
    </w:p>
    <w:p>
      <w:pPr>
        <w:spacing w:before="120" w:line="260" w:lineRule="atLeast"/>
        <w:rPr>
          <w:lang w:val="en-US" w:eastAsia="en-US" w:bidi="ar-SA"/>
        </w:rPr>
      </w:pPr>
      <w:r>
        <w:rPr>
          <w:rFonts w:ascii="arial" w:eastAsia="arial" w:hAnsi="arial" w:cs="arial"/>
          <w:color w:val="000000"/>
          <w:sz w:val="20"/>
          <w:lang w:val="en-US" w:eastAsia="en-US" w:bidi="ar-SA"/>
        </w:rPr>
        <w:t>Between Mary Joan Perry, a.k.a. Mary Joan Cook, plaintiff, and Dr. Andrew Eisen, Dr. Bruce Noble, Dr. D.V. Morris, Dr. D.H. Hsu, Dr. Gillian Gibson, Dr. Jean Murdoch, Seymour Medical Clinic and Vancouver General Hospital,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2" style="position:absolute;z-index:25168588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77" w:name="Keywords_26"/>
      <w:bookmarkEnd w:id="177"/>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Failure to diagnose an illness — Standard of care.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8" w:name="Case Summary_25"/>
            <w:bookmarkEnd w:id="17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Perry against Eisen for malpractice. On November 10 1992, Perry underwent urgent surgery for removal of a tumour in her spinal cord. She became an incomplete quadriplegic, with use of her arms and legs, and was able to walk without assistance. She suffered permanent spinal cord damage and chronic pain. She was deemed permanently disabled, was on disability pension and unable to return to her former job. Early in 1992, Perry began to develop symptoms of clumsiness and weakness in her hands and forearms. She sought the medical advice of several doctors and eventually was assessed by Eisen. Eisen did an electromyogram test and made an initial diagnosis that she was suffering from brachial neuritis. Eisen then ordered a CT scan. It subsequently became apparent that Eisen's initial diagnosis was incorrect and that Perry actually suffered from a slow growing, benign tumour which could have gone for months or years undetected. Upon Perry's second visit to Eisen it was apparent that her condition had worsened. Eisen then referred Perry to a colleague who recommended that the lesion be removed as quickly as possible. Perry claimed that as a result of the misdiagnosis, her neurological deficits deteriorated, her surgery was delayed and her post-surgical outcome was significantly worse than it would have been had Eisen made the correct diagnosis. </w:t>
            </w:r>
            <w:r>
              <w:rPr>
                <w:lang w:val="en-US" w:eastAsia="en-US" w:bidi="ar-SA"/>
              </w:rPr>
              <w:cr/>
            </w:r>
          </w:p>
          <w:p>
            <w:pPr>
              <w:spacing w:before="120" w:line="260" w:lineRule="atLeast"/>
              <w:ind w:left="240"/>
              <w:jc w:val="both"/>
              <w:rPr>
                <w:lang w:val="en-US" w:eastAsia="en-US" w:bidi="ar-SA"/>
              </w:rPr>
            </w:pPr>
            <w:bookmarkStart w:id="179" w:name="Holdings of Court_23"/>
            <w:bookmarkEnd w:id="179"/>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Perry did not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Eisen did not, in either his treatment or consultation with Perry, fall below the standard of care required or expected of a specialist in his field of neurology. There was no evidence to suggest his treatment and assessment amounted to a practice that was unsafe or dangerous. He exercised the reasonable degree of skill and care and caution as was expected of someone with his expertise and background. </w:t>
            </w:r>
            <w:r>
              <w:rPr>
                <w:lang w:val="en-US" w:eastAsia="en-US" w:bidi="ar-SA"/>
              </w:rPr>
              <w:cr/>
            </w:r>
          </w:p>
          <w:p>
            <w:pPr>
              <w:rPr>
                <w:lang w:val="en-US" w:eastAsia="en-US" w:bidi="ar-SA"/>
              </w:rPr>
            </w:pPr>
          </w:p>
        </w:tc>
      </w:tr>
    </w:tbl>
    <w:p>
      <w:pPr>
        <w:jc w:val="both"/>
        <w:rPr>
          <w:lang w:val="en-US" w:eastAsia="en-US" w:bidi="ar-SA"/>
        </w:rPr>
      </w:pPr>
      <w:bookmarkStart w:id="180" w:name="Counsel_26"/>
      <w:bookmarkEnd w:id="18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3" style="position:absolute;z-index:2517370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Edward Lyszkiewicz, for the plaintiff. W.J. McJannet and Kimberley J. Brown, for the defendant, Dr. Andrew Eisen.</w:t>
      </w:r>
      <w:r>
        <w:rPr>
          <w:lang w:val="en-US" w:eastAsia="en-US" w:bidi="ar-SA"/>
        </w:rPr>
        <w:cr/>
      </w:r>
    </w:p>
    <w:p>
      <w:pPr>
        <w:spacing w:after="240"/>
        <w:rPr>
          <w:lang w:val="en-US" w:eastAsia="en-US" w:bidi="ar-SA"/>
        </w:rPr>
      </w:pPr>
      <w:bookmarkStart w:id="181" w:name="Judgment_26"/>
      <w:bookmarkEnd w:id="181"/>
      <w:r>
        <w:pict>
          <v:line id="_x0000_s1154" style="position:absolute;z-index:25178828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2" w:name="MORRISON J._0"/>
            <w:bookmarkEnd w:id="182"/>
            <w:r>
              <w:rPr>
                <w:rFonts w:ascii="arial" w:eastAsia="arial" w:hAnsi="arial" w:cs="arial"/>
                <w:b/>
                <w:color w:val="000000"/>
                <w:sz w:val="30"/>
                <w:lang w:val="en-US" w:eastAsia="en-US" w:bidi="ar-SA"/>
              </w:rPr>
              <w:t>MORRISON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Mary Joan Cook, commenced an action against the defendants for malpractice following a mis-diagnosis of a medical condition known as cervical intramedullary ependymoma, a benign tumour that grows within the spinal cord. The action proceeded at trial against Dr. Andrew Eisen, the action against the other defendants having been dismissed by consent or by court order. Ms. Cook is 36 years of age, separated from her third husband, with no children, and currently lives with her parents in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November 10, 1992, Ms. Cook underwent urgent surgery for removal of the tumour in her spinal cord. The surgery involved a laminectomy of C-5 to T-1, opening of the spinal cord and removal of the tumour. The plaintiff is now an incomplete quadriplegic, with use of her arms and legs, and able to walk without assistance. She has suffered permanent spinal cord damage, with resultant wasting and weakness in her hands, bi-lateral clawing of her hands, a sensory loss from approximately C-7 to T-7 levels of her spinal cord. She also suffers chronic pain. She has been deemed permanently disabled, is on a disability pension and unable to return to her former job with the Cancer Agency in Vancouver where she was a full-time permanent employee working as a Clerk III in the health records department.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PLAINTIFF'S MEDICAL HISTORY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Medical records produced from January 1978 to January 1999 show Ms. Cook has had varied and somewhat constant medical problems, none of them relative to the ependymoma which was discovered in 1992. The earlier records do show that she attended her own general practitioner on many occasions, sometimes 25 or more visits within one year, and that at various times she was referred to specialists for different medical problems that arose. There is no need to go into the medical details of that early history, other than to note that she has had a variety of problems in the past, both physical and apparently stress related.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pertinent year is 1992. On January 13, Ms. Cook had a counselling visit at the medical clinic she attends. The notes indicated a stress reaction to involvement in a physical encounter and she had complained of a sore left axilla and numb left middle finger tip. She next visited the office to see Dr. Noble on February 12, 1992, again counselling noted and multiple stresses in her life. On February 19, another office visit with Dr. Noble, unrelated to the matters that brought her to court. She was apparently off work for some time in February, and on her office visit on February 27 to see Dr. Noble, it was determined she was fit to return to work on March 3. On March 4, there was another office visit with Dr. Noble, and again counselling for various stresses in her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testifying, Ms. Cook gave evidence that around March 1992, she began to develop clumsiness and weakness in her right hand, and noticed itchy feelings, pins and needles on the back of the right forearm. However, there is no mention of that in her office visits in March. She had been to see Dr. Noble on March 11, was referred to a psychiatrist, given Valium to help with her sleep, and on March 24, 1992, the visit to the doctor dealt mainly with stresses, some of which revolved around her upcoming wedding. She telephoned the doctor's office on April 2 for Ventolin; Ms. Cook suffers from asthma. Then on April 7, she visited the psychiatrist with regard to stresses at work and with regard to her upcoming wedding. There was a telephone request to the doctor's office on April 9, 1992, for Valium, and another visit with the psychiatrist on April 27. Another visit to the psychiatrist on May 12 before the wedding and then on June 3, after the wedding. The history of stress was indicated in the doctor's notes, but nothing with regard to problems with her right hand or arm. The plaintiff testified that problems with her hand, holding utensils and a cigarette, improved in May while she was on her honeymoon, but began to get worse when she returned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was not until June 8, 1992, when seeing Dr. Noble, her regular general practitioner, that Ms. Cook complained of symptoms in her right hand and arm. His notes indicate that there had been weakness in her right wrist for two months, it had improved briefly on rest after the wedding, but was worse now with work. She could not forcefully adduct her fingers on the right hand, and could not extend her carpals strongly. There was a tingling with the right carpal palpation and metacarpal palpitation. Her neck, shoulder and elbow were found to be normal, plus some extensor tendonitis of the elbow. Dr. Noble prescribed a wrist splint and told her to come back in two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Cook returned on June 10, and an x-ray of the wrist joint was taken. It was normal. Dr. Noble's note indicated the wrist was intolerant of the tensor, but had slightly better lumbrical function. He referred her to an occupational therapist for a proper splint.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Two days later, Ms. Cook returned and saw Dr. Hsu, who diagnosed tendonitis. He noted tender extension of the lower right arm, especially on forced extension, tender extension of the lower right wrist, especially on forced extension, her right hand was sensitive to touch and the hand grip was not bad, although there was some pain. A painkiller was prescribed. She returned four days later on June 16 to see Dr. Hsu and his note was that her arm was better and he referred her to physiotherapy. His note was that there was no significant pain on movement and that the arm was better.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June 17, 1992, Ms. Cook saw Dr. Morris, another clinic physician. He noted a painful dorsum of the right wrist and fingers and trouble extending her fingers. A W.C.B. report was completed.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Beginning June 22, 1992, Ms. Cook began eight physio-therapy sessions at Vancouver General Hospital, the last visit being July 15, 1992. On the assessment that occurred on her first visit, it was noted that she had pain in the right wrist for one and a half weeks described as severe and constant but it had been painful for two months prior to that. The notes said the pain was along the dorsum of the wrist/forearm, tingling in the wrist, unable to fully extend the fingers of her right hand and described her difficulties with some of her day to day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Two days later, she returned to see Dr. Morris and the notes indicate she continued to have a sore right wrist and weakness.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next visit was July 6, to see Dr. Noble. The physio-therapist at V.G.H. had noted the weakness and a marked wasting of the muscles in the palm of her right hand to the fingers. Dr. Noble noted that the pain was less but still pain in the back of her wrist and fingers of her right hand. He also noted that her fingers were not as cramped but the second and third fingers remained weak. The palm muscle-wasting was there, and weak adductors of fingers. It was on this visit that Dr. Noble arranged for Ms. Cook to see Dr. Andrew Eisen, a neurologist,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first of the two visits that the plaintiff made to Dr. Eisen occurred on July 17, 1992. At that visit, Dr. Eisen's associate took the initial history and did the initial testing and examination, and Dr. Eisen then joined his associate and Ms. Cook and repeated some of the history, the physical examination and the testing. He did an electromyogram (EMG) test. His notes indicated that she had a four month history of paraesthesia in her right forearm and weakness in her right hand. She had had a gradual development of itchy pins and needles feelings in the back of her right forearm. There were no symptoms in the upper part of her arm, shoulder or neck region. She felt the pain had improved 50 per cent, but the weakness had remained unchanged. Her reflexes in her upper extremities were normal. She was having trouble holding utensils in her right hand, and a cigarette. The splints and physiotherapy had improved her pain, but the weakness continued. She had been off work for five weeks because of the problem. There was suggested intrinsic muscle weakness with diminished adduction of the fingers as well as thenar wasting with significant or dramatic weak abduction of the thumb. Her wrist extensors were reasonably well maintained, the finger extensors were weak, and there was no evidence of tenderness above the shoulder and neck region. The EMG examination showed changes of denervation involving muscles innervated by the radial median and ulnar nerves of the right distal upper extremity. Dr. Eisen felt that these changes, along with absent F waves in the median and ulnar nerves were consistent with a proximal lesion.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Eisen made an initial working diagnosis that Ms. Cook was suffering from brachial neuritis, with possibly a nerve root compression or compression of the brachial plexus itself. Brachial neuritis is an inflammatory condition that becomes better in time. He ordered a CT scan of the right brachial plexus as a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Robert Keyes, one of the neurologists called at the trail, set out in his report a detailed explanation of brachial plexus and brachial plexitis (also referred to as brachial neuritis),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brachial plexus is that anatomic area lying between the neck and the shoulder and extending into the . . . armpit in which the nerves arising from the cervical spine reorganise themselves prior to entering the upper limb. The cervical nerve roots are the nerve fibres which leave the cervical spinal cord at a specific level and exit through bony spaces to enter the brachial plexus and thence the arms. Idiopathic brachial plexitis is a condition of unknown cause which most commonly occurs in young adults and may or may not follow a viral infection. The symptoms develop over a variable period of time and the symptoms are those of pain, weakness, numbness and tingling and wasting. The development of any or all of those symptoms is variable from patient to patient and the location of the symptoms and signs depends on the part of the brachial plexus which becomes involved in this process. The condition is felt to be of infectious, post-infectious or inflammatory origin. The condition is usually heralded by symptoms of pain in the distribution of the brachial nerves involved and symptoms of numbness, tingling, weakness and wasting may or may not develop and if they do they may not be evident for a considerable period of time following the onset of the initial pain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CT scan was done August 13, 1992, and was normal, ruling out a lesion. In Dr. Eisen's consultation report to Dr. Noble, Dr. Eisen indicated that he would be sending copies of the CT scan report, as well as hearing from him again when the results of the CT scan were in. There was no further report to Dr. Noble following the results of the CT scan. Dr. Eisen and at least two experts called on his behalf at the trial said that where test results are normal, a follow up report is not usually sent. If the results had been abnormal, a report would have followed. I accept that evidence and find there was nothing unusual or negligent in failing to send a follow up letter in these circumstances.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HISTORY OF THE INTRAMEDULLARY EPENDYMOMA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subsequently became obvious that Dr. Eisen's initial diagnosis of brachial neuritis was a mis-diagnosis. However, experts called, including the expert called on behalf of the plaintiff, Dr. Ted Rothstein, acknowledged that Dr. Eisen's initial diagnosis on July 17 was a reasonable one, given the limited symptoms that were present at that time. In my view, based on all the evidence, the initial diagnosis was a reasonable one under the circumstances, and Dr. Eisen acted well within the standard of care recognised for a specialist in his field with regard to this early diagnosis.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fact, the plaintiff had an intramedullary ependymoma, a slow-growing, benign tumour, which can go months or years undetected. It is an unusual tumour, called rare by more than one expert at the trial. Although it is benign, it must be removed or it keeps growing with relentless progress, compromising dramatically the spinal cord within which it is growing. The majority of spinal cord tumours are extrinsic, that is, outside the spinal cord, and therefore easier to detect. The best diagnostic tool to detect an ependymoma is an MRI (magnetic resonance imaging), and once detected, surgery necessarily follows. This surgery is also extremely risky, one of the risks being that the patient can end up a quadriplegic, which is what occurred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to the July 17 visit to Dr. Eisen, the plaintiff pleads that Dr. Eisen failed to monitor her appropriately, and arrange for a timely follow up visit, in spite of the fact that he was concerned about his diagnosis and her condition. The evidence of Dr. Eisen is that he advised Ms. Cook that if things got worse, she was to come back and see him. Ms. Cook does not recall this being said to her. Nor does the evidence of Ms. Cook or her mother agree with Dr. Eisen's evidence that he spoke to both of them about the diagnosis. What is acknowledged by both parties is that no follow up appointment was arranged at that time. Dr. Eisen testified that while he was concerned about the condition, he was somewhat comforted by the fact that there had been a 50 per cent improvement or reduction in the pain, related by the plaintiff on her July 17 visit.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Five days after that visit to Dr. Eisen, on July 22, Ms. Cook visited Dr. Hsu at the clinic. He noted that she had discontinued physiotherapy but had an increase in the sensation of pins and needles. The CT scan was then performed on August 13 with normal findings. The next visit was to Dr. Morris at the clinic on August 20, 1992. His notes indicate a two month history of hand cramping and pain in the right hand and forearm, worse in the morning and at night, with numbness and tingling dorsally. He noted that she had been to see Dr. Eisen, and that there was a diagnosis of brachial neuritis, and the CT scan was normal. Still pain and tingling over the back of her right hand, and deformity with muscle-wasting. Dr. Ocana was also present at that appointment, and Ms. Cook testified that at the end of the appointment, Dr. Ocana took her to the front desk where they arranged another appointment with Dr. Eisen's office, for sometime in August.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That late summer appointment with Dr. Eisen never took place. Ms. Cook testified that a few days before this appointment, she received a call from Dr. Eisen's office to remind her of the appointment. During this call, she recalls that she expressed her desire to find out just what brachial neuritis was because she did not understand the term. She testified that a short time later, Dr. Eisen's office called again and she was told that she should ask her family doctor to explain the diagnosis and that her appointment with Dr. Eisen was cancelled.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What, if anything, happened to that second appointment and when exactly was it supposed to be? I believe the plaintiff in her account with regard to those two telephone calls. I also believe Dr. Eisen's evidence that he had no knowledge whatsoever of those two telephone calls, and that no one in his office had any authority to cancel such an appointment. It is impossible to say what occurred. Were there crossed signals in Ms. Cook speaking to someone at Dr. Eisen's office? Even if she had stated that she just wanted an explanation of a term, it would not have been appropriate for someone at the office to cancel an appointment. Ms. Cook has an acknowledged faulty memory, and there is nothing in any of the doctor's records with regard to this other appointment. Just what did occur? I am unable to say. Ms. Cook did nothing to follow up with either her own doctor or Dr. Eisen on this other appointment, and based on the evidence, I am of the view that what may or may not have occurred as to this appointment does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failure to meet the required standard of care on the part of Dr. Eisen at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next doctor's visit by Ms. Cook was to see Dr. Morris on September 2, 1992, to have a form filled out. She then saw Dr. Noble one week later, September 9. His records indicate that the CT scan had been normal, and there was a diagnosis from Dr. Eisen of brachial neuritis evolving, "may require 6 - 12 months". The note also indicated "tension in right trapezius with tilt, left and right spasm." Valium was prescribed.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Cook visited Dr. Noble again on September 23, and the note was that the neuritis was not improving, and that there was some increase in waves of pain. Approximately three weeks later, October 14, there was another office visit with Dr. Noble and re-referral to the psychiatrist, Dr. Adelman. Ms. Cook visited Dr. Adelman that same day and he noted that there was brachial neuritis of the right hand and that the hand had not been working for three months. Also, that massage therapy was not working.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September 23 visit, Dr. Noble had referred Ms. Cook to a massage therapist whom Ms. Cook saw for eight visits from September 23 to October 27. Ms. Cook found the massage treatments to be extremely painful.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One day after her visit to Dr. Noble on October 14, Ms. Cook returned October 15, to see Dr. Noble again. His notes indicated that she had been on Valium for several weeks, but the pain was worse in the right trapezius, and lateral arm and palm. He also noted pain in her lower dorsum, and "findings now of hypo-thenar atrophy" and "more curling of fingers". It was at this time that Dr. Noble re-referred Ms. Cook to Dr. Eisen and that appointment was set up for October 30, 1992.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day before her visit to Dr. Eisen, on October 29, Ms. Cook had to visit the emergency at Shaughnessy Hospital as she had tripped, injuring her right ankle. She had voiced no other complaints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October 30, 1992, the second visit with Dr. Eisen occurred, and it became very apparent to Dr. Eisen that the patient was clearly getting worse, that not only did she have more pain in her right hand, but the weakness was more widespread, and was beginning to involve proximal as well as distal arm muscles. In addition, she reported that in the last week or two she had begun to notice tingling in the left hand.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Eisen's physical examination and tests of the plaintiff now showed a clear spread of the condition affecting both her left and right side, pointing to a spinal cord lesion. He arranged for an urgent admission to the hospital for an MRI and possible myelogram. This was the last time Dr. Eisen saw Ms. Cook, as he was out of the jurisdiction shortly after that second visit. He referred her to a colleague.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MRI on November 4 showed an intraspinal massive lesion, 4 centimetres in length, consistent with an ependymoma. Ms. Cook was obviously concerned by the diagnosis and was told by the neurosurgeon, Dr. Durity, that the lesion needed to be removed as quickly as possible, and there were substantial risks with this type of surgery. The surgery took place on November 10, 1992, and the pathology report confirmed it was an ependymoma.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Following the surgery, Ms. Cook's neurological deficits deteriorated, and those deficits and her physical disabilities have altered her life dramatically. She is now an incomplete quadriplegic, unemployed, on full-time disability.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PLAINTIFF'S ALLEGATIONS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claims against Dr. Andrew Eisen for medical malpractice as a result of his mis-diagnosis of the intramedullary ependymoma in the summer of 1992. She contends that as a result of that mis-diagnosis, her neurological deficits deteriorated, her surgery was delayed and her post-surgical outcome was significantly worse than it would have been had Dr. Eisen made the correct diagnosis in the first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brings an action for pain and suffering, past wage losses, and future wage loss, future care, and other losses incurred by her as a result of the mis-diagnosis.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Specifically, the plaintiff argues that as Dr. Eisen was concerned about his working diagnosis of brachial neuritis, he failed to do certain testing of Ms. Cook's upper arm and neck which should have been carried out. He failed to test her lower extremities, and carry out various other neurological tests that were called for. Had these tests been done, the plaintiff contends they would have discovered the existence of the tumour.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 the allegation is that Dr. Eisen failed to monitor Ms. Cook and arrange appropriate follow up appointments, despite the fact that he was concerned about his diagnosis and her condition. He should have ordered an MRI at the initial visit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Relying primarily on the evidence of the expert called on behalf of the plaintiff, Dr. Rothstein, the plaintiff argues that by the time surgery took place, her condition had deteriorated to such an extent that she had developed significant neurological deficits and the significance of this is that her ability to tolerate the manipulation which occurred during the surgery to remove the tumour was lessened. This meant that her post-surgical outcome was directly related to the degree of pre-surgical neurological deficits. Had the surgery been performed in August, 1992, the plaintiff contends that she would not have had the neurological deficits and physical disabilities which she now has.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further pleads that in assuming a doctor/patient relationship, Dr. Eisen failed in his duty to attend upon her to properly diagnose her illness and to provide proper care and treatment to her. In so doing, he did not conform with the standard of care incumbent upon him as a specialist in his field of neurology. As a specialist, he has held himself out as holding a special degree of skill and knowledge, and he failed to live up to that standard of professional care.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 AS A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giving her evidence, the plaintiff impressed me as a forthright person, not someone prone to exaggerate. If anything, she almost minimised. However, she was hampered in her evidence by an acknowledged poor memory.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Cook has had a long history with doctors, for a variety of problems, since her teenage years. She has had problems with long term use of marijuana and alcohol, although she began attending Alcoholics Anonymous in January 1997 and has not had a drink since March 1 of that year. There was nothing apparently impairing her giving of evidence at the trial, with the exception of the many times that she was simply not able to recall certain things.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found Ms. Cook to be honest, and likeable. While she seemed to be somewhat passive, she has not hesitated to consult with doctors, sometimes with great frequency, over the years, and I must take that into consideration in assessing the evidence. Tragically, Ms. Cook has suffered from an unusual and debilitating occurrence, a rare tumour that has grown within her spine. She is left with the unfortunate results of that, and her life and lifestyle have been altered dramatically as a result.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EXPERT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were five experts in the field of neurology called at this nineteen day trial: Dr. Ted Rothstein who testified on behalf of the plaintiff; and on behalf of the defendant, Dr. John Girvin, Dr. Charles Bolton, Dr. Michael Boyd, and Dr. Robert Keyes. The reports of the experts were exhaustive and their evidence was comprehensive.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Rothstein, a neurologist, from Seattle, Washington, has been in private practice in the field of neurology since 1970, and certified as a neurologist in the United States since 1975. He is currently a Clinical Associate Professor in the Department of Neurology at the University of Washington in Seattle, with experience in his field internationally. Dr. Rothstein has an impressive curriculum vitae. He has never practised medicine or, more particularly, neurology in British Columbia or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Rothstein testified there was considerable support for his opinion that for patients with an intramedullary ependymoma, the post-operative outcome was directly dependent on the pre-operative neurological status of the patient. That the better the patient's condition, the less the neurological symptoms, the fewer the neurological findings, then the better the outcome after surgery. He relied on certain medical literature to support his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Rothstein further testified he believed Dr. Eisen should have gone further in his first visit with the plaintiff. Instead of telling her to come back if the condition worsened, Dr. Rothstein stated his opinion was the Dr. Eisen should have made a specific appointment for the plaintiff to come back and be re-evaluated. He further testified that had a follow-up visit been arranged, and the plaintiff showed progression, then an MRI would have been clearly indicated, and at that point, surgery would have been done three months earlier.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However, in cross-examination, Dr. Rothstein agreed that at that point, at the time of the first visit by the plaintiff to Dr. Eisen, there was not a compelling indication to proceed with additional investigation looking for a spinal cord tumour. He also agreed on cross-examination that if the patient's pain was indeed getting better, even though the pain was presumably caused by something in the spinal cord, that would lead away from a diagnosis of a progressive condition in the spinal cord. Dr. Rothstein in his practice has had one patient with a spinal cord ependymoma. All of the experts who testified, including Dr. Rothstein, were senior specialists in neurology who had limited dealings in their practice with this unusual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evidence does not establish that had Dr. Eisen re-examined the plaintiff two to four weeks after his first visit with her, he would have recognised progression in her condition, as Dr. Rothstein suggests. I find under the circumstances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failure on the part of Dr. Eisen to adhere to the recognised standards of care at this stage.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were portions of Dr. Rothstein's written reports and his direct examination there were effectively challenged under cross-examination, and on the whole, I found the evidence of the experts called on behalf of the defendant more reliable.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Robert Keyes, who practises neurology and clinical neurophysiology at St. Paul's hospital, Vancouver, has practised neurology since 1984. He has encountered similar ependymomas three time in his practice.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His view of the plaintiff's symptoms is that she felt no real change between July and October, and by October her symptoms still appeared mild. In his opinion, the initial diagnosis of brachial plexitis was: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 . a perfectly reasonable and appropriate diagnosis to make at the time of the initial neurological assessment. Given the patient's history of persistent but non-progressive right hand and forearm pain, given the absence of any symptoms outside of the distal or lower portion of the right upper limb and given the improvement of the patient's symptoms following her initial physiotherapy, there is absolutely no basis upon which any other clinical neurological could have been made at the time of the initial neurological assessment. It is of note that at the time of the initial neurological assessment, the somewhat atypical presentation of her symptoms was clearly appreciated and for that reason arrangements were made for this patient to undergo a CT scan of the cervical spine and brachial plexus regions.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His report plus other evidence at the trial also reminded us that in 1992 in British Columbia there were very few MRI units available, and that given that there was little or no evidence at that time of any abnormality within the spinal cord, this patient would possibly have been denied an MRI scan at that time, in the summer of 1992. He also believed there was nothing up to that point in the plaintiff's history which would have warranted her admission to hospital in order to expedite an MRI scan, to avoid the probable six months on a waiting list that existed for an MRI around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was Dr. Keyes' opinion that whether the tumour was identified and removed in May, 1992, when she first developed right hand and forearm symptoms, or November 1992, when the surgery did occur, the ultimate surgical outcome would have been in all probability exactly the same. Dr. Keyes pointed to the very slow progression of growth of an ependymoma and the absence of neurological symptoms over that period of time with regard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Charles Bolton is a Professor Emeritus of neurology and medicine in the Department of Clinical Neurological Sciences at the University of Western Ontario in London, Ontario. He also continues doing clinical neurology. Based on records and information provided by counsel for the defendant, and factual assumptions that were accepted, it was the opinion of Dr. Bolton that the approach and evaluation by Dr. Eisen was "exemplary, and the neurological examination itself was quite appropriate for the symptoms." He found the appropriate reflexes were tested, and all the necessary procedures were done. He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 . in retrospect, it would have been informative to have done needle EMG of more proximal muscles in the limb and the muscles in the neck, which would have further helped to localise the lesion to the brachial plexus or to a location within the spine. However, the electromyographer is always faced with the dilemma of doing further needle EMG studies to gain further information, or limiting them in a patient who finds them quite uncomfortable.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Counsel for the plaintiff had argued that these further tests should have been done and that not to do them was a further indication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Eisen. The evidence would not lead me to uphold that argument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Bolton felt that Dr. Eisen did the appropriate tests, that the working diagnosis of brachial neuritis was a reasonable one under the circumstances, and that if the original CT scan had been negative and the patient had failed to improve or had worsened, then re-assessment and ordering of an MRI scan would have been indicated, as was done in November 1992.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Bolton was asked if, in his opinion, the result for the plaintiff would have been different if she had been diagnosed and operated on in early or mid-September 1992. His reply was that this would require retrospective analysis, and from the scientific point of view could not be answered. His opinion was that it probably would not have, that is, that earlier surgery would not have necessarily have improved the outcome. He repeated that these tumours are "exceptionally rare" and often go undiagnosed for months or years. Further, that it is only when spinal cord symptoms appear that the correct diagnosis is arrived at. This often does not occur until the patient has severe weakness in the legs and bladder dysfunction. His conclusion was that the plaintiff had received excellent care by Dr. Eisen, in his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Michael Boyd specialises in the practice of neurological surgery, having practised for 11 years as a neurologist. During that time, he has dealt with 75 lesions, 15 of which were intramedullary. He also was of the view that the primary diagnosis of brachial neuritis was an acceptable one at the time it was made. He was further of the opinion it was an appropriate plan to have the plaintiff get in touch with Dr. Eisen after the first visit if anything were to change, or if she were to become worse in any way, that she return for re-evaluation.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Boyd testified in his report that the plaintiff had not identified or been aware of any new neurological abnormalities up to the time of her second visit with Dr. Eisen in October 1992, other than she was experiencing an increase in pain. In October, Dr. Eisen did identify new neurological abnormalities, even though they did not appear to be causing Ms. Cook any disability at that time. It was the opinion of Dr. Boyd that because the ependymoma is such a slow-growing tumour, it would be extremely unlikely that the size of the tumour would have changed significantly between the time of Dr. Eisen's first consultation in July to the removal of the tumour in early November. In his opinion, "It is therefore very unlikely the neurological injury occurring from the surgical removal that resulted in her subsequent symptoms, could have been avoided." It was Dr. Boyd's opinion that Dr. Eisen had made an appropriate preliminary diagnosis, had arranged for appropriate radiological investigations at the time of the first consultation, and then upon the second consultation, Dr. Eisen "proceeded in a timely fashion to verify the diagnosis radiologically with an MRI." This had led to the successful removal of the tumour, but Dr. Boyd felt that the deficits that occurred after surgery would have occurred even if the tumour had been diagnosed and removed in July 1992.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John Girvin is a Professor of Neurosurgery in the Department of Clinical Neurological Sciences in London, Ontario. He has been accredited as a neurosurgeon in Canada since 1967 and enjoys an international reputation in his field. It is the neurosurgeons who operate on these tumours, and counsel for the defence contends that it is the neurosurgeons who are in the best position to comment on possible outcomes after surgery, rather than neurologists. In assessing all the evidence, I found Dr. Girvin's testimony to be particularly persuasive.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 detailed review of the plaintiff's medical history, Dr. Girvin noted in his report that there were a number of features which were not characteristic of a spinal tumour in this patient. For example, it was not until July 17, 1992, that she had any neck pain noted, and yet on November 2, when she was admitted to the hospital, the plaintiff denied having any neck or back pain. Dr. Girvin found this most unusual, and said he could not remember ever having seen a patient with a spinal tumour in the cervical region who did not have neck or proximal arm pain of some kind. He found that without evidence of spinal pain, bilateral symptomatology, or long tract signs, that one would be "on very uncertain ground with respect to making any diagnosis of a spinal cord tumour."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was Dr. Girvin's opinion that the plaintiff was in all probability one of the unfortunate persons who suffers problems as a result of the surgery and he found that this was acknowledged by Dr. Durity in his post-operative notes in which he noted that she had an enhancement of her pre-operative deficits.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Girvin's report concluded by saying: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do not believe that the timing of the diagnosis of this lady's tumour had any part to play in her current deficits. In my opinion even if the diagnosis had been made earlier e.g. August or September, I do not believe that the intervening two months was of any significance with respect to the deficits which Ms. Perry now harbours.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Girvin did not agree with Dr. Rothstein's conclusions.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have found the evidence of the experts for the defendant compelling. Their evidence confirmed my view after reviewing all the evidence, that Dr. Eisen was in no way negligent, and in no way could he be found to have failed to meet the standard of care of a reasonable and skilled specialist in neurology in his dealings with this plaintiff. Bilateral symptoms are significant in a diagnosis of an intramedullary ependymoma, and it was not until one or two weeks before the October 30, 1992, visit by the plaintiff to Dr. Eisen that she noticed any signs in her left hand. These were duly reported to Dr. Eisen on October 30, at which time he made the correct diagnosis and arranged for an immediate and appropriate MRI and treatment for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Eisen himself has practised in the field of neurology for 40 years, and he has impressive credentials in his field. I found him to be a modest, somewhat self-effacing witness, but candid. I also found him to be credible.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Some of the authorities cited by counsel dealt with cases where it would be incumbent upon the medical practitioner to monitor a patient, and even in those cases, it has been found that the doctor is not obliged to chase or hunt down a patient in order to continue treatment or do a re-evaluation. The courts have found that to find that the standard of care has fallen below the expected duty of care should only be done in clear cases where the evidence clearly upholds such a finding. That is not the case here. Dr. Eisen did not, in either his treatment or consultation with the plaintiff, fall below the standard of care required or expected of a specialist in his field of neurology. I find no breach of the standard of care by Dr. Eisen, which had any causal connection to the condition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tragic circumstances in which the plaintiff finds herself in now are cause for enormous sympathy. But the blame for her condition cannot be laid at the door of Dr. Eisen but, rather, on a rare and debilitating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Dr. Eisen performed in a manner consistent with the standard and recognised practice followed by other specialists in his field of neurology. There is no evidence to suggest his treatment and assessment of the plaintiff amounted to a practice that was unsafe or dangerous. In fact, the evidence establishes he exercised the reasonable degree of skill and care and caution, as would be expected of someone with his expertise and background. As was stated by Madam Justice Kirkpatrick in the May 30, 1996 decision of Van Mol v. Ashmore et al, </w:t>
      </w:r>
      <w:hyperlink r:id="rId391" w:history="1">
        <w:r>
          <w:rPr>
            <w:rFonts w:ascii="arial" w:eastAsia="arial" w:hAnsi="arial" w:cs="arial"/>
            <w:i/>
            <w:color w:val="0077CC"/>
            <w:sz w:val="20"/>
            <w:u w:val="single"/>
            <w:shd w:val="clear" w:color="auto" w:fill="FFFFFF"/>
            <w:lang w:val="en-US" w:eastAsia="en-US" w:bidi="ar-SA"/>
          </w:rPr>
          <w:t>[1996] B.C.J. No. 1199</w:t>
        </w:r>
      </w:hyperlink>
      <w:r>
        <w:rPr>
          <w:rFonts w:ascii="arial" w:eastAsia="arial" w:hAnsi="arial" w:cs="arial"/>
          <w:color w:val="000000"/>
          <w:sz w:val="20"/>
          <w:lang w:val="en-US" w:eastAsia="en-US" w:bidi="ar-SA"/>
        </w:rPr>
        <w:t>, Vancouver Registry No. C921169, page 52,: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law does not impose a standard of perfection upon doctors. They cannot be expected to be the predictors of the rare and exceptional occurrence."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Hindsight and the more available facilities of MRI in 1999 might lead us to think that Dr. Eisen should have ordered an MRI regardless, and that that would have detected the ependymoma. But these events occurred in 1992, when referral to an MRI was anything but routine. MRIs were few and far between then in British Columbia, and the neurological indications, the symptoms, were not evident to lead Dr. Eisen or anyone else in July or August of 1992 to conclude a tumour might be growing within the plaintiff's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onus is on the plaintiff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onus has not been met.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claim is dismissed. Costs may be spoken to at a later date.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MORRISON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P.J.M. v. Hardwick, [2000] B.C.J. No. 1867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Dillon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26,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15,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C966546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1867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1362</w:t>
      </w:r>
    </w:p>
    <w:p>
      <w:pPr>
        <w:spacing w:before="120" w:line="260" w:lineRule="atLeast"/>
        <w:rPr>
          <w:lang w:val="en-US" w:eastAsia="en-US" w:bidi="ar-SA"/>
        </w:rPr>
      </w:pPr>
      <w:r>
        <w:rPr>
          <w:rFonts w:ascii="arial" w:eastAsia="arial" w:hAnsi="arial" w:cs="arial"/>
          <w:color w:val="000000"/>
          <w:sz w:val="20"/>
          <w:lang w:val="en-US" w:eastAsia="en-US" w:bidi="ar-SA"/>
        </w:rPr>
        <w:t>Between P.J.M., D.C., B.W., D.M., and J.F., plaintiffs, and Joseph Grant Hardwick, Salloum Doak, Clint Docken, Clint Docken Professional Corporation and Docken Gould Laws Stephan, defendants, and Joseph Grant Hardwick and Salloum Doak,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6" style="position:absolute;z-index:2516869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83" w:name="Keywords_27"/>
      <w:bookmarkEnd w:id="18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Joint and concurrent tortfeasors — Elements of joint liability — Joint tortfeasors — Release of one, effect of — Principal and agent.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84" w:name="Case Summary_26"/>
            <w:bookmarkEnd w:id="18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plaintiffs, PJM, DC, BW, DM and JF, to amend the writ of summons and statement of claim in order to reflect a settlement between them and the defendant, Hardwick, and the third party, Doak. The defendants, Docken and Hardwick, were lawyers. Docken, who practiced in Calgary, had been approached by the plaintiffs to commence an action against their father for sexual abuse. Docken retained Hardwick to commence the action in British Columbia, as that was the appropriate forum for the action. The parties settled the action by consent judgment. The plaintiffs alleged that Hardwick failed to secure assets quickly enough to recover on their claim. They brought an action against Docken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as well as breach of their retainer agreement. They claimed that he continued to act as counsel after Hardwick was hired and failed to properly advise them that Hardwick was not acting expeditiously. They also argued that he failed to supervise Hardwick or terminate the agency in a timely manner. They argued that the claims against Docken were independent of those against Hardwick. Docken argued that he and Hardwick were joint tortfeasors and he was entitled to a dismissal of the claim against him. </w:t>
            </w:r>
            <w:r>
              <w:rPr>
                <w:lang w:val="en-US" w:eastAsia="en-US" w:bidi="ar-SA"/>
              </w:rPr>
              <w:cr/>
            </w:r>
          </w:p>
          <w:p>
            <w:pPr>
              <w:spacing w:before="120" w:line="260" w:lineRule="atLeast"/>
              <w:ind w:left="240"/>
              <w:jc w:val="both"/>
              <w:rPr>
                <w:lang w:val="en-US" w:eastAsia="en-US" w:bidi="ar-SA"/>
              </w:rPr>
            </w:pPr>
            <w:bookmarkStart w:id="185" w:name="Holdings of Court_24"/>
            <w:bookmarkEnd w:id="185"/>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Docken did not have an independent role giving rise to several liability. The only relationship alleged between Docken and Hardwick was one of principal and agent. They were joint concurrent tortfeasors. The release of Hardwick by the plaintiffs also released Docken. </w:t>
            </w:r>
            <w:r>
              <w:rPr>
                <w:lang w:val="en-US" w:eastAsia="en-US" w:bidi="ar-SA"/>
              </w:rPr>
              <w:cr/>
            </w:r>
          </w:p>
          <w:p>
            <w:pPr>
              <w:rPr>
                <w:lang w:val="en-US" w:eastAsia="en-US" w:bidi="ar-SA"/>
              </w:rPr>
            </w:pPr>
          </w:p>
        </w:tc>
      </w:tr>
    </w:tbl>
    <w:p>
      <w:pPr>
        <w:jc w:val="both"/>
        <w:rPr>
          <w:lang w:val="en-US" w:eastAsia="en-US" w:bidi="ar-SA"/>
        </w:rPr>
      </w:pPr>
      <w:bookmarkStart w:id="186" w:name="Legislation Cited_18"/>
      <w:bookmarkEnd w:id="18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57" style="position:absolute;z-index:2517381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18, 18(6), 19, 24(1), 35(1), 35(4).</w:t>
      </w:r>
      <w:r>
        <w:rPr>
          <w:lang w:val="en-US" w:eastAsia="en-US" w:bidi="ar-SA"/>
        </w:rPr>
        <w:cr/>
      </w:r>
    </w:p>
    <w:p>
      <w:pPr>
        <w:keepNext/>
        <w:spacing w:before="240" w:line="340" w:lineRule="atLeast"/>
        <w:rPr>
          <w:lang w:val="en-US" w:eastAsia="en-US" w:bidi="ar-SA"/>
        </w:rPr>
      </w:pPr>
      <w:bookmarkStart w:id="187" w:name="Counsel_27"/>
      <w:bookmarkEnd w:id="18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8" style="position:absolute;z-index:2517893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M.S. Weintraub, for the plaintiffs. D.C. Harbottle and J. McKee, for the defendants, Clint Docken, Clint Docken Professional Corporation and Docken Gould Laws Stephan. P. Doak, for the defendants and third parties, Joseph Hardwick and Salloum Doak.</w:t>
      </w:r>
      <w:r>
        <w:rPr>
          <w:lang w:val="en-US" w:eastAsia="en-US" w:bidi="ar-SA"/>
        </w:rPr>
        <w:cr/>
      </w:r>
    </w:p>
    <w:p>
      <w:pPr>
        <w:spacing w:after="240"/>
        <w:rPr>
          <w:lang w:val="en-US" w:eastAsia="en-US" w:bidi="ar-SA"/>
        </w:rPr>
      </w:pPr>
      <w:bookmarkStart w:id="188" w:name="Judgment_27"/>
      <w:bookmarkEnd w:id="188"/>
      <w:r>
        <w:pict>
          <v:line id="_x0000_s1159" style="position:absolute;z-index:25184051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9" w:name="DILLON J."/>
            <w:bookmarkEnd w:id="189"/>
            <w:r>
              <w:rPr>
                <w:rFonts w:ascii="arial" w:eastAsia="arial" w:hAnsi="arial" w:cs="arial"/>
                <w:b/>
                <w:color w:val="000000"/>
                <w:sz w:val="30"/>
                <w:lang w:val="en-US" w:eastAsia="en-US" w:bidi="ar-SA"/>
              </w:rPr>
              <w:t>DILLON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have applied pursuant to Rule 24(1) and Rule 35(1) and (4) to amend the writ of summons and statement of claim to reflect that a settlement has been reached with the defendants, Joseph Grant Hardwick ("Hardwick") and Salloum Doak. This amendment is requested to comply with the recommended course of action set out by Wood, J.A. in British Columbia Ferry Corp. v. T &amp; N plc </w:t>
      </w:r>
      <w:hyperlink r:id="rId121" w:history="1">
        <w:r>
          <w:rPr>
            <w:rFonts w:ascii="arial" w:eastAsia="arial" w:hAnsi="arial" w:cs="arial"/>
            <w:i/>
            <w:color w:val="0077CC"/>
            <w:sz w:val="20"/>
            <w:u w:val="single"/>
            <w:shd w:val="clear" w:color="auto" w:fill="FFFFFF"/>
            <w:lang w:val="en-US" w:eastAsia="en-US" w:bidi="ar-SA"/>
          </w:rPr>
          <w:t>(1995), 16 B.C.L.R. (3d) 115</w:t>
        </w:r>
      </w:hyperlink>
      <w:r>
        <w:rPr>
          <w:rFonts w:ascii="arial" w:eastAsia="arial" w:hAnsi="arial" w:cs="arial"/>
          <w:color w:val="000000"/>
          <w:sz w:val="20"/>
          <w:lang w:val="en-US" w:eastAsia="en-US" w:bidi="ar-SA"/>
        </w:rPr>
        <w:t xml:space="preserve"> at 122 (C.A.). There, the third parties sought judgment in respect of the defendants' claims for contribution and indemnity because the plaintiff had agreed to waive any claim against the defendants for damages caused or contributed to by the fault of the third parties. Wood, J.A. said that the waiver should form part of the pleadings so that the trial judge could properly determine what fault, if any, should fall upon the defendants. There was no issue about a release in that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Clint Docken, Clint Docken Professional Corporation and Docken Gould Laws Stephan (collectively, "Docken") oppose the application and seek an order pursuant to Rules 18 and 19 dismissing the claim against them or, in the alternative, extensive amendments to the statement of claim to reflect the settlement reached with the other defendants. The basis for dismissal of the action against them is that the defendants are joint concurrent tortfeasors such that the release of Hardwick releases Docken.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Docken and Hardwick, are both lawyers. Docken practices in Calgary and Hardwick in Kelowna. Docken was approached by the plaintiffs to commence an action against their father for sexual abuse. Because the proper forum for the action was in British Columbia, Docken retained Hardwick to commence the action in British Columbia and to assume conduct of the action in British Columbia. The action was settled by consent judgment. However, the plaintiffs claim that Hardwick failed to secure assets fast enough to recover on their claim. Docken took no independent action in representing the plaintiffs in matters that Hardwick was conducting in order to avoid duplication of fees. At some point, Docken ceased to be consulted at all. The plaintiffs allege that Docken retained Hardwick as agent to proceed with litigation in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claims against Docken are for breach of retainer agreement,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alleged breaches include: continuation as counsel after British Columbia counsel was hired, failure to realize the limitations of expertise and ability of Hardwick, failure to properly review security documentation sent from Hardwick, failure to initiate settlement discussions sooner, failure to advise that Hardwick was not proceeding expeditiously, failure to terminate Hardwick's agency in a timely manner, failure to supervise Hardwick, and failure to advise that expected legal costs would be exceeded. The plaintiffs say that the claims against the defendant Docken as contained in paragraph 61 of the statement of claim is independent of the claims against Hardwick. This is apparent because Docken charged independent legal fees of which the plaintiffs paid $4,900.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Hardwick for failure to realize on the judgment, failure to settle in a timely manner, failure to properly secure the settlement, failure to advise of error and take timely applications to correct, failure to work appropriately with the receiver, and failure to proceed with a timber licence purchase to effect execution on the settlement.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one allegation of damage arising from Docken's and Hardwick's breach of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and the defendant, Hardwick, executed a release of all claims and settlement agreement shortly before trial was to commence on October 12, 1999. The terms of the release and settlement include: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FURTHER CONSIDERATION of the payment of the sum of money and consideration as aforesaid, the Releasors agree not to seek to recover in the Action or by any other proceedings, any portion of the damages or losses which they claim in the Action which a Court or other tribunal may attribute to the fault of the Releasees. In particular, and without limiting the generality of the foregoing, the Releasors agree not to seek to recover any portion of their damages or losses from the Defendants Clint Docken and Clint Docken Professional Corporation and Docken Gould Law Stephan ("Docken") for which Docken might claim contribution or indemnity from the Releasees under the provisions of any statute or otherwise, in connection with the matters forming the subject of this Release.</w:t>
      </w:r>
    </w:p>
    <w:p>
      <w:pPr>
        <w:spacing w:before="120" w:line="260" w:lineRule="atLeast"/>
        <w:ind w:left="720"/>
        <w:rPr>
          <w:lang w:val="en-US" w:eastAsia="en-US" w:bidi="ar-SA"/>
        </w:rPr>
      </w:pPr>
      <w:r>
        <w:rPr>
          <w:rFonts w:ascii="arial" w:eastAsia="arial" w:hAnsi="arial" w:cs="arial"/>
          <w:color w:val="000000"/>
          <w:sz w:val="20"/>
          <w:lang w:val="en-US" w:eastAsia="en-US" w:bidi="ar-SA"/>
        </w:rPr>
        <w:t>IN FURTHER CONSIDERATION of the payment of the sum of money and consideration as aforesaid, the Releasors agree to advise the Court in the Action that they expressly waive any right to recover from Docken in the Action any portion of the damages and losses which they claim and which the Court may attribute to the fault of the Releasees and the Releasors agree to apply to amend their Statement of Claim by, at the latest, the first day of the trial of the Action in order to specifically plead these matters.</w:t>
      </w:r>
    </w:p>
    <w:p>
      <w:pPr>
        <w:spacing w:before="120" w:line="260" w:lineRule="atLeast"/>
        <w:ind w:left="720"/>
        <w:rPr>
          <w:lang w:val="en-US" w:eastAsia="en-US" w:bidi="ar-SA"/>
        </w:rPr>
      </w:pPr>
      <w:r>
        <w:rPr>
          <w:rFonts w:ascii="arial" w:eastAsia="arial" w:hAnsi="arial" w:cs="arial"/>
          <w:color w:val="000000"/>
          <w:sz w:val="20"/>
          <w:lang w:val="en-US" w:eastAsia="en-US" w:bidi="ar-SA"/>
        </w:rPr>
        <w:t>IN FURTHER CONSIDERATION of the payment of the sum of money and consideration as aforesaid, the Releasors consent to the dismissal without costs of the Action against the Releasees, such dismissal to be for all purposes of the same force and effect as if judgment had been pronounced after a trial of the Action on the merits.</w:t>
      </w:r>
    </w:p>
    <w:p>
      <w:pPr>
        <w:spacing w:before="120" w:line="260" w:lineRule="atLeast"/>
        <w:ind w:left="720"/>
        <w:rPr>
          <w:lang w:val="en-US" w:eastAsia="en-US" w:bidi="ar-SA"/>
        </w:rPr>
      </w:pPr>
      <w:r>
        <w:rPr>
          <w:rFonts w:ascii="arial" w:eastAsia="arial" w:hAnsi="arial" w:cs="arial"/>
          <w:color w:val="000000"/>
          <w:sz w:val="20"/>
          <w:lang w:val="en-US" w:eastAsia="en-US" w:bidi="ar-SA"/>
        </w:rPr>
        <w:t>IN FURTHER CONSIDERATION of the payment of the sum of money and consideration as aforesaid, the Releasors agree not to make claim or take proceedings against any other person, partnership, corporation or legal entity not named in this Release and Settlement Agreement who might claim contribution or indemnity from the Releasees under the provisions of any statute or otherwise, in connection with the matters forming the subject of this Release.</w:t>
      </w:r>
    </w:p>
    <w:p>
      <w:pPr>
        <w:spacing w:before="120" w:line="260" w:lineRule="atLeast"/>
        <w:ind w:left="720"/>
        <w:rPr>
          <w:lang w:val="en-US" w:eastAsia="en-US" w:bidi="ar-SA"/>
        </w:rPr>
      </w:pPr>
      <w:r>
        <w:rPr>
          <w:rFonts w:ascii="arial" w:eastAsia="arial" w:hAnsi="arial" w:cs="arial"/>
          <w:color w:val="000000"/>
          <w:sz w:val="20"/>
          <w:lang w:val="en-US" w:eastAsia="en-US" w:bidi="ar-SA"/>
        </w:rPr>
        <w:t>THIS RELEASE AND SETTLEMENT AGREEMENT is made entirely without prejudice to the Releasors' rights and claims against the parties to the Action other than the Releasees and the Releasors shall be at liberty to settle or pursue those claims at their sole discretion subject to the terms of this Release and Settlement Agreement. Any recovery of funds made by the Releasors shall be solely for the credit of the Releasors except to the extent required by the indemnity extended pursuant to the provisions of this Release and Settlement Agreement.</w:t>
      </w:r>
    </w:p>
    <w:p>
      <w:pPr>
        <w:spacing w:before="120" w:line="260" w:lineRule="atLeast"/>
        <w:ind w:left="720"/>
        <w:rPr>
          <w:lang w:val="en-US" w:eastAsia="en-US" w:bidi="ar-SA"/>
        </w:rPr>
      </w:pPr>
      <w:r>
        <w:rPr>
          <w:rFonts w:ascii="arial" w:eastAsia="arial" w:hAnsi="arial" w:cs="arial"/>
          <w:color w:val="000000"/>
          <w:sz w:val="20"/>
          <w:lang w:val="en-US" w:eastAsia="en-US" w:bidi="ar-SA"/>
        </w:rPr>
        <w:t>It is understood and agreed that this Release and Settlement Agreement is not intended to be and does not in fact constitute a Release by the Releasors of any of the claims made against the parties to the Action other than the Releasees.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All parties suggested that the approach to this matter is to first determine whether the plaintiffs' claims against the defendants were as several or joint tortfeasors. The plaintiffs agree that Hardwick was retained as agent but also say that Docken had an independent retainer for the same cause of action but in a different role as principal and communicator. All parties agree that any claims against Docken as joint tortfeasor are gone as a result of the release. However, the plaintiff hinges this statement on the possibility that the document is a covenant not to sue as a result of the clause in the release preserving the cause of action against other tortfeasors.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With respect to interpretation of the settlement as a release or as a covenant to sue, the preservation of a right to claim against others is expressly tempered by the particular provision not to seek to recover any portion of damage or loss from Docken in connection with matters forming the subject of the release. Accordingly, the document is properly interpreted as a release notwithstanding the broader clause. For a brief discussion of law on this point, see Tucker (Public Trustee of) v. Asleson </w:t>
      </w:r>
      <w:hyperlink r:id="rId309"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at 210 (C.A.); J. G. Fleming, The Law of Torts, 8th ed. (Sydney: Law Book, 1992) at 259 and 9th ed. (Sydney: Law Book, 1998) at 292.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a release, it is not contested that release of one joint tortfeasor releases the other (Dixon v. R. in Right of B.C. </w:t>
      </w:r>
      <w:hyperlink r:id="rId399" w:history="1">
        <w:r>
          <w:rPr>
            <w:rFonts w:ascii="arial" w:eastAsia="arial" w:hAnsi="arial" w:cs="arial"/>
            <w:i/>
            <w:color w:val="0077CC"/>
            <w:sz w:val="20"/>
            <w:u w:val="single"/>
            <w:shd w:val="clear" w:color="auto" w:fill="FFFFFF"/>
            <w:lang w:val="en-US" w:eastAsia="en-US" w:bidi="ar-SA"/>
          </w:rPr>
          <w:t>(1979), 12 B.C.L.R. 110</w:t>
        </w:r>
      </w:hyperlink>
      <w:r>
        <w:rPr>
          <w:rFonts w:ascii="arial" w:eastAsia="arial" w:hAnsi="arial" w:cs="arial"/>
          <w:color w:val="000000"/>
          <w:sz w:val="20"/>
          <w:lang w:val="en-US" w:eastAsia="en-US" w:bidi="ar-SA"/>
        </w:rPr>
        <w:t xml:space="preserve"> at 121 (S.C.), aff'd </w:t>
      </w:r>
      <w:hyperlink r:id="rId400" w:history="1">
        <w:r>
          <w:rPr>
            <w:rFonts w:ascii="arial" w:eastAsia="arial" w:hAnsi="arial" w:cs="arial"/>
            <w:i/>
            <w:color w:val="0077CC"/>
            <w:sz w:val="20"/>
            <w:u w:val="single"/>
            <w:shd w:val="clear" w:color="auto" w:fill="FFFFFF"/>
            <w:lang w:val="en-US" w:eastAsia="en-US" w:bidi="ar-SA"/>
          </w:rPr>
          <w:t>(1980), 24 B.C.L.R. 382</w:t>
        </w:r>
      </w:hyperlink>
      <w:r>
        <w:rPr>
          <w:rFonts w:ascii="arial" w:eastAsia="arial" w:hAnsi="arial" w:cs="arial"/>
          <w:color w:val="000000"/>
          <w:sz w:val="20"/>
          <w:lang w:val="en-US" w:eastAsia="en-US" w:bidi="ar-SA"/>
        </w:rPr>
        <w:t xml:space="preserve"> at 398 (C.A.); Const. Scarmar Ltée v. Geddes Contr. Co. </w:t>
      </w:r>
      <w:hyperlink r:id="rId401" w:history="1">
        <w:r>
          <w:rPr>
            <w:rFonts w:ascii="arial" w:eastAsia="arial" w:hAnsi="arial" w:cs="arial"/>
            <w:i/>
            <w:color w:val="0077CC"/>
            <w:sz w:val="20"/>
            <w:u w:val="single"/>
            <w:shd w:val="clear" w:color="auto" w:fill="FFFFFF"/>
            <w:lang w:val="en-US" w:eastAsia="en-US" w:bidi="ar-SA"/>
          </w:rPr>
          <w:t>(1989), 38 B.C.L.R. (2d) 188</w:t>
        </w:r>
      </w:hyperlink>
      <w:r>
        <w:rPr>
          <w:rFonts w:ascii="arial" w:eastAsia="arial" w:hAnsi="arial" w:cs="arial"/>
          <w:color w:val="000000"/>
          <w:sz w:val="20"/>
          <w:lang w:val="en-US" w:eastAsia="en-US" w:bidi="ar-SA"/>
        </w:rPr>
        <w:t xml:space="preserve"> at 193 (C.A.); Tucker (Public Trustee of) v. Asleson, supra at 217).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real issue here is whether there exists any independent tort or other cause of action against Docken. The fact that breach of contract is alleged as well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the same facts is not enough to separate out the causes of action so as to preserve the breach of contract action in the face of the release of a joint concurrent tortfeasor (Scarmar, supra at 197). As described by the plaintiffs, the independent role alleged was as principal with independent duties of communication, instruction, and review, among other things. In the circumstances alleged here, I do not find that an independent role giving rise to several liability arises.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Longmore v. J.D. McArthur Co. </w:t>
      </w:r>
      <w:hyperlink r:id="rId402" w:history="1">
        <w:r>
          <w:rPr>
            <w:rFonts w:ascii="arial" w:eastAsia="arial" w:hAnsi="arial" w:cs="arial"/>
            <w:i/>
            <w:color w:val="0077CC"/>
            <w:sz w:val="20"/>
            <w:u w:val="single"/>
            <w:shd w:val="clear" w:color="auto" w:fill="FFFFFF"/>
            <w:lang w:val="en-US" w:eastAsia="en-US" w:bidi="ar-SA"/>
          </w:rPr>
          <w:t>(1910), 43 S.C.R. 640</w:t>
        </w:r>
      </w:hyperlink>
      <w:r>
        <w:rPr>
          <w:rFonts w:ascii="arial" w:eastAsia="arial" w:hAnsi="arial" w:cs="arial"/>
          <w:color w:val="000000"/>
          <w:sz w:val="20"/>
          <w:lang w:val="en-US" w:eastAsia="en-US" w:bidi="ar-SA"/>
        </w:rPr>
        <w:t>, the issue arose as to whether judgment against one tortfeasor was a bar to action against others when it was admitted that the injury complained of and the cause of injury are the same. In considering this matter, Anglin, J. considered the submission that the duty of a principal was different that that of a subcontractor. At 644 he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Another ingenious suggestion is that the duty of the sub-contractors was themselves to take due care, whereas that of the principal contractors was to see that the sub-contractors took such care and therefore that the cause of action against the former differs from that against the latter. It is only necessary to point out that the same distinction exists in fact, if not in theory, between the responsibility of the master and that of the servant - between the duty of the principal and that of the agent. Yet where such a tort as is here complained of has been committed by a servant or agent, that the master or the principal respectively is jointly liable, and in fact a joint tort-feasor with his servant or agent admits of no doubt. While a sub-contractor is not, even in carrying out work necessarily attended with risk, the alter ego of his principal contractor so as to make the latter liable for collateral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former, as he would be if the relation between them were that of master and servant, on the other hand where the work undertaken by a sub-contractor involves a duty on the part of the contractor from responsibility for the performance of which he cannot escape by delegation, the sub-contractor is in regard to that duty so identified with the principal contractor that his failure to perform it is the failure of the principal contractor himself. Quoad that duty he is in fact the alter ego of the principal contractor.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Scrutton, L.J. expressed the same view of principal and agent in The Koursk, [1924] All E.R. 168.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Scarmar, the plaintiff claimed against B.C. Railway for failure to superintend and co-ordinate the work of its contractors in blasting nearby to the plaintiff's property. One way to determine if the parties were joint tortfeasors was to ask whether the same evidence supports an action against each. Another question is whether the duties are theoretically different. In that case, discussion ensued about employers of independent contractors who were not normally considered to be responsible jointly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latter, except in situations involving great risk in which the duty of care is non-delegable. In the case at bar, it is important that the only relationship alleged between the defendants is one of principal and agent.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here were hired to pursue a legal action for sexual abuse and were engaged in that concerted action throughout. There was co-ordinated effort between the two lawyers to effect a settlement and to execute upon that settlement. The damage here arises from failure to pursue that effort diligently or effectively. There was concurrence in the chain of causation leading to the result complained of by the plaintiffs. In these circumstances, the defendants Docken and Hardwick must be characterized as joint concurrent tort-feasors. The release of Hardwick also released Docken. Accordingly, the action against Docken should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However, the plaintiffs have pointed out a technical difficulty in allowing dismissal under Rule 18(6) when there is no averment in the supporting affidavits that there is no merit to the claim or that the defendant knows of no facts to support the claim. As a procedural matter, the defendants must file an affidavit containing the statements (Argon Developments Ltd. v. Bank of Montreal, </w:t>
      </w:r>
      <w:hyperlink r:id="rId403" w:history="1">
        <w:r>
          <w:rPr>
            <w:rFonts w:ascii="arial" w:eastAsia="arial" w:hAnsi="arial" w:cs="arial"/>
            <w:i/>
            <w:color w:val="0077CC"/>
            <w:sz w:val="20"/>
            <w:u w:val="single"/>
            <w:shd w:val="clear" w:color="auto" w:fill="FFFFFF"/>
            <w:lang w:val="en-US" w:eastAsia="en-US" w:bidi="ar-SA"/>
          </w:rPr>
          <w:t>[1979] B.C.J. No. 166</w:t>
        </w:r>
      </w:hyperlink>
      <w:r>
        <w:rPr>
          <w:rFonts w:ascii="arial" w:eastAsia="arial" w:hAnsi="arial" w:cs="arial"/>
          <w:color w:val="000000"/>
          <w:sz w:val="20"/>
          <w:lang w:val="en-US" w:eastAsia="en-US" w:bidi="ar-SA"/>
        </w:rPr>
        <w:t xml:space="preserve"> at para. 4; Gambouras v. Swan, </w:t>
      </w:r>
      <w:hyperlink r:id="rId404" w:history="1">
        <w:r>
          <w:rPr>
            <w:rFonts w:ascii="arial" w:eastAsia="arial" w:hAnsi="arial" w:cs="arial"/>
            <w:i/>
            <w:color w:val="0077CC"/>
            <w:sz w:val="20"/>
            <w:u w:val="single"/>
            <w:shd w:val="clear" w:color="auto" w:fill="FFFFFF"/>
            <w:lang w:val="en-US" w:eastAsia="en-US" w:bidi="ar-SA"/>
          </w:rPr>
          <w:t>[1993] B.C.J. No. 296</w:t>
        </w:r>
      </w:hyperlink>
      <w:r>
        <w:rPr>
          <w:rFonts w:ascii="arial" w:eastAsia="arial" w:hAnsi="arial" w:cs="arial"/>
          <w:color w:val="000000"/>
          <w:sz w:val="20"/>
          <w:lang w:val="en-US" w:eastAsia="en-US" w:bidi="ar-SA"/>
        </w:rPr>
        <w:t xml:space="preserve"> at para. 6). The statement in paragraph 15 of the affidavit of J. M. sworn March 15, 2000 says that all causes of action for which Docken may be liable as Hardwick's principal should be struck from the statement of claim because of the settlement. While this indirectly supports the requirement for an averment that there is no merit to the claim, it is not sufficient to meet the strict procedural requirements of the Rule.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Docken, is given leave to file a supplemental affidavit to correct the deficiency in the materials required for Rule 18(6). Assuming that such affidavit is filed, the action against Docken will be dismissed. I remain seized of this matter until the affidavit is filed and an order entered.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Docken, are entitled to costs of this application on the scale of three payable forthwith.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DILLON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Pryndik v. Manju, [2001] B.C.J. No. 664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22, 23 and April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C984931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664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502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236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Andrew George Pryndik, plaintiff, and Satinder Kumar Manju,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1"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28"/>
      <w:bookmarkEnd w:id="190"/>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Anticipation — On braking — Of vehicle following another.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1" w:name="Case Summary_27"/>
            <w:bookmarkEnd w:id="1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Pryndik for damages for injuries suffered as a result of a motor vehicle collision with the defendant, Manjus's, vehicle. Pryndik was riding a motorcycle in stop and go traffic behind the vehicle driven by Manju. Pryndik knew there was a continuous stream of traffic in front of Manju. The traffic in front of Manju stopped abruptly, causing him to brake and steer to the right to avoid the vehicle ahead. Pryndik also braked and steered to the right, and struck Manju.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2" w:name="Holdings of Court_25"/>
            <w:bookmarkEnd w:id="19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Manju had good reason to stop abruptly as he was in stop and go traffic. He had no reason to believe that Pryndik would attempt the same manoeuvre of pulling to the right. Pryndik failed to leave sufficient space to stop safely and was driving too fast for the conditions.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3" w:name="Legislation Cited_19"/>
      <w:bookmarkEnd w:id="1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2"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12" w:history="1">
        <w:r>
          <w:rPr>
            <w:rFonts w:ascii="arial" w:eastAsia="arial" w:hAnsi="arial" w:cs="arial"/>
            <w:i/>
            <w:color w:val="0077CC"/>
            <w:sz w:val="20"/>
            <w:u w:val="single"/>
            <w:shd w:val="clear" w:color="auto" w:fill="FFFFFF"/>
            <w:lang w:val="en-US" w:eastAsia="en-US" w:bidi="ar-SA"/>
          </w:rPr>
          <w:t>R.S.B.C. 1996, c. 318, ss. 144</w:t>
        </w:r>
      </w:hyperlink>
      <w:r>
        <w:rPr>
          <w:rFonts w:ascii="arial" w:eastAsia="arial" w:hAnsi="arial" w:cs="arial"/>
          <w:color w:val="000000"/>
          <w:sz w:val="20"/>
          <w:lang w:val="en-US" w:eastAsia="en-US" w:bidi="ar-SA"/>
        </w:rPr>
        <w:t>, 162(1).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4" w:name="Counsel_28"/>
      <w:bookmarkEnd w:id="1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3"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James McNeney and Martin C. Spieker, for the plaintiff. Carole E. Hickey,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5" w:name="Judgment_28"/>
      <w:bookmarkEnd w:id="195"/>
      <w:r>
        <w:pict>
          <v:line id="_x0000_s1164" style="position:absolute;z-index:251841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6" w:name="BAKER J."/>
            <w:bookmarkEnd w:id="196"/>
            <w:r>
              <w:rPr>
                <w:rFonts w:ascii="arial" w:eastAsia="arial" w:hAnsi="arial" w:cs="arial"/>
                <w:b/>
                <w:color w:val="000000"/>
                <w:sz w:val="30"/>
                <w:lang w:val="en-US" w:eastAsia="en-US" w:bidi="ar-SA"/>
              </w:rPr>
              <w:t>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May 22, 1998, the motorcycle driven by the plaintiff Andrew Pryndik collided with the rear of the van driven by the defendant Satinder Manju. The plaintiff was injured. The plaintiff alleges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May 22, 1998, Mr. Pryndik, on his Harley Davidson Motorcycle, and Mr. Manju, in his Aerostar van, were in a line of vehicles travelling northbound on Glover Road in Langley, approximately one-half kilometre south of an intersection controlled by traffic lights. It was evening rush hour, traffic was very heavy, and traffic flow was described by all witnesses as "stop and go". Mr. Manju was returning home from his place of employment. Mr. Pryndik had had the day off and was returning to his home in Mission after a day of recreational motorcycle travel. It was daylight at the time the accident occurred, the road was dry and visibility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vehicle directly ahead of Mr. Manju's van was a one-quarter ton truck driven by Phillip Limoges. Mr. Pryndik was following directly behind Mr. Manju's van. To the knowledge of both Mr. Pryndik and Mr. Manju, there were several vehicles ahead of Mr. Limoges' pickup. All drivers had been driving in heavy traffic since entering onto Glover Road some minutes earlier. There was a continuous stream of vehicles between them and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When the vehicle driven by Mr. Limoges was approximately one-half kilometre from the intersection, the vehicles ahead of Mr. Limoges' vehicle began to stop quickly. Mr. Limoges stepped on his brakes to bring his vehicle to a quick stop. Mr. Manju saw Mr. Limoges' brake lights come on and stepped hard on his brakes. As he started to brake, he saw in his rear view mirror that Mr. Pryndik's motorcycle was behind him. Concerned that he might collide with the rear of Mr. Limoges' vehicle, or that Mr. Pryndik might hit him from behind, Mr. Manju steered his vehicle to the right, heading for the paved shoulder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Limoges observed Mr. Manju's vehicle coming up behind him while Mr. Limoges' vehicle was almost, but not quite, stopped. Concerned that Mr. Manju's vehicle might not stop in time, Mr. Limoges stepped on the gas and continued to move forward to give Mr. Manju more room. Mr. Limoges' vehicle did not strike the vehicle ahead of his, and Mr. Manju was able to bring his vehicle to a stop without striking the rear of Mr. Limoges'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Mr. Pryndik saw Mr. Manju's brake lights come on, he applied his motorcycle brakes and also steered his motorcycle to the right. Realizing that a collision was imminent and that Mr. Manju was also steering to the right, Mr. Pryndik attempted to reverse direction and go around Mr. Manju's vehicle on the left, but was unable to stop in the time available or to avoid Mr. Manju's vehicle. His motorcycle struck the rear left portion of Mr. Manju's vehicle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braking motion employed by Mr. Manju was abrupt and hard enough to cause his vehicle to leave tire treadmarks on the driving lane indicating the direction of his travel prior to his vehicle coming to a stop. However, his vehicle was still moving forward when the collision occurred. The evidence does not support a finding that Mr. Manju braked any more abruptly than was necessary to avoid a collision with Mr. Limoges'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braking motion employed by Mr. Pryndik caused his motorcycle to also leave tire treadmarks on the driving lane, indicating his motorcycle swerved to the right, and then to the left,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plaintiff's position is that the accident was solely caused by Mr. Manju's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bringing his vehicle to an abrupt stop. Mr. Pryndik alleges that Mr. Manju was driving at an excessive speed, or following too closely behind Mr. Limoges' vehicle. The plaintiff's position is that if Mr. Manju had braked earlier, Mr. Pryndik would have seen Mr. Manju's brake lights earlier, and would himself have braked earlier, and thereby avoided the impact. Alternatively, Mr. Pryndik alleges that Mr. Manju was negligent in steering to the right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Both the plaintiff and the defendant rely upon sections 162(1) and 144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Section 162(1)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driver of a vehicle must not cause or permit the vehicle to follow another vehicle more closely than is reasonable and prudent, having due regard for the speed of the vehicles and the amount and nature of traffic on and the condition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144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 highway</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road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has the onus to establish that the defendant was negligent, and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Counsel for the plaintiff referred the court to the following decisions: Ryan v. Victoria (City) </w:t>
      </w:r>
      <w:hyperlink r:id="rId413"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Lloyd v. Fox, </w:t>
      </w:r>
      <w:hyperlink r:id="rId414" w:history="1">
        <w:r>
          <w:rPr>
            <w:rFonts w:ascii="arial" w:eastAsia="arial" w:hAnsi="arial" w:cs="arial"/>
            <w:i/>
            <w:color w:val="0077CC"/>
            <w:sz w:val="20"/>
            <w:u w:val="single"/>
            <w:shd w:val="clear" w:color="auto" w:fill="FFFFFF"/>
            <w:lang w:val="en-US" w:eastAsia="en-US" w:bidi="ar-SA"/>
          </w:rPr>
          <w:t>(1991) 57 B.C.L.R. (2d) 332</w:t>
        </w:r>
      </w:hyperlink>
      <w:r>
        <w:rPr>
          <w:rFonts w:ascii="arial" w:eastAsia="arial" w:hAnsi="arial" w:cs="arial"/>
          <w:color w:val="000000"/>
          <w:sz w:val="20"/>
          <w:lang w:val="en-US" w:eastAsia="en-US" w:bidi="ar-SA"/>
        </w:rPr>
        <w:t xml:space="preserve"> (C.A.); Rowe v. Bobell Express Ltd and others, </w:t>
      </w:r>
      <w:hyperlink r:id="rId415" w:history="1">
        <w:r>
          <w:rPr>
            <w:rFonts w:ascii="arial" w:eastAsia="arial" w:hAnsi="arial" w:cs="arial"/>
            <w:i/>
            <w:color w:val="0077CC"/>
            <w:sz w:val="20"/>
            <w:u w:val="single"/>
            <w:shd w:val="clear" w:color="auto" w:fill="FFFFFF"/>
            <w:lang w:val="en-US" w:eastAsia="en-US" w:bidi="ar-SA"/>
          </w:rPr>
          <w:t>[1999] B.C.J. No. 510</w:t>
        </w:r>
      </w:hyperlink>
      <w:r>
        <w:rPr>
          <w:rFonts w:ascii="arial" w:eastAsia="arial" w:hAnsi="arial" w:cs="arial"/>
          <w:color w:val="000000"/>
          <w:sz w:val="20"/>
          <w:lang w:val="en-US" w:eastAsia="en-US" w:bidi="ar-SA"/>
        </w:rPr>
        <w:t xml:space="preserve">, B.C.S.C. Vancouver Registry No. B960854, Kirkpatrick, J., March 3, 1999; MacDonald v. Hemminger, [1985] B.C.D. Civ. 2890-01, (C.A.); Molson v. Squamish Transfer Ltd. and others, (1969) 70 W.W.R. 113 (B.C.S.C.); Ross v. Raffelsieper, [1992] B.C.D. Civ. 3390-32, (S.C.); and Pearson v. Tourand, </w:t>
      </w:r>
      <w:hyperlink r:id="rId416" w:history="1">
        <w:r>
          <w:rPr>
            <w:rFonts w:ascii="arial" w:eastAsia="arial" w:hAnsi="arial" w:cs="arial"/>
            <w:i/>
            <w:color w:val="0077CC"/>
            <w:sz w:val="20"/>
            <w:u w:val="single"/>
            <w:shd w:val="clear" w:color="auto" w:fill="FFFFFF"/>
            <w:lang w:val="en-US" w:eastAsia="en-US" w:bidi="ar-SA"/>
          </w:rPr>
          <w:t>[1990] B.C.J. No. 1351</w:t>
        </w:r>
      </w:hyperlink>
      <w:r>
        <w:rPr>
          <w:rFonts w:ascii="arial" w:eastAsia="arial" w:hAnsi="arial" w:cs="arial"/>
          <w:color w:val="000000"/>
          <w:sz w:val="20"/>
          <w:lang w:val="en-US" w:eastAsia="en-US" w:bidi="ar-SA"/>
        </w:rPr>
        <w:t>, B.C.S.C. Vancouver Registry No. B882617, Spencer, J., June 13,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Counsel for the defendant referred the court to the following decisions: Baker v. Cade, </w:t>
      </w:r>
      <w:hyperlink r:id="rId417" w:history="1">
        <w:r>
          <w:rPr>
            <w:rFonts w:ascii="arial" w:eastAsia="arial" w:hAnsi="arial" w:cs="arial"/>
            <w:i/>
            <w:color w:val="0077CC"/>
            <w:sz w:val="20"/>
            <w:u w:val="single"/>
            <w:shd w:val="clear" w:color="auto" w:fill="FFFFFF"/>
            <w:lang w:val="en-US" w:eastAsia="en-US" w:bidi="ar-SA"/>
          </w:rPr>
          <w:t>[1999] B.C.J. No. 239</w:t>
        </w:r>
      </w:hyperlink>
      <w:r>
        <w:rPr>
          <w:rFonts w:ascii="arial" w:eastAsia="arial" w:hAnsi="arial" w:cs="arial"/>
          <w:color w:val="000000"/>
          <w:sz w:val="20"/>
          <w:lang w:val="en-US" w:eastAsia="en-US" w:bidi="ar-SA"/>
        </w:rPr>
        <w:t xml:space="preserve">, (S.C.); Oliverius v. British Columbia (Ministry of Transportation and Highways) [1999] B.C.D. Civ. 650.70.75.80-02, (S.C.); Doucet v. Parente, </w:t>
      </w:r>
      <w:hyperlink r:id="rId418" w:history="1">
        <w:r>
          <w:rPr>
            <w:rFonts w:ascii="arial" w:eastAsia="arial" w:hAnsi="arial" w:cs="arial"/>
            <w:i/>
            <w:color w:val="0077CC"/>
            <w:sz w:val="20"/>
            <w:u w:val="single"/>
            <w:shd w:val="clear" w:color="auto" w:fill="FFFFFF"/>
            <w:lang w:val="en-US" w:eastAsia="en-US" w:bidi="ar-SA"/>
          </w:rPr>
          <w:t>[1988] B.C.J. No. 675</w:t>
        </w:r>
      </w:hyperlink>
      <w:r>
        <w:rPr>
          <w:rFonts w:ascii="arial" w:eastAsia="arial" w:hAnsi="arial" w:cs="arial"/>
          <w:color w:val="000000"/>
          <w:sz w:val="20"/>
          <w:lang w:val="en-US" w:eastAsia="en-US" w:bidi="ar-SA"/>
        </w:rPr>
        <w:t xml:space="preserve">, B.C.S.C. Vancouver Registry No. B870063, Gow, J., May 3, 1988; and Sinclair v. Nyehold, </w:t>
      </w:r>
      <w:hyperlink r:id="rId419" w:history="1">
        <w:r>
          <w:rPr>
            <w:rFonts w:ascii="arial" w:eastAsia="arial" w:hAnsi="arial" w:cs="arial"/>
            <w:i/>
            <w:color w:val="0077CC"/>
            <w:sz w:val="20"/>
            <w:u w:val="single"/>
            <w:shd w:val="clear" w:color="auto" w:fill="FFFFFF"/>
            <w:lang w:val="en-US" w:eastAsia="en-US" w:bidi="ar-SA"/>
          </w:rPr>
          <w:t>(1972) 29 D.L.R. (3d) 614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Molson v. Squamish, at page 116, Justice Wilson referred to the dilemma of the trial judge and counsel searching for precedents in cases such as these.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search for a case in which the circumstances are exactly parallel is usually a vain one, because the combination of circumstances which can give rise to automobile accidents are infinite in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Although no decision was cited to me in which the circumstances were "exactly parallel", of the authorities counsel relied upon, I find the decisions in Baker v. Cade, Oliverius v. British Columbia (Ministry of Transportation and Highways), Doucet v. Parente, MacDonald v. Hemminger, and Lloyd v. Fox to be most helpful. In my view, the fact patterns in the other cases are so significantly different that the reasoning in the cases is of limited, if any,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am not persuaded that anything done, or omitted to be done by Mr. Manju, caused or contributed to the collision between his vehicle and Mr. Pryndik's motorcycle. I am satisfied that Mr. Pryndik was negligent in following too closely behind Mr. Manju,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true that Mr. Manju was obliged to brake abruptly in order to avoid colliding with the rear of Mr. Limoges' vehicle, just as Mr. Limoges braked quickly to avoid the vehicle ahead of his. Had Mr. Manju's vehicle struck Mr. Limoges' vehicle, he might well have been found to have breached a duty of care owed to Mr. Limoges. However, I am not satisfied that anything done by Mr. Manju in stopping his vehicle, or in steering to the shoulder of the road, was unreasonable or in breach of any duty owed to Mr. Pryndik.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If Mr. Manju's action in steering towards the shoulder, to avoid a collision with Mr. Limoges' vehicle was unreasonable, then Mr. Pryndik must be found to have acted equally unreasonably, since he attempted, unsuccessfully, the same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Counsel for the plaintiff argued that Mr. Manju's actions must be considered to be comparable to the drivers in Lloyd v. Fox, who stopped their vehicles side by side on the highway, in order to talk to each other; or the plaintiff in Molson v. Squamish Transfer Ltd., who stopped abruptly in an intersection in order to avoid running over a small animal; or the defendant in Ross v. Raffelsieper, who having avoided a collision in an intersection abruptly stopped just beyond the intersection; or the defendant in MacDonald v. Hemminger, who suddenly applied her brakes to make a left-hand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note that in each of those cases, the drivers were found to have stopped unlawfully or without justification. Even so,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found to have been the sole cause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operator of a motor vehicle, following other vehicles, should keep his vehicle under sufficient control at all times to be able to deal with an emergency such as the sudden stopping of a vehicle in the line of vehicles ahead and the telescope effect that results, as each successive driver attempts to bring his or her vehicle to a halt.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is not a case, in my view, where a driver has stopped unexpectedly and for no good reason. Mr. Manju stopped his vehicle abruptly for a very good reason - because if he had not done so, his vehicle would have struck the rear of Mr. Limoges' pickup truck. Mr. Manju had to stop quickly, just as Mr. Limoges had stopped quickly, albeit somewhat less abruptly, to avoid colliding with the rear of the vehicle ahead of him. A vehicle stopping quickly or even abruptly in circumstances where traffic is heavy and moving in a "stop and go" pattern is not an unexpected event, nor is it an event that occurs without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Manju owed no duty to Mr. Pryndik to collide with Mr. Limoges' vehicle, rather than stopping as he did. Mr. Manju had no reason to believe that Mr. Pryndik would attempt to swerve around him on the right. When Mr. Manju pulled to the right, he did not know and had no reason to believe that Mr. Pryndik would attempt the same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view, the fault lies entirely with Mr. Pryndik. He was aware there was a long line of traffic ahead of him. He was aware that the traffic was proceeding in a stop and start fashion. In these circumstances, he failed to leave sufficient space between his vehicle and that of Mr. Manju to ensure that he could bring his motorcycle to a safe stop in the event that Mr. Manju was obliged by traffic ahead of him to stop suddenly. Alternatively, Mr. Pryndik failed to slow his motorcycle sufficiently to be able to stop his motorcycle within the available distance between it and Mr. Manju's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Pryndik is an experienced motorcycle operator. Nevertheless, I concluded that he negligently misjudged his ability to bring his machine to a safe stop at the speed he was travelling, and was driving too closely behind Mr. Manju's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not persuaded that had Mr. Manju been travelling some greater distance behind Mr. Limoges' vehicle, Mr. Pryndik would not have collided with the Manju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was, in my view, a straightforward case of a driver who failed to ensure that he allowed sufficient space between himself and the preceding vehicle to stop safely when the line of traffic ahead of him halted. The plaintiff's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is entitled to his costs, to be paid by the plaintiff. Counsel for the defendant submitted that costs on Scale 3 were warranted. This was a very short trial, and in my view, a matter of less than ordinary difficulty. I award costs on Scale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5"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Quigley v. Biero, [2003] B.C.J. No. 2419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Neilson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5 - 8 and 13,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20,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M011017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2419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1577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126 A.C.W.S. (3d) 534</w:t>
      </w:r>
    </w:p>
    <w:p>
      <w:pPr>
        <w:spacing w:before="120" w:line="260" w:lineRule="atLeast"/>
        <w:rPr>
          <w:lang w:val="en-US" w:eastAsia="en-US" w:bidi="ar-SA"/>
        </w:rPr>
      </w:pPr>
      <w:r>
        <w:rPr>
          <w:rFonts w:ascii="arial" w:eastAsia="arial" w:hAnsi="arial" w:cs="arial"/>
          <w:color w:val="000000"/>
          <w:sz w:val="20"/>
          <w:lang w:val="en-US" w:eastAsia="en-US" w:bidi="ar-SA"/>
        </w:rPr>
        <w:t>Between William Arthur Quigley, plaintiff, and Stanley Biero and District of Mission,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6" style="position:absolute;z-index:2516889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97" w:name="Keywords_29"/>
      <w:bookmarkEnd w:id="197"/>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Motor vehicle, pedestrians and bicyclists — Off highway.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98" w:name="Case Summary_28"/>
            <w:bookmarkEnd w:id="19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Quigley for damages for personal injuries. The defendant Biero was an employee of the defendant District of Mission. Biero and a skidder operator entered Quigley's property on a right of way to remove logs belonging to the District. Quigley and his son encountered Biero after noticing that the logs were gone. A dispute arose as to who owned the logs. Biero claimed that he decided to leave the property when he determined that the situation was not going to be resolved peacefully. He got into his truck and instructed the skidder operator to follow him out. Quigley then directed his son to use his own truck to block the driveway to prevent the skidder from leaving. Quigley ran to the back of Biero's truck. He claimed that Biero's truck backed into him. At trial, Quigley testified that he was struck in the upper chest, but on examination for discovery he said that he was hit in the stomach. Quigley's son, Biero, and the skidder operator all stated that there was a minor collision between Biero's truck and the son's truck. When the police arrived, Quigley complained that he had been struck by Biero's truck, but he did not report any injuries. He stated that he began to feel the effects of his injuries a few hours after the incident. He claimed to have taken photos of his injuries, but was unable to produce them. He did not obtain any medical reports setting out his injuries or describing their effect. </w:t>
            </w:r>
            <w:r>
              <w:rPr>
                <w:lang w:val="en-US" w:eastAsia="en-US" w:bidi="ar-SA"/>
              </w:rPr>
              <w:cr/>
            </w:r>
          </w:p>
          <w:p>
            <w:pPr>
              <w:spacing w:before="120" w:line="260" w:lineRule="atLeast"/>
              <w:ind w:left="240"/>
              <w:jc w:val="both"/>
              <w:rPr>
                <w:lang w:val="en-US" w:eastAsia="en-US" w:bidi="ar-SA"/>
              </w:rPr>
            </w:pPr>
            <w:bookmarkStart w:id="199" w:name="Holdings of Court_26"/>
            <w:bookmarkEnd w:id="199"/>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Quigley's accounts of where he was struck were inconsistent. Immediately after the incident he showed no sign of injury and did not mention any injury. There was no clear evidence of any treatment that Quigley received specifically for the injuries he claimed to have suffered. While there was some evidence that Quigley was hit by Biero's vehicle, the evidence failed to establish Biero's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 cause. If Quigley had been hit, it was most likely when the son's truck bumped into Biero's stationary truck, pushing it backwards. There was no evidence that Biero drove into Quigley deliberately or carelessly. By taking the matter into his own hands, Quigley was careless as to his own safety. </w:t>
            </w:r>
            <w:r>
              <w:rPr>
                <w:lang w:val="en-US" w:eastAsia="en-US" w:bidi="ar-SA"/>
              </w:rPr>
              <w:cr/>
            </w:r>
          </w:p>
          <w:p>
            <w:pPr>
              <w:rPr>
                <w:lang w:val="en-US" w:eastAsia="en-US" w:bidi="ar-SA"/>
              </w:rPr>
            </w:pPr>
          </w:p>
        </w:tc>
      </w:tr>
    </w:tbl>
    <w:p>
      <w:pPr>
        <w:jc w:val="both"/>
        <w:rPr>
          <w:lang w:val="en-US" w:eastAsia="en-US" w:bidi="ar-SA"/>
        </w:rPr>
      </w:pPr>
      <w:bookmarkStart w:id="200" w:name="Counsel_29"/>
      <w:bookmarkEnd w:id="20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7" style="position:absolute;z-index:2517401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appeared in person. Thomas E. Dinsley, for the defendants.</w:t>
      </w:r>
      <w:r>
        <w:rPr>
          <w:lang w:val="en-US" w:eastAsia="en-US" w:bidi="ar-SA"/>
        </w:rPr>
        <w:cr/>
      </w:r>
    </w:p>
    <w:p>
      <w:pPr>
        <w:spacing w:after="240"/>
        <w:rPr>
          <w:lang w:val="en-US" w:eastAsia="en-US" w:bidi="ar-SA"/>
        </w:rPr>
      </w:pPr>
      <w:bookmarkStart w:id="201" w:name="Judgment_29"/>
      <w:bookmarkEnd w:id="201"/>
      <w:r>
        <w:pict>
          <v:line id="_x0000_s1168" style="position:absolute;z-index:25179136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2" w:name="NEILSON J."/>
            <w:bookmarkEnd w:id="202"/>
            <w:r>
              <w:rPr>
                <w:rFonts w:ascii="arial" w:eastAsia="arial" w:hAnsi="arial" w:cs="arial"/>
                <w:b/>
                <w:color w:val="000000"/>
                <w:sz w:val="30"/>
                <w:lang w:val="en-US" w:eastAsia="en-US" w:bidi="ar-SA"/>
              </w:rPr>
              <w:t>NEILSON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 and 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injuries he says he suffered on November 16, 2000 in a motor vehicle accident. He claims he was hit by a truck owned by the defendant District of Mission (the "District"), and driven by Stanley Biero, a District employee and the other defendant, during an altercation on his property over ownership of logs.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74 and raises goats on rural property he owns near Mission. He and his son, William Quigley Jr., live in separate residences on the property. B.C. Hydro leases a right of way through the plaintiff's property to permit it to maintain its power lines, which are located between the plaintiff's property and a tree farm owned by the District.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has been a history of difficulty between Hydro and the plaintiff over the manner in which Hydro has exercised its right of way. While I heard considerable evidence about this, I find it is relevant only by way of background to the dispute that arose between these parties on November 16,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terms of the right of way require Hydro to compensate the plaintiff for merchantable timber it removes from his land in the course of maintaining its lines. Shortly before November 16, 2000, Hydro had logged a number of trees, and the plaintiff was concerned that Hydro had not properly separated and marked the logs from his property, to distinguish them from those taken from the District's land. He had discussed his concern with the District and Hydro several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Biero has been employed by the District for 28 years, and was a forestry foreman at the time of these events. He was aware that Hydro had been logging between the District tree farm and the plaintiff's property. He said that Hydro had advised the District that it could take the logs cut from its property on the north side of the power line. It was necessary to enter the plaintiff's property on the right of way to do so. He went there twice with a Hydro representative, who showed him the logs that were to be taken by the District. Mr. Biero made arrangements to remove the logs on November 16, 2000.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events of November 16, 2000 prior to moving the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November 16, 2000, Mr. Biero went to the plaintiff's property at about 8:00 a.m. with Mr. Kocsis, a skidder operator employed by the District. They brought two trucks and a skidder belonging to the District, and met a logging truck operator there. The plaintiff and his son were not there. By 11:30, they had removed the logs that they understood belonged to the District, and transported them to a mill. Mr. Biero and Mr. Kocsis then left the property in their trucks, planning to return for the skidder after lunch.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While they were gone, the plaintiff's son returned to the property and saw that the logs were gone, and a skidder was parked in the area of the right of way. He believed that the logs had been stolen by Hydro, or someone associated with Hydro. He drove to his father's home to notify him, and the two of them returned to the area in the son's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few minutes later, Mr. Biero and Mr. Kocsis drove into the yard in Mr. Biero's truck to retrieve the skidder. They parked and the plaintiff and his son approached them. The plaintiff and his son testified that they were frustrated, but denied that they were upset or angry.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said that he asked the District employees if they had taken the logs and Mr. Biero said they had. The plaintiff then asked if they worked for the District, and for their names, and Mr. Biero would not reply. The plaintiff testified that Mr. Biero did tell them that Hydro had told them to take the logs, as they were from the District's side of the power lines. He said they had just come back to get the skidder. The plaintiff and his son told them this was log theft, and Mr. Biero said they were just doing what Hydro had told them to. He would not tell them where they had taken the logs.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says that he asked Mr. Biero to call his supervisor or the RCMP on his cell phone, but he refused. The son testified that he then went to his trailer to call the RCMP to complain of log theft. He was told this was a civil matter and the RCMP would not attend, so he returned to the truck where his father and Mr. Biero were still discussing the situation. The plaintiff then told Mr. Biero that he believed the skidder had been used to steal logs, and so it would have to stay until things were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Biero and Mr. Kocsis gave a somewhat different version of these events. They said that the plaintiff and his son were extremely agitated when they arrived, and began yelling that they were thieves, that they had no right to take the logs, and that they would call the RCMP and have them arrested. They got out of their truck to talk to the Quigleys.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Biero told them that there was no reason for the District to steal their logs, and they just wanted to move their equipment out. He told the plaintiff and his son that he was not going to bring the logs back, but advised them which mill they had gone to, and that there was a paper trail by which they could trace the logs. He advised them that they could pursue the matter by calling the office, or going to the log sort. The plaintiff and his son accused them of conspiring with Hydro, and said the equipment should remain there until things were settled. Mr. Biero agreed they may have asked him to call his supervisor, but said he did not do so because he was a supervisor himself, was used to dealing with disputes with property owners, and felt he was capable of handling the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Biero testified that, after speaking with the Quigleys for about 20 minutes, he concluded that nothing he could say or do would satisfy them. He was concerned that the situation was escalating. The plaintiff was telling him that he was personally responsible for the theft, and would have to pay. He and his son were cursing and calling him names, and threatening to seize the District's equipment. Mr. Kocsis was not as calm as he was, and Mr. Biero was concerned that something physical might develop, so he decided it was best to leave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this point, the District truck was parked in an open area of the right of way facing into the property, having driven up a narrow driveway from Dewdney Trunk Road. The skidder was to the right and ahead of the passenger side of the District truck, at the edge of the open area. The witnesses variously estimated the skidder to be anywhere from 30 to 60 feet away from the District truck. The son's truck was parked further away from the District truck, facing generally towards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Biero testified that he told Mr. Kocsis that they were going to leave. He advised Mr. Kocsis to get in the skidder and follow him as he backed his truck down the driveway to Dewdney Trunk Road. Mr. Kocsis got out of the truck, went to the skidder, and started it. Mr. Biero said that he started his truck at the same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All of the witnesses agreed that when Mr. Kocsis went to the skidder, the plaintiff directed his son to cut the road off to block the skidder from leaving.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plaintiff's version of the altercation with the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and his son denied that they were angry by this point. The son said he ran to his truck and started it. He testified that he intended to block the District employees' exit because nothing had been resolved, and his father asked him 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son said that Mr. Kocsis drove the skidder toward the driveway, and he decided to drive his truck around and behind Mr. Biero's truck on the driver's side. He wanted to get to the narrow part of the driveway before the skidder, and block its exit. He thought they could then get a District supervisor there to deal with the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testified that when his son went to get his truck, he ran toward the back of Mr. Biero's truck. Mr. Biero then started his truck, and when the plaintiff turned, he saw it was backing toward him at about 15-20 kph. The plaintiff testified that he believes Mr. Biero deliberately started his truck to chase him down like a predator. The plaintiff said that he tried to get out of the way, but it hit him, putting him partly onto its tail gate and partly into the box.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testified that he was struck in the upper chest, although he agreed that at his examination for discovery he said the truck box hit him in the stomach. He then said he was struck from his chest to his knees, and that it hurt all over. He also testified that he was aware of injuries to his chest and left knee as soon as he was struck, but was not immediately in pain. He said he did not fall down, and got off the back of the truck quickly. The plaintiff agreed that he was able to walk to the driver's door with no trouble.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could not recall what he said to Mr. Biero, but agreed it may have been, "You almost killed me," or, "You tried to kill me." He denied swearing at him or telling his son to hit him. He said his son came up to the door and used profanity, but denied that the son made a threatening gesture with his fist. The plaintiff agreed that at that point he did not feel any injury, and did not tell his son he was injured. He said that Mr. Biero was shaking like a leaf in the truck, but again refused to call his supervisor. His son went to call the police.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son testified that he saw the plaintiff run toward the driveway, to the area behind Mr. Biero's truck. The son said that when his truck got beside Mr. Biero's truck, Mr. Biero started it up and reversed quickly, moving at between 15-20 kph. The son believed he was trying to beat the skidder to the opening to the narrow driveway and prevent the son from getting around him in time to stop the skidder. The son stopped. He said that his truck and the skidder were now side by side, both facing toward the exit, with Mr. Biero's truck in front of and facing them, while moving backwards. The son says he moved his truck forward to try and keep the skidder from following Mr. Biero down the driveway. He saw Mr. Kocsis smile, and felt Mr. Kocsis was playing chicken with him. Then Mr. Biero's truck suddenly stopped. The skidder veered to the left, looking as if it might go through the brush to get onto the driveway behind Mr. Biero's truck. The son said he decided to try and cut around to the right of the truck. When he was about two feet away from it, Mr. Biero reversed again, this time going about 5-10 kph, and then stopped suddenly. As a result, the son said that his left front bumper hit the left front bumper of Mr. Biero's truck. The son said he was going about 5-10 kph just before the impact, and he tried to brake, so it was not a substantial bump. He did not see the Biero truck move backward when he hit it. He did not know where his father was during these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son testified that he then saw his father come from behind Mr. Biero's truck to the driver's door and say, "I should hit you for that." He saw Mr. Biero open his door, and he ran toward them, as he was afraid Mr. Biero was going to get out and assault his father. He heard his father tell Mr. Biero, "You hit me." The son said that when he got to the truck, he told Mr. Biero he was a "fucking idiot." He said Mr. Biero was cringing in the cab. The son said he made no move toward Mr. Biero, and just told him that they could now get the police there as there had been a motor vehicle accident. He made sure his father was all right, and then went and called the RCMP from his trailer. The son said he was in a state of disbelief, rather than anger, but that his father was "pretty hot." He denied, however, that either of them clenched their fists, or that his father swore or told him to hit Mr. Biero.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defendants' version of the motor vehicle altercation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Biero testified that when the plaintiff yelled to his son to get in his truck and block them in, the son ran to his truck. Mr. Biero said he started his truck, and began to slowly back down the driveway. He was crawling, going less than 5 kph, to give the skidder, which is very slow, a chance to catch up and follow him out. He denied that he stopped and started his truck. He said that as he began to move, the plaintiff hesitated, and then began to "shuffle" at a half walk/half run pace, along the driver's side toward the rear of his truck. Mr. Biero said that when the plaintiff got to the back panel of his truck, he appeared intent on going behind the truck, and so he stopped his truck to avoid endangering the plaintiff. He said his truck had moved back about two truck lengths, or about 20 feet, before stopping.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Biero testified that once he stopped, he turned his attention to the son, who had started his truck, and was driving erratically at between 15 and 20 kph, first in the general direction of the skidder, and then toward Mr. Biero's truck. Mr. Biero described the son's truck as "charging" toward him, although he acknowledged the son's intention was probably to go around him in an attempt to block the road. He said the son's truck then appeared to slow down, and its left front corner struck the left front corner of his vehicle. Mr. Biero said the impact was not violent but moved his truck back 2-3 feet. There was a small dent in the bumper when he examined it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Biero testified that he did not believe that the son's vehicle pushed his truck back into the plaintiff, as the impact was not that hard, and he saw the plaintiff standing on his bumper immediately after it. He acknowledged, however, that in his statement to ICBC he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is a possibility that he could have been bumped when he ran around the back of the pickup and his son hit me as right at that moment I was looking forward at the son's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Biero testified that, after the impact, he heard cursing and looked in his rear view mirror. He saw the plaintiff standing on his bumper, yelling, "You useless bastard." He said that the plaintiff then jumped off the bumper, said "I'm going to hit you", and then told his son, "Let the no good bastard have it, hit him, hit him." The son ran toward Mr. Biero, cursed him, and drew his fist back as if to strike, but then put his arm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Biero testified that the plaintiff accused him of trying to hit him, or run him over. He did not mention any injuries, and did not appear to be hurt. To the contrary, he remained very lively after the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During Mr. Biero's exchange with the plaintiff and his son, Mr. Kocsis stopped the skidder and came back into the truck with Mr. Biero. Mr. Biero called his office on his two way radio and told them to send the RCMP. He then told Mr. Kocsis they would leave the area, and the two of them got out of the truck and walked off the property to Dewdney Trunk Road to await the arrival of the police.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Biero denied that he deliberately tried to hurt the plaintiff, saying this was preposterous. He said he had taken conflict resolution courses to assist in carrying out his duties, which for many years had involved dealing with complaints from property owners. He said that he followed the District protocol by discussing the options with the plaintiff, trying to make him see the District's side of things, and then attempting to disengage when the plaintiff "went over the edge."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Kocsis related the incident as follows. He said he went to the skidder as quickly as he could to get a head start on the son, so they could get off the property. He started it, and moved forward at about 5 kph toward Mr. Biero's truck, which was moving more slowly than that to give him time to catch up. As the skidder began to move forward, he saw the son's truck moving forward. He said both trucks were initially creeping, but stopping and starting. They were not going at a constant speed. Then the plaintiff's son appeared to get panicky or lose control, and accelerated, trying to cut them off from using the road to leave the property. As a result, the bumpers of the trucks touched in what he described as a minor collision. Mr. Kocsis said Mr. Biero's truck was stationary at the time of impact. He saw it move back when the son hit it, though not very far.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Kocsis said that the plaintiff was at Mr. Biero's truck window as he left the truck to go to the skidder. He had no clear recollection of seeing the plaintiff again until after the collision, when he saw him walk around the back of the truck. He said he did not see the plaintiff in the box of the truck, or on its bumper. He agreed this would have been within his range of sight, but thought he must have been upset and preoccupied with the events and the surrounding tension, so did not notice it. Mr. Kocsis said once the bumpers touched, he felt the situation became more dangerous, and they had to handle it differently. He shut the skidder down, and got back in the truck with Mr. Biero. He said he did not hear the plaintiff or his son swear at any time.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Events after the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Biero's supervisor, Mr. O'Neil, arrived. He parked on Dewdney Trunk Road and spoke with Mr. Biero and Mr. Kocsis. Mr. O'Neil then went onto the property and took some photos of the scene, which were entered in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evidence satisfies me that these show the Biero truck and the skidder in the same positions they occupied immediately after the impact. The son's truck had been moved away. Mr. Biero's truck was located near the point where the right of way narrows into the driveway, with its rear headed toward Dewdney Trunk Road. It was on the left side of the driveway as you face it, leaving room for a person to move along the driveway on the driver's side. The skidder looked to be about 15 feet away, still in the area of the right of way, and to the left and in front of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Cst. Crete of the RCMP arrived at about 2:15 p.m. He testified that he was dispatched to respond to a complaint of theft of logs, not a motor vehicle accident. He spoke with the plaintiff, his son, and Mr. Biero.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Cst. Crete testified that the plaintiff's initial complaint was that the District had stolen his logs. The officer said this was resolved quickly, by explaining to the plaintiff that this was a civil matter, and the police would not be involved. He said that the plaintiff then told him there had also been a motor vehicle accident. The plaintiff recounted that he had wanted to keep the District's vehicles on the property, but they decided to leave. He told Cst. Crete that Mr. Biero had backed up his truck at about 20 kph, and almost ran over him. He said he had been behind the truck and had to jump out of the way to avoid injury. Cst. Crete said he asked the plaintiff if he had been injured, and the plaintiff said no. He confirmed during cross-examination that the plaintiff told him he had almost been hit, not that he had been hit.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Cst. Crete said that he examined the scene and the vehicles. He saw no damage to the front bumper of either truck. He said that the plaintiff showed him where the District's truck had been. He looked at the ground there, which was a sandy loose surface, and saw no marks suggesting skidding, sudden movement, or stopping. By his account, the District's truck had been moved to Dewdney Trunk Road when he arrived. I find he is mistaken in that recollection. The evidence of the other witnesses is clear that the District truck was still on the property during the officer's attendance.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Cst. Crete agreed that the plaintiff wanted to press charges against Mr. Biero for driving without due care and attention. He told the plaintiff he would not do so, because he believed there was insufficient evidence and no one had been hurt. In his view, it was not in the public interest to proceed with charges. He said he told the plaintiff he could pursue his complaints civilly or through ICBC if he wished.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testified that his first complaint to Cst. Crete on his arrival was that he had been hit, and that Mr. Biero could have killed him. He initially testified that he was not feeling any injuries when Cst. Crete was there, and so did not mention any to him. He later said he probably showed him his injured knee. The plaintiff said that the officer inspected the vehicles for any damage, and concluded it was not a motor vehicle accident. The plaintiff said that he did not see the officer looking for tire marks. They then discussed the logs, and agreed that the District vehicles could be removed, and the logs would be held where they were until some resolution was reached.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Biero testified that he and Mr. Kocsis spoke to Cst. Crete on the roadside when he arrived, and he then went onto the property to investigate. They remained on the road until he told them they could return to the property and remove the District vehicles away, which they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Biero and Mr. Kocsis prepared statements about the incident on November 16, 2000, which were given to their supervisor, Kim Allen, the next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Clark, an administrator with the District, did not testify, but the plaintiff read in portions of his examination for discovery. These indicated that Mr. Clark believed he received a report about the incident from Mr. Allen on November 17, 2000, and this included an allegation by the plaintiff that he had been struck by a District vehicle. Mr. Clark took steps to make sure the matter was reported to ICBC.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Sometime later, the District arranged for photos to be taken of the truck Mr. Biero drove on November 16, 2000. These were entered at trial. The plaintiff did not believe that these photos showed the same truck, as he believed the one driven by Mr. Biero on November 16, 2000, had a different box on it. Mr. Biero testified the truck was the same one, and no changes had been made to its box.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wrote to the District on November 28, 2000 advising that he intended to initiate legal proceedings as a result of an incident attended by Cst. Crete on November 16, 2000. His letter did not specify whether the incident in question was a motor vehicle accident or theft of logs. The District wrote back, asking him to clarify the events that formed the basis for his concern, but received no response.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testified that he began to feel the effect of his injuries a few hours after the incident. He initially said the tail gate hit him across the chest and bruised him, and the bumper hit his knees and he had scrapes there. Later he said just his left knee was injured. He also acknowledged that at his examination for discovery he had said that the truck hit his stomach, rather than his chest. He explained this by saying he had been hit all over. He said that the injuries to his legs were there for about a week, and his chest was sore for up to a year afterwards.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said that his family took photos of his injuries, and he went to his family doctor, Dr. deClerk, later on November 16, 2000. He said he was sent for an x-ray of his back, and then came home. He agreed that his injuries probably did not prevent him from looking after his goats that night.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son testified that they took photos of his father's injuries, but could not find them for the trial. He said that his father had a scrape below his knee that had been bleeding but was scabbed over, and some bruising above his knee. He also complained of an injury to his chest, but there was nothing visible to be photographed.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did not obtain any medical-legal reports that set out his injuries, or their effect, despite being advised by defendants' counsel in February 2003 of the need to deliver such a report 60 days prior to the trial. The matter was raised again at a pre-trial conference held in early July, about a month before the trial date, and the presiding judge advised the plaintiff that he could deliver a report as late as July 22, 2003. He declined to do so, as he believed it was too late. He was cross-examined on some of his clinical records, but these were not admitted as opinion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permitted the plaintiff to admit the record of a visit to his family doctor on November 17, 2000, over the objection of the defendants as, in my view, the defendants' case raises allegations of recent fabrication with respect to whether the plaintiff was actually struck and injured by Mr. Biero's vehicle. However, on reflection, I am unable to give this document much weight for the following reasons. First, I accept the defendants' point that the lapse of one day makes it conceivable that the plaintiff had already begun his fabrication before seeing his doctor. Second, the doctor's notes are difficult to decipher in their entirety without assistance. They appear to indicate that the plaintiff's primary complaint was of pain in his left leg, that he reported an argument with people from forestry, and that he said he was hit by a truck after an angry driver backed up into him. They also record an abrasion on the right thigh. I am, however, unable to determine what the balance of the notes mean with any accuracy, and so cannot say how, if at all, they might qualify those parts that are clear. Third, the plaintiff himself disputes the accuracy of parts of the doctor's record. He testified that the doctor was wrong in recording the date of the visit, and it was in fact November 16, 2000. He also said that the doctor wrongly recorded an injury to his right leg, as it was only his left leg that was injured.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testified that the incident has crippled him bodily and mentally, both because of his injuries, and because of the lies the defendants have told about him. He says he has not been able to sleep well since November 2002, and he has trouble with his concentration. He attributes this to the incident with the defendants, as he has flashbacks of the truck coming at him, combined with a feeling he can't get out of the way. He had chest pain for about a year after the accident, and says his back bothers him, and he is not able to work as hard as he used to. He gets little pleasure from his work, and needs more help with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was no clear evidence of any treatment that the plaintiff received specifically for the injuries he said he suffered on November 16,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agreed that he has had a number of health problems that are not related to the incident. He has had arthritis, neck pain, and back pain for many years, and had a fusion of his back in 1993. He was taking Tylenol 3 or 292's for these ailments before the accident, and has recently begun to take Vioxx, an anti-inflammatory, as well. He agreed he has had problems sleeping for years, and began to take sleeping pills five years ago. He was diagnosed with Leukemia in 1993. He agreed that some of his chest pain could be due to injuries suffered in caring for his goats, some of which have resulted in him being hospitalized.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nevertheless says the accident aggravated his other health problems, and he has trouble getting around and caring for his goats because of that. He denied that he has any limitations due to his 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son testified that his father was very physical and active, despite having arthritis and leukemia. He said that in the last two years, he has had to help his father more. He needs help getting hay and loading the truck. He has to take a lot of breaks from his work to rest, so the work takes longer, and he is worn down. As well, he has lost his enjoyment of life since the accident. His son said that the plaintiff spends all his time going over these events, to prepare to defend himself against the defendants' allegations, which upset him greatly.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son agreed that his father has had a number of other health problems. Both he and the plaintiff also agreed that the plaintiff has had a number of other stresses in his life recently. He has been involved in several other litigious matters. He has an ongoing dispute with Revenue Canada, over a claim that he owes over $1 million in taxes. As well, his wife has recently developed serious memory problems, and has moved to the United States, so she can be cared for by her daughter. The son agreed that all of these things weigh on the plaintiff's mind.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weighing the evidence, I must keep in mind that the plaintiff bears the burden of proving, on a balance of probabilities, that he suffered injury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 am faced with very different accounts of what transpired between the plaintiff and the defendants on November 16, 2000. Having weighed all of this evidence, I have concluded that the plaintiff has not met the burden of proof on him, for the following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First, the plaintiff is the only person who was in a position to recount what happened to him behind Mr. Biero's truck. Yet his own account of how he was hit is inconsistent. At his discovery, he said the truck box hit him in the stomach, whereas at trial he said he was hit in the chest. His evidence varied as to whether the bumper hit both his legs, or only his left leg. He tried to explain these disparities to some extent by saying the truck had a different box on it than the one in the photos. I do not find that a plausible explanation, and accept Mr. Biero's evidence that there were no changes to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Second, I find that the plaintiff showed no sign of injury, nor did he mention any injury, immediately after the accident. It is common ground that he had no visible injuries. While his son says he heard the plaintiff accuse Mr. Biero of hitting him, Mr. Biero says the plaintiff's accusation was that he almost hit him. The plaintiff agreed he may have said that Mr. Biero almost, or tried to, kill him. I find it significant that Cst. Crete says the plaintiff did not advise him he was injured. I appreciate that Cst. Crete's recollection is not entirely reliable, for example with respect to the position of the vehicles on his arrival. I find, however, that it would be most unlikely for a police officer, in the course of investigating a motor vehicle incident, to fail to accurately record the presence of injuries. I also note that Cst. Crete's written report, prepared the same day, refers to the plaintiff's complaint that Mr. Biero "...wilfully tried to ran [sic] him over..."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appreciate there is also some evidence that Mr. Biero's truck hit the plaintiff. This includes Mr. Biero's acknowledgement that he told ICBC that his truck may have hit the plaintiff when the son's truck ran into it, pushing it back. As well, Mr. Clark from the District was aware by November 17, 2000 that the plaintiff alleged he had been hit. Finally, there is the clinical record of the plaintiff's doctor, describing the appointment on November 17, 2000, although for the reasons mentioned previously, I am unable to give this much weight.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While these factors provide some evidence that the plaintiff may have been hit by Mr. Biero's vehicle, they are insufficient to establish on a balance of probabilities that this was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If the plaintiff was hit in the altercation, I find it more likely that he and his son, rather than Mr. Biero, were responsible for any injury he suffered.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Despite their protestations to the contrary, I find that both the plaintiff and his son were extremely agitated by the time Mr. Biero and Mr. Kocsis decided to leave the property in their vehicles. It was clear that the plaintiff has a long-standing dispute with Hydro, and the incident with the District on November 16, 2000 was, to him, a continuation of that. I find that the plaintiff was intent on stopping the District employees from leaving his property with the skidder, and enlisted his son's support in preventing them from doing so. I find that he deliberately placed himself behind Mr. Biero's truck to prevent him from leaving. The plaintiff had no right to curtail the movement of the District employees and their vehicles. Nor did he need to do so to protect his interest in the logs. He knew with whom he was dealing, and could have obtained their licence plate numbers if he needed further identifying information. He had legal channels by which he could pursue his dispute with the District over the logs.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By taking matters into his own hands in the manner he chose, I find the plaintiff was careless as to his own safety, and any injuries that befell him as a result are largely, if not entirely, due to his own 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well, I find that the plaintiff has failed to establish that Mr. Biero contributed to any injuries he suffered. I am satisfied that Mr. Biero did not deliberately drive his truck into the plaintiff as the plaintiff alleges. Nor has the plaintiff proven that he did so carelessly. While there are no reliable measurements of distance or speed, I am satisfied that Mr. Biero was moving his truck back extremely slowly. I accept that he had to do so, to give the skidder, a much slower vehicle, a chance to catch up and leave with him. As well, I am satisfied that Mr. Biero could not have stopped and started his truck twice, at speeds of up to 20 kph, in the space available, as the plaintiff and his son allege. That is confirmed by the absence of tire marks indicative of skidding or stopping in the area in which the truck was moving.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Further, I find that Mr. Biero had stopped his truck before any impact with the son's truck or the plaintiff. I accept that he had no wish to injure the plaintiff. The position of his truck as it backed down the driveway shows he left space on his left so the plaintiff could safely move beside the vehicle. Once he saw the plaintiff at the back of the truck, I accept his evidence that he stopped to avoid hitting him. There was nothing to be gained by continuing his exit at the risk of injuring the plaintiff, and escalating the consequences of an already unpleasant encounter for all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If the plaintiff was hit, I find this most likely occurred when the son's truck bumped into Mr. Biero's stationary truck, pushing it backwards. I find that in the sequence of events I have described, the plaintiff has failed to establish that responsibility for that impact rests to any degree with Mr. Biero, who was attempting to drive off the property in a prudent manner, and had stopped completely before any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Given these conclusions, it is not necessary for me to proceed with an assessment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action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NEILSON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Reid v. Lehigh Portland Cement Ltd., [2000] B.C.J. No. 2814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Shaw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September 1,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B993113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2814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1878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110 A.C.W.S. (3d) 577</w:t>
      </w:r>
    </w:p>
    <w:p>
      <w:pPr>
        <w:spacing w:before="120" w:line="260" w:lineRule="atLeast"/>
        <w:rPr>
          <w:lang w:val="en-US" w:eastAsia="en-US" w:bidi="ar-SA"/>
        </w:rPr>
      </w:pPr>
      <w:r>
        <w:rPr>
          <w:rFonts w:ascii="arial" w:eastAsia="arial" w:hAnsi="arial" w:cs="arial"/>
          <w:color w:val="000000"/>
          <w:sz w:val="20"/>
          <w:lang w:val="en-US" w:eastAsia="en-US" w:bidi="ar-SA"/>
        </w:rPr>
        <w:t>Between Erik Reid, plaintiff, and Lehigh Portland Cement Limited, previously known as CBR Cement Canada Limited and Insurance Corporation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0" style="position:absolute;z-index:25168998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3" w:name="Keywords_30"/>
      <w:bookmarkEnd w:id="20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pedestrians and bicyclists — Bicycle, standard of care of rider.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4" w:name="Case Summary_29"/>
            <w:bookmarkEnd w:id="20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Reid against Lehigh Portland Cement for damages for injuries suffered by him as a result of an accident that occurred while riding his bicycle. Reid attempted to pass a vehicle on the left hand side in the curb lane of an intersection in an attempt to make a right turn onto the intersecting roadway. In making this manoeuvre, his clothing or backpack was caught by a cement truck and he was propelled along with the truck until his bicycle hit a depression in the roadway. He tumbled off the bicycle and suffered injuries. The driver of the truck was never identified. Reid alleged that the truck had a protrusion extending out from it that caught the bicycle and caused the accident. </w:t>
            </w:r>
            <w:r>
              <w:rPr>
                <w:lang w:val="en-US" w:eastAsia="en-US" w:bidi="ar-SA"/>
              </w:rPr>
              <w:cr/>
            </w:r>
          </w:p>
          <w:p>
            <w:pPr>
              <w:spacing w:before="120" w:line="260" w:lineRule="atLeast"/>
              <w:ind w:left="240"/>
              <w:jc w:val="both"/>
              <w:rPr>
                <w:lang w:val="en-US" w:eastAsia="en-US" w:bidi="ar-SA"/>
              </w:rPr>
            </w:pPr>
            <w:bookmarkStart w:id="205" w:name="Holdings of Court_27"/>
            <w:bookmarkEnd w:id="205"/>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regarding the protrusion from the truck was not proved. It was more probable that Reid undertook a patently dangerous manoeuvre in which his backpack or part of his clothing extended into the lane occupied by the truck and came into contact with it. </w:t>
            </w:r>
            <w:r>
              <w:rPr>
                <w:lang w:val="en-US" w:eastAsia="en-US" w:bidi="ar-SA"/>
              </w:rPr>
              <w:cr/>
            </w:r>
          </w:p>
          <w:p>
            <w:pPr>
              <w:rPr>
                <w:lang w:val="en-US" w:eastAsia="en-US" w:bidi="ar-SA"/>
              </w:rPr>
            </w:pPr>
          </w:p>
        </w:tc>
      </w:tr>
    </w:tbl>
    <w:p>
      <w:pPr>
        <w:jc w:val="both"/>
        <w:rPr>
          <w:lang w:val="en-US" w:eastAsia="en-US" w:bidi="ar-SA"/>
        </w:rPr>
      </w:pPr>
      <w:bookmarkStart w:id="206" w:name="Legislation Cited_20"/>
      <w:bookmarkEnd w:id="20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71" style="position:absolute;z-index:2517411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Insurance Motor Vehicle Act.</w:t>
      </w:r>
      <w:r>
        <w:rPr>
          <w:lang w:val="en-US" w:eastAsia="en-US" w:bidi="ar-SA"/>
        </w:rPr>
        <w:cr/>
      </w:r>
    </w:p>
    <w:p>
      <w:pPr>
        <w:keepNext/>
        <w:spacing w:before="240" w:line="340" w:lineRule="atLeast"/>
        <w:rPr>
          <w:lang w:val="en-US" w:eastAsia="en-US" w:bidi="ar-SA"/>
        </w:rPr>
      </w:pPr>
      <w:bookmarkStart w:id="207" w:name="Counsel_30"/>
      <w:bookmarkEnd w:id="20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2" style="position:absolute;z-index:2517923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K. Wirsig, for the plaintiff. J.C. Cahan, for the defendants.</w:t>
      </w:r>
      <w:r>
        <w:rPr>
          <w:lang w:val="en-US" w:eastAsia="en-US" w:bidi="ar-SA"/>
        </w:rPr>
        <w:cr/>
      </w:r>
    </w:p>
    <w:p>
      <w:pPr>
        <w:spacing w:after="240"/>
        <w:rPr>
          <w:lang w:val="en-US" w:eastAsia="en-US" w:bidi="ar-SA"/>
        </w:rPr>
      </w:pPr>
      <w:bookmarkStart w:id="208" w:name="Judgment_30"/>
      <w:bookmarkEnd w:id="208"/>
      <w:r>
        <w:pict>
          <v:line id="_x0000_s1173" style="position:absolute;z-index:25184358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9" w:name="SHAW J. (orally)"/>
            <w:bookmarkEnd w:id="209"/>
            <w:r>
              <w:rPr>
                <w:rFonts w:ascii="arial" w:eastAsia="arial" w:hAnsi="arial" w:cs="arial"/>
                <w:b/>
                <w:color w:val="000000"/>
                <w:sz w:val="30"/>
                <w:lang w:val="en-US" w:eastAsia="en-US" w:bidi="ar-SA"/>
              </w:rPr>
              <w:t>SHAW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16, 1998, the plaintiff, Erik Reid, was injured in an accident, which occurred at the intersection of Georgia Street and Burrard Street in Vancouver. It was about 5:00 p.m. during the heavy traffic time known as rush hour. Mr. Reid was starting his journey to his home in the Kitsilano area and he was traveling by bicycle when the accident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Burrard and Georgia are both arteries in downtown Vancouver. Each has three traffic lanes going in each direction, Georgia, east and west, and Burrard, north and south. The intersection is controlled by traffic lights.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Reid left his place of work on the north side of Georgia Street, just west of Burrard, and proceeded across Georgia to the south side. His intention was to proceed to the intersection and turn right onto Burrard. The traffic light was red for traffic on Georgia. There were about four vehicles in the curb lane of eastbound traffic and a few in the lane next to the curb lane. Mr. Reid decided to pass a pickup truck in the curb lane on the truck's left-hand side, and "tuck", to use Mr. Reid's word, in front of it in order to approach the intersection in preparation to make his turn right onto Burrard.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meantime, the traffic light for Georgia Street traffic had changed to green. During his manoeuvre, Mr. Reid came into contact with a cement truck that was in the lane next to the curb lane. The cement truck was moving slowly towards the intersection and because of the contact it propelled Mr. Reid and his bicycle along with it. Mr. Reid tried to extricate himself from the contact but was unable to do so. As the cement truck and Mr. Reid were passing through the intersection, the bicycle hit a depression in the roadway and Mr. Reid tumbled off his bicycle suffering a number of injuries, the most significant of which was two broken bones in his right wrist.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all likelihood, the driver of the cement truck was unaware of what was taking place. He simply proceeded through the intersection. Neither he nor his truck have since been identified. As a result, this action at trial is under the unidentified driver provisions of the Insurance Motor Vehicle Act, </w:t>
      </w:r>
      <w:r>
        <w:rPr>
          <w:rFonts w:ascii="arial" w:eastAsia="arial" w:hAnsi="arial" w:cs="arial"/>
          <w:i/>
          <w:color w:val="000000"/>
          <w:sz w:val="20"/>
          <w:lang w:val="en-US" w:eastAsia="en-US" w:bidi="ar-SA"/>
        </w:rPr>
        <w:t>R.S.B.C. 1996, Chapter 231</w:t>
      </w:r>
      <w:r>
        <w:rPr>
          <w:rFonts w:ascii="arial" w:eastAsia="arial" w:hAnsi="arial" w:cs="arial"/>
          <w:color w:val="000000"/>
          <w:sz w:val="20"/>
          <w:lang w:val="en-US" w:eastAsia="en-US" w:bidi="ar-SA"/>
        </w:rPr>
        <w:t>, against the Insurance Corporation of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According to Mr. Reid's evidence, what caused the accident was what appeared to him to be a tube-like protrusion from the right rear portion of the cement truck about one to two feet in diameter. Mr. Reid testified that he was in the curb lane, when he was passing the left-hand side of the pickup truck, and that the cement truck came from behind and caught the seat area of his bicycle with the protrusion, thus pushing him along until the bicycle fell in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essential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Mr. Reid makes against the unknown driver is that he operated a vehicle with a dangerous protrusion extending out from the vehicle's right-hand side. This takes me to a consideration of the evidence relating to this allegation.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First there is the evidence of Mr. Reid. He testified that he looked behind him when he felt his bicycle being moved along by the cement truck and he saw the protrusion.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other evidence, however, which diminishes the force of Mr. Reid's testimony. There was one witness at the scene, that being Ms. Karrie Blomme. She was a pedestrian waiting at the southwest corner of the intersection. Although she did not see the accident, she did observe that Mr. Reid had fallen in the intersection and she saw the cement truck as it was leaving the intersection. She testified that she did not see anything sticking out of the truck that, to use her use her expression, "caught my eye". Ms. Blume went to the aid of Mr. Reid. She testified that she asked him what happened and that he replied that he was hit by a truck. In a statement she gave about a year after the accident, she said Mr. Reid told her, "I think I just got hit."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Reid was taken to hospital by ambulance. The crew report says, "Patient hit by cement truck." The admission record at the hospital says, "Patient struck by cement truck while riding bike." The emergency nursing record filled out at 5:30 p.m., about one half hour after the accident, has a revealing handwritten entry. It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Arrived at EHS per stretcher. Cyclist attempted to manoeuvre around cement truck, but knapsack or clothing caught on vehicle and patient states was pulled along for a few feet.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Mr. Reid's wrist was attended to by a specialist in emergency. The consultation report of July 16, 1998, includes this entry: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He was riding his bicycle when he was apparently clipped and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my view, it is significant that none of the entries mentions a protrusion from the cement truck as the cause of the accident, nor does what Mr. Reid said to Ms. Blume, nor did Ms. Blume notice any protrusion, which, if there was one a foot or two in width, would likely have been readily noticeable by her. Further, the quite specific handwritten entry that Mr. Reid's knapsack or clothing caught on the cement truck does not accord with Mr. Reid's testimony in court that a protrusion from the truck caught the seat area of his bicycle.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law, I must decide this case on the preponderance of probabilities. When I weigh Mr. Reid's testimony against the other evidence mentioned above, I conclude that the essential allegation of a protrusion from the cement truck has not been proven on a balance of probabilities. In my view, it is more probable that Mr. Reid undertook a patently dangerous manoeuvre in which his backpack or part of his clothing on his left side extended into the lane next to the curb lane and came into contact with a cement truck, which, being wide in nature, was likely occupying most of its own lane. I conclude therefore that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cement truck's driver has not been proven on a balance of probabilities.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were issues of whether the identification of the cement truck driver was ascertainable and whether the plaintiff made reasonable efforts to ascertain his identity. In case this case goes further, I record that I find for the plaintiff on these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Also, the parties were not far apart on the assessment of non-pecuniary damages. The plaintiff contended $20,000 and the defendant $15,000. Again, in case of appeal, I would set the amount at $18,000. The parties agreed on loss of earnings in the net amount of $2,233 and special damages at $300, subject, of course, to the issues relating to liability. In the result, I must and do dismiss the plaintiff's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Are there any submissions as to costs?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(SUBMISSIONS BY COUNSEL)</w: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r>
              <w:rPr>
                <w:rFonts w:ascii="arial" w:eastAsia="arial" w:hAnsi="arial" w:cs="arial"/>
                <w:b/>
                <w:color w:val="000000"/>
                <w:sz w:val="30"/>
                <w:lang w:val="en-US" w:eastAsia="en-US" w:bidi="ar-SA"/>
              </w:rPr>
              <w:t>THE COURT</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All right, I will reserve on the matter for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SHAW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Schnare v. Roberts, [2009] B.C.J. No. 584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27-30,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M104239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584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397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176 A.C.W.S. (3d) 715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Sarah Schnare, Plaintiff, and Richard Roberts and Jenny Roberts,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5"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0" w:name="Keywords_31"/>
      <w:bookmarkEnd w:id="210"/>
      <w:r>
        <w:rPr>
          <w:rFonts w:ascii="arial" w:eastAsia="arial" w:hAnsi="arial" w:cs="arial"/>
          <w:b/>
          <w:color w:val="000000"/>
          <w:sz w:val="20"/>
          <w:lang w:val="en-US" w:eastAsia="en-US" w:bidi="ar-SA"/>
        </w:rPr>
        <w:t xml:space="preserve">Damages — Assessment of damages — Measure of damages — Action for damages for injuries suffered as a result of a motor vehicle accident allowed — Defendants argued injuries were minor and that plaintiff did not have permanent disability — Plaintiff suffered soft tissue injuries and was left with some permanent disability -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cause — Plaintiff awarded non-pecuniary damages, past income loss, damages for loss of earning capacity, cost of future care and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1" w:name="Case Summary_30"/>
            <w:bookmarkEnd w:id="2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suffered as a result of a motor vehicle accident. The defendants admitted liability for the accident. The plaintiff claimed to have suffered injuries in that have left her with significant pain, in her low back and sacroiliac area and physical limitations. The plaintiff claimed non-pecuniary damages, past income loss, loss of future earning capacity, loss of housekeeping capacity and cost of future care. The defendants argued that the injuries were minor, and that the plaintiff failed to prove the accident caused her to suffer any long-term or permanent disability.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2" w:name="Holdings of Court_28"/>
            <w:bookmarkEnd w:id="21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soft tissue injuries to her neck, upper, mid and lower back, including in and around her sacroiliac region. The plaintiff was left with a mobile sacroiliac joint.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injuries. The plaintiff was left with some permanent disability. The plaintiff did not fail to take reasonable steps to mitigate her damages. The plaintiff was awarded non-pecuniary damages of $85,000; past income loss of $1,758; damages for loss of earning capacity of $125,000; cost of future care in the sum of $28,600; and special damages in the sum of $2,463.39.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3" w:name="Legislation Cited_21"/>
      <w:bookmarkEnd w:id="2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6"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Supreme Court Rules, B.C. Reg. 221/90, Rule 37B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4" w:name="Counsel_31"/>
      <w:bookmarkEnd w:id="2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7"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S.J. Henshaw and R. 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Burns and K. Wince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5" w:name="Judgment_31"/>
      <w:bookmarkEnd w:id="215"/>
      <w:r>
        <w:pict>
          <v:line id="_x0000_s1178"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6" w:name="E.J. ADAIR J."/>
            <w:bookmarkEnd w:id="216"/>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Sarah Schnare, a teacher who is married with two young children, was involved in a car accident one morning in March, 2005, while she was on her way to school. Ms. Schnare was stopped behind several vehicles at a traffic light, waiting to turn left. Her vehicle was hit from behind with sufficient force that it was pushed into the vehicle in front of her. The defendants admit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Schnare claims to have suffered injuries in the accident that have left her with significant pain, in particular in her low back and sacroiliac area, and physical limitations. She contends that, as a result of the accident, many aspects of her personal, home and work life have been, and continue to be, affected, despite treatment and her determined efforts at rehabilitation. In addition to non-pecuniary damages, Ms. Schnare claims damages for past income loss, loss of future earning capacity, loss of housekeeping capacity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acknowledge that Ms. Schnare suffered some injuries in the accident, and that, accordingly, she is entitled to some damages. However, they say that the injuries were minor, and that Ms. Schnare has failed to prove the accident caused her to suffer any long-term or permanent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principal issues I must determine are the nature, extent and duration of Ms. Schnare's injuries; whether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cause of those injuries and, if causation has been established, what are the damages to which Ms. Schnare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Review of the Evidence</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Ms. Schnare's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Schnare was born in June 1972. She lives in Surrey, BC with her husband, Philippe, who is a fire-fighter, and their two children. Their daughter was born in August 1998, and their son was born in July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the accident, Ms. Schnare was very active, energetic and involved in a number of activities, both with her family and in her work. In his testimony, Mr. Schnare, who has known his wife since she was 12 years old, described her as being always very active both mentally and physically, with very high energy and like "a butterfly with a jet engine." Ms. Schnare was a master speed swimmer, and she had worked as a lifeguard for a number of years when she was younger. She enjoyed other sports and physical activities, including hiking and bicycling with her family. Vigorous walking and working out at the YMCA also helped Ms. Schnare to keep physically fit prior to the accident. She was an enthusiastic gardener (where her activities included tree-planting), and she was the member of the family that did the lawn mowing. She compiled scrapbooks as a hobby. Ms. Schnare did most of the cooking for the family and enjoyed trying out new recipes. She was handy with tools and enjoyed working with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Schnare was also a dedicated teacher. After university, she began her teaching career in 1996, teaching kindergarten, which she described as her "passion." From 1997 to June 1999, she taught a combination of grades 1 through 5, in a job-sharing arrangement with Ms. Margie Schultz, who testified at trial. During this period Ms. Schnare had a six-month maternity leave in connection with the birth of the Schnares' daughter. In September 1999, Ms. Schnare moved to a new school and taught grades 1 and 2 (again in a job-sharing arrangement) through to June 2000. Beginning in September 2000, through to June 2001, Ms. Schnare taught kindergarten full-time. She then took a one-year maternity leave, and returned to work in September 2002, teaching kindergarten at a 40% load to June 2003. From September 2003 to June 2007, she taught kindergarten, working four days a week (or an 80% load). During this period Ms. Schnare worked side-by-side with Ms. Schultz. For the school year beginning September 2007, Ms. Schnare changed schools and taught kindergarten at a 80% load to June 2008. Beginning in September 2008, she began teaching grade 1 at this school, at an 80% load.</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accident occurred on the morning of March 14, 2005, when Ms. Schnare was on her way to work. She recalls that she was stopped, with her foot on the brake, behind several vehicles at a traffic light, waiting to turn left. She felt a large impact and heard a loud noise, and realized her vehicle had been hit and been pushed into the vehicle in front of her. She got out of her car to see what had happened, and noticed that the airbag in the defendants' car had been deployed. The defendant Jenny Roberts (who had been driving) had difficulty opening the door on the driver's side and climbed into the back of the car to get out. Ms. Schnare phoned 911, and ambulance, fire and police authorities arrived. However, no one was taken to hospital. Ms. Schnare's husband came to the scene and accompanied Ms. Schnare on to Ms. Schnare's school.</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Ms. Schnare's symptoms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Schnare testified that, immediately after the collision, her lower back was sore, as was her neck. She described her low back as feeling tight and there was a generalized aching pain. Another teacher was called in to cover for Ms. Schnare the day of the accident. Ms. Schnare managed to arrange a brief appointment with Dr. Fagan, her family doctor. She recalls that her main complaint was her lower back. She also had stiffness and soreness in her shoulder and a headache. Ms. Schnare recalls Dr. Fagan suggesting that, if necessary, she should take ibuprofen for pain. Ms. Schnare spent a quiet day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Fagan's evidence concerning his examination of Ms. Schnare on the day of the accident provided some additional details. He examined her head and neck, and noticed that the muscles were tender, more on the left side than the right. The same was true of her back, although he noted that Ms. Schnare was able to fully flex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day after the accident, Ms. Schnare felt more stiff, but went into work, where she was able to do what needed to be done. The next day was a scheduled day off. Then, although she recalls feeling stiff and sore, Ms. Schnare worked the balance of the week, which was the week before March break. She took ibuprofen for pain, applied both heat and ice, and tried to find "positions of comfort" off her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the March break, the Schnare family went to visit Ms. Schnare's mother on the Sunshine Coast, as previously planned. Ms. Schnare testified that, although normally she would have joined her family in activities such as walks on the beach and hiking local trails, she was unable to. She felt fatigued, and continued to feel soreness in her lower back, shoulder and neck. She reported that she also began to have issues with her mid-back.</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Ms. Schnare begins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Dr. Fagan's referral, Ms. Schnare began physiotherapy treatments on March 31, 2005. Her therapist Grant McLean, who testified at trial, has been practicing for 31 years. He regularly works with individuals who have been in car accidents, and Dr. Fagan frequently refers patients to him. Mr. McLean carries on what he described as a mixed orthopaedic and musculo-skeletal practice. Mr. McLean explained that, although what a patient tells him is important, ultimately what guides what he does in treatment is what he sees in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McLean testified concerning his observations during Ms. Schnare's first appointment. His assessment focussed on three main areas: the cervical spine and neck, the thoracic spine, and the lumbar spine and sacroiliac joint(s). Mr. McLean found stiffness and tenderness in the thoracic area, and stiffness and pain on assessment of movement of lumbar segments. Most significantly, he observed that Ms. Schnare's pelvis did not seem to be even. It was elevated on the right side and rotated forward, while the left side rotated in reverse. This was not normal. He found tenderness around the right sacroiliac joint, and tenderness and tightness of left buttock muscle. Mr. McLean testified that his assessment at the first appointment was limited as Ms. Schnare reported she was sore. His main finding was that Ms. Schnare's pelvis was twisted, and this pattern continued throughout his treatment of her: the right side of the Ms. Schnare's pelvis was not behaving the way it should.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Schnare continued with regular therapy, which she found helpful. Mr. McLean testified that, into May, Ms. Schnare had decreasing complaints of pain, and he observed increasing range of motion in her neck and back. However, in mid-May, Mr. McLean noted an increase in movement in the left sacroiliac joint, that Ms. Schnare reported increased pain, and that there was a limitation of lumbar range of motion. Mr. McLean also noted that, based on movement tests he administered, Ms. Schnare's left sacroiliac joint was not functionally stable, and was not yet behaving in a predictable, normal way. On May 24, Ms. Schnare described feeling like the left side of her lower back was "locked up," and Mr. McLean testified that, once again, Ms. Schnare's pelvis was twisted to the left. During an appointment later in May, Mr. McLean observed that, when Ms. Schnare bent forward, her back would again deviate off to the right, showing the same pattern he observed on his first assessment. He gave her manual therapy to try and "unwind" or restore a normal position to the pelvis.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time to time, Ms. Schnare was prescribed medications by Dr. Fagan. However, her preference was to avoid taking medication, although she took ibuprofen occasionally. She said that she did her best to "push through" her pain. She attempted to improve how she was feeling by being proactive, attending physiotherapy and building up the strength in her body's core area through exercise. She found that applying heat to her back was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Ms. Schnare improves with therapy and personal effort, but continues to have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Schnare described the summer of 2005 as being very difficult. Dr. Fagan saw her on July 6, 2005, and he noted that she had an "awkward gait" and was unable to sit straight. Ms. Schnare had both x-rays of her lumbar spine and sacroiliac joints, and an MRI scan. The results were normal. In August, she had a series of cortisone injections administered by Dr. Fagan.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Ms. Schnare testified that she continued to experience many issues with her back, which she found very frustrating. She said that she was very limited in her ability to do normal chores and activities around the Schnare house. During another visit to her mother's, she was in such pain that her mother had to help more than normal with Ms. Schnare's children. Ms. Schnare and her husband Philippe both testified concerning some home renovations they had planned prior to Ms. Schnare's accident. Ms. Schnare had expected to be actively involved in the work. Ms. Schnare explained that her father had been a contractor and she was comfortable using tools and working with wood. However, after the accident, bending and lifting were too difficult for her. Ms. Schnare was unable to help her husband with demolition and preparation for the renovation, or with projects such as laying a floor, painting or finishing work, cleaning up or anything involving lifting. Instead, Mr. Schnare had to recruit others to help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September 2005, Ms. Schnare returned to work after the summer break. In fact, Ms. Schnare has missed only seven and a half days of work on account of her injuries. She continued regular physiotherapy, which she described as being a great help to her. She felt more stable, that her pelvis was more level and that she was better able to cope with daily demands. However, her therapy treatments were after work and scheduling was difficult. Ms. Schnare said that it was hard for her children to be without her around at the dinner hour. At home, Ms. Schnare worked at the exercises she was given to do. She implemented adjustments and devised accommodations to help her carry on with activities despite her back pain. She purchased an exercise ball, which she used at school instead of a chair. She was given a "sacrobelt," which she wore, both at work and at home, for about six months. Again, Ms. Schnare felt that this was a benefit, and made her feel more "held together." She purchased a neoprene-type wrap, into which she could insert either a hot or cold pouch, and she wore the wrap around her lower back. She purchased a chair to make it more comfortable for her when she worked at home on report cards. In 2007, Ms. Schnare began doing Pilates, again to help build up strength in her "core."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Schnare continued with physiotherapy with Mr. McLean. In his notes for November 25, 2005, for example, Mr. McLean recorded marked restriction in Ms. Schnare's range of motion, and that the misalignment of her pelvis was still apparent. Her primary complaint was the problems associated with her back, and this complaint was consistent with what Mr. McLean observed during therapy. Mr. McLean testified that the areas where Ms. Schnare described having pain and the tasks where she identified she was limited made sense with the movement observations he made. For example, Mr. McLean observed that when Ms. Schnare bent forward her back would rotate. This observation fit with her description of having difficulty bending and doing routine household chores such as vacuuming.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the beginning of 2006, Mr. McLean observed that Ms. Schnare was still very cautious with her movements. He observed that she had difficulty standing on one leg, particularly her right leg, and this was also painful for her. Mr. McLean observed that Ms. Schnare's active movements through her lower back remained limited, and with variable degrees of twist.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McLean explained that, from time to time, he would apply tape on the left back side of Ms. Schnare's pelvis. Because the left side of her pelvis was rotated backwards, he worked with Ms. Schnare on exercises to rotate it forward and then used tape to hold it, to see if keeping her back in a more neutral position would help ease back pain. Indeed, the taping helped.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early 2006, Ms. Schnare began seeing Dr. Chu, a specialist in physical medicine and rehabilitation, on referral from Dr. Fagan. She recalls that, at the time, she was continuing to have symptoms in her lower back and neck, and was continuing to have difficulty with normal activities. She said that she was referred to Dr. Chu because she wanted to get better. Over a period of months, Dr. Chu gave Ms. Schnare a series of injections in her back, using different drugs. Ms. Schnare described the injections as extremely painful, and she had a reaction to one of the drugs, xylocaine. Ms. Schnare testified that she experienced some improvement and temporary relief from injections of xylocaine and cortisone, and Mr. McLean observed the improvements during physiotherapy sessions. Her last visit to Dr. Chu was in August 2006. Ms. Schnare felt he had done whatever could be done for her using injections and, while there was some temporary benefit, she found the injections themselves very painful. Ms. Schnare recalls Dr. Chu's advice being that she should continue with exercise to strengthen her "core," which is what she has done through exercise such as Pilates.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Although both Dr. Fagan and Mr. McLean testified at trial, neither provided an expert report. Moreover, Ms. Schnare did not call Dr. Chu as a witness, nor did he provide an expert report. Counsel for the defendants submitted in closing argument that, as a consequence, an adverse inference should be drawn, relying on </w:t>
      </w:r>
      <w:r>
        <w:rPr>
          <w:rFonts w:ascii="arial" w:eastAsia="arial" w:hAnsi="arial" w:cs="arial"/>
          <w:b/>
          <w:i/>
          <w:color w:val="000000"/>
          <w:sz w:val="20"/>
          <w:lang w:val="en-US" w:eastAsia="en-US" w:bidi="ar-SA"/>
        </w:rPr>
        <w:t>Barker v. McQuahe</w:t>
      </w:r>
      <w:r>
        <w:rPr>
          <w:rFonts w:ascii="arial" w:eastAsia="arial" w:hAnsi="arial" w:cs="arial"/>
          <w:color w:val="000000"/>
          <w:sz w:val="20"/>
          <w:lang w:val="en-US" w:eastAsia="en-US" w:bidi="ar-SA"/>
        </w:rPr>
        <w:t xml:space="preserve"> (1964), 49 W.W.R. 685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However, where a plaintiff has provided a sufficient explanation, no adverse inference will be drawn: see </w:t>
      </w:r>
      <w:r>
        <w:rPr>
          <w:rFonts w:ascii="arial" w:eastAsia="arial" w:hAnsi="arial" w:cs="arial"/>
          <w:b/>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(1997), 38 B.C.L.R. (3d) 306</w:t>
        </w:r>
      </w:hyperlink>
      <w:r>
        <w:rPr>
          <w:rFonts w:ascii="arial" w:eastAsia="arial" w:hAnsi="arial" w:cs="arial"/>
          <w:color w:val="000000"/>
          <w:sz w:val="20"/>
          <w:lang w:val="en-US" w:eastAsia="en-US" w:bidi="ar-SA"/>
        </w:rPr>
        <w:t xml:space="preserve"> (S.C.) at paras. 14-17. Here, counsel for the defendants objected at trial to the admissibility of opinions contained in Dr. Fagan's and Mr. McLean's clinical records, on the grounds that Ms. Schnare had failed to comply with Rule 40A. I sustained this objection. However, the clinical records from Dr. Fagan, Dr. Chu and Mr. McLean were produced and made available to the defendants and their counsel prior to trial. The defendants' medical expert, Dr. McPherson, mentions them in his report dated November 25, 2008, and Mr. Burns cross-examined Ms. Schnare, Dr. Fagan and Mr. McLean using passages from these records. The defendants did not see fit to call Dr. Chu as a witness themselves. In addition, while Ms. Schnare's counsel had no objection to making Dr. Chu's clinical records part of the evidentiary record, counsel for the defendants did object. In the circumstances, I am satisfied that there is a sufficient explanation for the absence of opinion evidence from Dr. Fagan and Mr. McLean (namely, the defendants' objection, based on non-compliance with Rule 40A, was upheld), and that no adverse inference should or can be drawn as a result of the plaintiff not tendering a medical-legal report from Dr. Chu or calling him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Schnare continued with some physiotherapy in 2006. She saw Mr. McLean on August 15, 2006, around the time Ms. Schnare received her final injections from Dr. Chu. Mr. McLean observed that, for the first time, Ms. Schnare was able to bend forward without the rotational pattern. He also noted that Ms. Schnare was more stable to his testing of her right sacroiliac joint. Nevertheless, in the fall of 2006, Mr. McLean could still observe the pelvic asymmetry, and he felt that the right side of the pelvis was driving this. Mr. McLean testified that, in his experience, pelvic asymmetry is a common finding, although Ms. Schnare's was not typical in that it was quite marked. When Ms. Schnare bent forward, Mr. McLean was able, consistently, to observe the rotational pattern, and sometimes the rotation was dramatic. Mr. McLean was firm in his evidence that the rotation was not voluntary, and he observed the pattern from the first time he saw Ms. Schnare in March 2005 through to the last time she was in the clinic, in November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Mr. McLean saw Ms. Schnare on November 22, 2007, he noted "best so far" with respect to the active range of motion in her lower back, and he observed near full range of motion without deviation. In my view, this evidence is consistent with Ms. Schnare's condition in fact improving over the period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Opinion evidence concerning Ms. Schnare's injuries and their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Theo van Rijn performed two independent medical examinations of Ms. Schnare, at the request of her counsel. Dr. van Rijn has been qualified to practice the speciality of physical medicine and rehabilitation (a specialty known as "physiatry") in BC since 1983. Among other positions, he served as an examiner for the Royal College of Physicians and Surgeons of Canada from 1997 to 2002, qualifying physicians for his specialty of physical medicine and rehabilitation, as the medical director/manager of G. F. Strong Rehabilitation Centre from 2002 to 2005, and as head of the division Physical Medicine and Rehabilitation at the University of British Columbia from 2002 to 2007. Dr. van Rijn prepared two medical legal reports, the first dated January 25, 2007 and the second dated June 5, 2008. He also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found Dr. van Rijn's evidence particularly helpful in explaining the nature of Ms. Schnare's injuries and what most likely had happened to her in the accident, as well as the consequences of those injuries. I also found this evidence helpful in providing a context to understand both Ms. Schnare's complaints of pain and limitations in her activities and Mr. McLean's observations, as a physiotherapist, during his treatment of Ms. Schnare.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his reports, and in his testimony at trial, Dr. van Rijn elaborated on the source of the pain in Ms. Schnare's lower back and in and around her sacroiliac region. In my view, this evidence is very important in explaining the nature of the injuries suffered by Ms. Schnare in the accident and how those injuries related to the pain and difficulties Ms. Schnare has been experiencing since the accident. It is also important in explaining, from a medical perspective, Mr. McLean's objective findings during his treatment of Ms. Schnare.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van Rijn's January 25, 2007 report is based on his examination of Ms. Schnare the same day. He noted that, while standing, Ms. Schnare had a slight spinal asymmetry, thoracic convexity to the right, and that she had a forward hemipelvic rotation. He found that truncal rotation to the left was diminished, with accompanying pain in Ms. Schnare's lower back. Dr. van Rijn observed restricted forward flexion even with accommodating truncal/pelvic rotation to the right. Most significantly, he noted that Ms. Schnare had a "mobile (right) sacroiliac region when examined," that "tests ostensibly stressing the lumbrosacral and sacroiliac joints were more troublesome on the left than on the right," and that these tests "were symptomatic bilaterally, more on the left than on the right." I note that these findings are consistent with Mr. McLean's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his January 25, 2007 report, Dr. van Rijn reported that Ms. Schnare has symptoms in and around her sacroiliac region. He provided a description of the sacroiliac joint: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sacroiliac joint connects the lower part of the spine (sacrum) with the pelvis (ilium). Normally this joint moves very little and is held intact by a dense series of ligaments bridging the joint itself. Occasionally with rotational injuries where one area of the spine or pelvis is held immobile and twisting or torquing forces are applied to the other relatively "free" area, strains of this joint can occur, possibly even resulting in rupturing of (some of these) ligaments. The joint may then become somewhat "mobile." This may result in pain with rotational movements depending on the degree of mobility, even with prolonged standing or sitting. Frequently pain in this area can radiate into the hip and sometimes down into the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commented in his report that Ms. Schnare had noted a functional change in her leg length and, "although I don't believe she has a true leg length difference, it is difficult to determine because of the degree of pelvic rotation." Dr. van Rijn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Schnare] has an unremarkable history of mid and lower back problems prior to the accident. Her problems began shortly after the accident. Wherever the most likely pain generator is, the accident seems to have been the major factor that has brought on the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van Rijn's June 5, 2008 report sets out his conclusions and opinions based on his further examination of Ms. Schnare on May 7, 2008. He noted that Ms. Schnare "preferentially chose a hard chair to sit on" during their interview. He noted that there was some increased muscle tightening present in and around Ms. Schnare's upper neck, and that neck range of motion continued to be restricted, with about 50% of normal rotation to the right and about 2/3 rotation to the left. Side flexion to the right was full, but Dr. van Rijn noted about 30% loss of side flexion to the left. He noted forward flexion was full "accompanied by neck pain," and extension was limited by about 50%. He continues (</w:t>
      </w:r>
      <w:r>
        <w:rPr>
          <w:rFonts w:ascii="arial" w:eastAsia="arial" w:hAnsi="arial" w:cs="arial"/>
          <w:i/>
          <w:color w:val="000000"/>
          <w:sz w:val="20"/>
          <w:lang w:val="en-US" w:eastAsia="en-US" w:bidi="ar-SA"/>
        </w:rPr>
        <w:t>italics</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standing, she had a slight spinal curve, 'S' shaped in nature, thoracic convexity to the right. </w:t>
      </w:r>
      <w:r>
        <w:rPr>
          <w:rFonts w:ascii="arial" w:eastAsia="arial" w:hAnsi="arial" w:cs="arial"/>
          <w:i/>
          <w:color w:val="000000"/>
          <w:sz w:val="20"/>
          <w:lang w:val="en-US" w:eastAsia="en-US" w:bidi="ar-SA"/>
        </w:rPr>
        <w:t>Her right hemipelvis was 'rotated' in a forward direction when standing</w:t>
      </w:r>
      <w:r>
        <w:rPr>
          <w:rFonts w:ascii="arial" w:eastAsia="arial" w:hAnsi="arial" w:cs="arial"/>
          <w:color w:val="000000"/>
          <w:sz w:val="20"/>
          <w:lang w:val="en-US" w:eastAsia="en-US" w:bidi="ar-SA"/>
        </w:rPr>
        <w:t xml:space="preserve"> but wasn't present when she was in a supine position. She complained of pain in her left lower back and around her left sacroiliac joint . . . . Extension, especially with side flexion to the left increased her lower back symptoms. She was only able to bend forward so her hands were just below the knee level before stopping because of increasing back stiffness and pain. . . . Tests ostensibly stressing the lumbosacral and sacroiliac joints were symptomatic on the left side and unremarkable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section "Opinion, Reasoning and Analysis," Dr. van Rijn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last reviewed, I opined that Ms. Schnare likely suffered lower back pain as a result of the accident and I still believe this to be the case. Furthermore, I opined that the area around her left sacroiliac region was also involved and I believe this continues to be the case and likely accounts for some of the regional pain she has in this area, the sensation she has of "pelvis rotation" and having difficulty walking or climbing stairs because of increasing pain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van Rijn reaffirmed his 2007 opinion that Ms. Schnare's mid-back complaints were related to the accident, and, based on further review of clinical records, stated that the accident was also likely responsible for Ms. Schnare's subsequent neck problems. With respect to Ms. Schnare's complaints of fatigue, Dr. van Rijn's opinion was that, while fatigue is a ubiquitous condition, in the absence of any such complaint prior to the accident, Ms. Schnare's ongoing accident-related pain and physical limitations were likely contributors to her fatigue. Under the heading "Disability," Dr. van Rijn concluded: "Ms. Schnare continues to complain of activity limitation and participation restrictions that have persisted in excess of 3 years and more likely than not her accident related symptoms have resulted in permanent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testimony at trial, Dr. van Rijn elaborated on the most likely source of Ms. Schnare's back pain, and identified the sacroiliac joint as a pain generator. He provided a brief, simplified description of the anatomy and functioning of the lower back, the pelvis and the sacroiliac region and joints. He explained that, in the last decade or so, it has been established through various means that about 80% to 85% of lower back pain originates in three structures: the facet joints, the disks, and the sacroiliac region. Dr. van Rijn noted that this was not the teaching when he (and Dr. McPherson, the defendants' expert) went to medical school. Dr. van Rijn explained that, while it is difficult to state absolutely and for certain that a pain comes directly from a joint, through examination and patient history, a doctor can be more sure about the source of the pain. He explained that, in Ms. Schnare's case, the pain localizes clearly to the sacroiliac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cross-examination, Dr. McPherson's theory, that the sacroiliac joints were solid structures and that (with the exception of women in their third trimester) the joints were unlikely to move or shift or change, was put to Dr. van Rijn. Dr. van Rijn did not agree with it. He said that the theory reflected the training of Dr. McPherson and his own training, some decades ago. Dr. van Rijn thought it unlikely that Dr. McPherson would have operated on individuals with somewhat loose sacroiliac joints. Rather he more likely would have seen individuals whose joints were shorn - torn apart - or where there was a great deal of laxity because of trauma. However, Dr. van Rijn thought there would be instances of loose or mobile sacroiliac joints that an orthopaedic surgeon would not see because the surgeon could not offer any help in such cases. Dr. van Rijn explained that the joint is generally stable and solid, as it must be, since otherwise everyone would experience pain when walking. However, there are variations of stability and solidity that can be caused by a variety of factors. Pregnancy is one factor, and trauma is another. Dr. van Rijn explained that trauma can tear ligaments and supporting structures so that there is more mobility in the joint, and that mobility can cause pain. So, while the joint is stable in most instances, it is not stable in all instances.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van Rijn also firmly rejected the proposition put to him on cross-examination that if there was any looseness or mobility in Ms. Schnare's sacroiliac joints, it would be seen on an x-ray, MRI or bone scan. Dr. van Rijn explained the reason looseness or mobility would not be seen is because all are static images. The result of an x-ray might show that a joint is sitting in the right place, but it could not show that the joint was in fact 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medical expert (and the only defence witness) was Dr. Duncan McPherson, a retired orthopaedic surgeon. Dr. McPherson obtained his MD in 1956, became a fellow of the Royal College of Surgeons of Canada (orthopaedics) in 1961, and was in private practice as an orthopaedic surgeon in Vancouver from 1965 to 1997. He was also a past president of the BC Medical Association. However, for the last decade and more, he had been engaged primarily in providing disability appraisals for I.C.B.C., and also for insurers and unions. Since about 1994, this has been his primary source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my view, Dr. McPherson's close and lengthy association with I.C.B.C. reflected negatively on his impartiality, and Dr. McPherson lacked the independence the court is entitled to expect from an expert witness. I considered that Dr. van Rijn was open-minded about more current teachings concerning the source and causes of back pain, explaining that these were different from what he and Dr. McPherson had been taught. In contrast, I found Dr. McPherson to be unhelpfully dismissive of opinions other than his own, and he appeared to be particularly dismissive of observations made by Mr. McLean, which Dr. McPherson made no real attempt to explain. In my view, Dr. McPherson approached his one and only examination of Ms. Schnare in January 2006 with a closed mind, and he was not prepared to accept even the possibility that mobility in Ms. Schnare's sacroiliac joints was the source of her pain. Instead, Dr. McPherson described Ms. Schnare's complaints as "very unusual," and, although he was unable (or unwilling) to identify a cause, he was firm that her complaints were unrelated to the accident. Dr. McPherson's rejection of the possibility of mobility of the sacroiliac joints being a source of Ms. Schnare's pain led him to suggest (in his February 20, 2006 letter to an I.C.B.C. claims adjuster) that Ms. Schnare might have a sacral tumour, something that he acknowledged was extremely rare. In the end, Dr. McPherson had no explanation for Ms. Schnare's complaints, although his opinion was that the accident did not cause them. I did not find Dr. McPherson's evidence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these circumstances, I give little weight to Dr. McPherson's opinions. On the other hand, Dr. van Rijn's evidence and opinions are consistent with the evidence from Ms. Schnare and Mr. McLean, and provide a reasonable explanation from a medical perspective of what has happened to Ms. Schnare. I therefore accept and rely on Dr. van Rijn's evidence and opinions concerning the nature, extent and cause of Ms. Schnare's injuries, and concerning the extent of her current limitations resulting from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Ms. Schnare's current problems and activity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According to both Ms. Schnare and Mr. Schnare, virtually every aspect of Ms. Schnare's life has been affected, and continues to be affected, by the injuries, particularly in her lower back area, that she suffered in the accident. Normal household chores, such as vacuuming and laundry, are more difficult and cause her to experience pain. Mr. Schnare has taken over many of these tasks. He now prepares and cooks dinner for the family, in place of Ms. Schnare. (I have already mentioned the changes that the Schnares had to make to complete their home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Schnare has had to give up much of the gardening she enjoyed prior to the accident. Mr. Schnare has taken up the gardening duties, for which he has much less interest than Ms. Schnare, under Ms. Schnare's direction. Since Ms. Schnare wanted to continue to be involved to the extent she felt able, she purchased a piece of equipment called a "garden rocker" chair in 2006, which she uses. This is another example of adjustments Ms. Schnare has made to accommodate for her back pain. She no longer engages in her scrapbooking hobby, which required sustained sitting and bending. Although swimming had been one of her favourite sports prior to the accident, after the accident she found it hard on her back and she experienced neck pain when breathing from side to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Family car trips aggravate her symptoms, as Ms. Schnare finds it difficult to sit for more than 45 minutes at a time. Biking and walking can also aggravate her back pain. Ms. Schnare's next-door neighbour, Diana Brebuck, has been a regular walking partner (along with the respective family dogs) prior to and following the accident. Ms. Brebuck testified that after the accident, Ms. Schnare's walking pace had slowed and that, initially, the walks were shorter and she noticed Ms. Schnare wincing occasionally. Although they are now back to walks of about 45 minutes, Ms. Brebuck said that their walking pace is not as brisk as prior to the accident. Ms. Schnare testified that routine activities - such as giving the Schnares' dog a bath or lifting her son - involving bending or twisting can and have aggravated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Schnare liked to be very active helping her children with their schoolwork. However, since the accident, Ms. Schnare finds it difficult to sit at the work table with her children, or to lean over to review their work, and her husband has taken over this task, particularly with the Schnares' daughter. Another activity Ms. Schnare enjoyed when she was younger was horseback-riding. However, when the Schnares' daughter was given riding lessons as a Christmas present in 2007, Ms. Schnare was unable to be involved to the degree she wished, because she found that the prolonged standing was painful for her, especially in colder weather. Ms. Schnare was also a keen soccer player when younger, and played goalie. However, when the Schnares' daughter began playing soccer and followed in her mother's footsteps by playing goalie, Ms. Schnare again was unable to help her daughter work on her skills because the activities aggravated Ms. Schnare's back. Rather, Mr. Schnare, who had never played soccer, took over coaching his daughter. Ms. Schnare's back pain has interfered with restful sleep. Both Ms. and Mr. Schnare testified about how their intimate relationship has been affected, negatively, by Ms. Schnare's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Another important area where, according to Ms. Schnare, her injuries have had a profound effect is in her career. Ms. Schnare described herself as being passionate about teaching kindergarten, which she described as a "magical year" and a "year of firsts." However, after the accident, she found that, physically, it was too difficult and painful for her to accommodate the reality that everything in a kindergarten class is low down or on the floor, with much time spent interacting with small children at their level. Grade 1, where children spend more time at desks, is easier physically. Ms. Schultz, who has also taught kindergarten and grade 1, confirmed in her evidence that the physical demands on a kindergarten teacher are high, and less so in grade 1. Where there are two kindergarten classes in a day, the class in the afternoon demands the same high energy level as the class in the morning, and Ms. Schnare says that she becomes fatigued over the work-day. Ms. Schnare compared teaching two kindergarten classes a day to teaching a full-day grade 1 class. In the full-day class, the children tend to lose energy during the day along with their teacher. Ms. Schnare said that she found prolonged sitting, such as in staff meetings, painful and uncomfortable. In her testimony, Ms. Schultz said that she observed Ms. Schnare at the end of a school day and Ms. Schnare appeared tired. Rather than stay later for such things as committee meetings, which Ms. Schnare had done prior to the accident, Ms. Schultz said that Ms. Schnare went home to rest. Ms. Schultz also observed Ms. Schnare using her heating bag and exercise ball, and said that during staff meetings, Ms. Schnare would get up and stretch, something she had not observed Ms. Schnare doing prior to the accident. Ms. Schnare also testified that she found that the prolonged sitting involved in the preparation of report cards (which she generally did at home) caused her discomfort, and completing the report cards took longer because she had to schedule breaks. She purchased a chair to make it more comfortable for her to do this work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Prior to the accident, Ms. Schnare and her husband had discussed Ms. Schnare returning to work full-time (i.e., 100%, rather than the 80% she is now working) once their daughter entered grade 7. However, Ms. Schnare testified that she worked a full week in the fall of 2008, and said that she cannot imagine at this time working full time. She feels that she needs the day off because of the pain she experiences. Dr. van Rijn commented in his reports concerning fatigue associated with Ms. Schnare's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Ms. Schnare's category level, as of July 2008, the annual salary of a teacher working 100% is $64,000. Ms. Schnare's annual salary was $51,200, or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Schnare testified that she continues to experience back pain and some neck pain. She is stiff and sore when she wakes up, and she described that it feels like there is a weight on her back. She occasionally experiences sharp pain, or flare-ups of pain, from certain activities. Her sleep is interrupted as pain in her back and neck will wake her up. This, along with her experience of pain from normal activities (for example, bending, carrying, twisting, climbing stairs) will increase her fatigue throughout the day. Mr. Schnare testified that, whereas before the accident his wife was always full of energy when she got home after work, now when she gets home she seeks out her "magic" heating bag and tries to find a position of comfort. With respect to recreational activities, Ms. Schnare said that she now feels like a spectator, which is very frustrating for her, and that everyone in her family is affected. Mr. Schnare confirmed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addition to damages for pain and suffering, Ms. Schnare seeks damages for loss of future earning capacity, future care expenses and special damages (in particular, reimbursement of the cost of Ms. Schnare's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concede that Ms. Schnare suffered some soft tissue injuries in the accident, but argue that her injuries are in the mild to moderate range. They argue (relying on the opinion of Dr. McPherson) that Ms. Schnare has not suffered any permanent injuries or disabilities as a result of the accident, and that her current complaints are unrelated to the accident. They concede that Ms. Schnare is entitled to damages for past loss of income, and they agree that her net wage loss is $1,758.00. However, they argue that Ms. Schnare is not entitled to any damages for future care expenses or loss of earning capacity, and argue further (again based on Dr. McPherson's evidence) that the number of physiotherapy treatments was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also argue that Ms. Schnare could have mitigated her damages - and obtained relief from the pain she claims affects every aspect of her life - by the proper use of medication, and by undergoing a treatment called prolotherapy, but failed to do so. They argue that, instead, Ms. Schnare's decision to limit the amount of medication she is prepared to take, and her rejection of prolotherapy, has increased the amount of discomfort she experiences and has prolonged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issues I must determine are: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the nature, extent and duration of Ms. Schnare's injuries and was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cause? I will also address mitigation under this heading.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amount of non-pecuniary damages?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Schnare entitled to compensation for loss of earning capacity, and, if so, in what amount?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Schnare entitled to compensation for cost of future care and loss of housekeeping services, and, if so, in what amount?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Ms. Schnare entitled to any special damages,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What is the nature, extent and duration of Ms. Schnare's injuries, and was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 defendant is liable for any injuries caused or contributed to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Causation is established where the plaintiff proves, on a balance of probabilities, that the defendant caused or contributed to the injury: see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Based on the evidence of Ms. Schnare, Dr. Fagan, Mr. McLean and Dr. van Rijn, I conclude that, in the accident on March 14, 2005, Ms. Schnare suffered soft tissue injuries to her neck, upper, mid and lower back, including in and around her sacroiliac region. As a result of the injuries, Ms. Schnare was left with a mobile sacroiliac joint. I conclude further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Ms. Schnare's injuries. While, as of the trial, Ms. Schnare had occasional neck pain attributable to the accident, I find that the most serious result of the injuries Ms. Schnare suffered in the accident has been the mobility in her sacroiliac joint, the pelvic misalignment and rotation, and the associated back pain. The pelvic rotation was observed and identified (by Mr. McLean) at Ms. Schnare's first physiotherapy assessment on March 31, 2005 (approximately two weeks after the accident). Dr. van Rijn's examination disclosed that Ms. Schnare had a mobile right sacroiliac region and he identified Ms. Schnare's sacroiliac region as the probable pain generator and source of Ms. Schnare's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that, as a result of her injuries, Ms. Schnare continues to suffer some neck pain and significant back pain, and that this pain - particularly her back pain - limits and interferes with most normal and routine activities of her daily life. Based on the evidence, particularly from Mr. McLean, Ms. Schnare's condition has improved since the accident, as a result of physiotherapy and Ms. Schnare's own efforts. However, I accept the opinion of Dr. van Rijn and conclude that Ms. Schnare's accident-related symptoms caused by her injuries have resulted in some permanent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the defendants' argument that Ms. Schnare failed to take reasonable steps to mitigate her damages, in my view the evidence does not support the conclusions the defendants wish me to draw. Regarding taking prolotherapy, for example, Dr. Fagan did not recommend it for Ms. Schnare and did not feel that she should undergo it. While Dr. van Rijn mentioned this type of therapy in his first report, in his evidence at trial he described the therapy as controversial. On the other hand, Ms. Schnare did in fact undergo a number of injections of different medications with a view to alleviating her back pain and getting herself better. While Ms. Schnare may have been reluctant to take oral pain medications regularly, she did take them occasionally. It is also plain on the evidence that Ms. Schnare took active steps (such as enrolling in Pilates) to improve her overall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satisfied on the evidence that Ms. Schnare did not fail to take reasonable steps to mitigate her damages, and the defendants' argument that she failed to mitigate is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What is the appropriate amount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xml:space="preserve">, leave to appeal refused </w:t>
      </w:r>
      <w:hyperlink r:id="rId443"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the court set out (at paras. 45-46) the factors that should be considered in making an award for general damages. The amount of an award for non-pecuniary damages should not depend only upon the seriousness of the injury but also upon its ability to ameliorate the condition of the victim considering his or her particular situation. Factors to be considered include impairment of family, marital and social relationships, impairment of physical abilities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Ms. Schnare says that the appropriate amount of non-pecuniary damages is $85,000.00, citing cases such as </w:t>
      </w:r>
      <w:r>
        <w:rPr>
          <w:rFonts w:ascii="arial" w:eastAsia="arial" w:hAnsi="arial" w:cs="arial"/>
          <w:b/>
          <w:i/>
          <w:color w:val="000000"/>
          <w:sz w:val="20"/>
          <w:lang w:val="en-US" w:eastAsia="en-US" w:bidi="ar-SA"/>
        </w:rPr>
        <w:t>Turner v. Church</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[1998] B.C.J. No. 37</w:t>
        </w:r>
      </w:hyperlink>
      <w:r>
        <w:rPr>
          <w:rFonts w:ascii="arial" w:eastAsia="arial" w:hAnsi="arial" w:cs="arial"/>
          <w:color w:val="000000"/>
          <w:sz w:val="20"/>
          <w:lang w:val="en-US" w:eastAsia="en-US" w:bidi="ar-SA"/>
        </w:rPr>
        <w:t xml:space="preserve"> (S.C.) ($50,000); </w:t>
      </w:r>
      <w:r>
        <w:rPr>
          <w:rFonts w:ascii="arial" w:eastAsia="arial" w:hAnsi="arial" w:cs="arial"/>
          <w:b/>
          <w:i/>
          <w:color w:val="000000"/>
          <w:sz w:val="20"/>
          <w:lang w:val="en-US" w:eastAsia="en-US" w:bidi="ar-SA"/>
        </w:rPr>
        <w:t>Kerr v. Macklin</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2004 BCSC 318</w:t>
        </w:r>
      </w:hyperlink>
      <w:r>
        <w:rPr>
          <w:rFonts w:ascii="arial" w:eastAsia="arial" w:hAnsi="arial" w:cs="arial"/>
          <w:color w:val="000000"/>
          <w:sz w:val="20"/>
          <w:lang w:val="en-US" w:eastAsia="en-US" w:bidi="ar-SA"/>
        </w:rPr>
        <w:t xml:space="preserve"> ($75,000); </w:t>
      </w:r>
      <w:r>
        <w:rPr>
          <w:rFonts w:ascii="arial" w:eastAsia="arial" w:hAnsi="arial" w:cs="arial"/>
          <w:b/>
          <w:i/>
          <w:color w:val="000000"/>
          <w:sz w:val="20"/>
          <w:lang w:val="en-US" w:eastAsia="en-US" w:bidi="ar-SA"/>
        </w:rPr>
        <w:t>Fox v. Danis</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aff'd </w:t>
      </w:r>
      <w:hyperlink r:id="rId447"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 xml:space="preserve"> ($100,000); </w:t>
      </w:r>
      <w:r>
        <w:rPr>
          <w:rFonts w:ascii="arial" w:eastAsia="arial" w:hAnsi="arial" w:cs="arial"/>
          <w:b/>
          <w:i/>
          <w:color w:val="000000"/>
          <w:sz w:val="20"/>
          <w:lang w:val="en-US" w:eastAsia="en-US" w:bidi="ar-SA"/>
        </w:rPr>
        <w:t>Thiessen v. Bissenden</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2007 BCSC 1809</w:t>
        </w:r>
      </w:hyperlink>
      <w:r>
        <w:rPr>
          <w:rFonts w:ascii="arial" w:eastAsia="arial" w:hAnsi="arial" w:cs="arial"/>
          <w:color w:val="000000"/>
          <w:sz w:val="20"/>
          <w:lang w:val="en-US" w:eastAsia="en-US" w:bidi="ar-SA"/>
        </w:rPr>
        <w:t xml:space="preserve"> ($95,000); and </w:t>
      </w:r>
      <w:r>
        <w:rPr>
          <w:rFonts w:ascii="arial" w:eastAsia="arial" w:hAnsi="arial" w:cs="arial"/>
          <w:b/>
          <w:i/>
          <w:color w:val="000000"/>
          <w:sz w:val="20"/>
          <w:lang w:val="en-US" w:eastAsia="en-US" w:bidi="ar-SA"/>
        </w:rPr>
        <w:t>Cathro v. Davis</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2008 BCSC 1645</w:t>
        </w:r>
      </w:hyperlink>
      <w:r>
        <w:rPr>
          <w:rFonts w:ascii="arial" w:eastAsia="arial" w:hAnsi="arial" w:cs="arial"/>
          <w:color w:val="000000"/>
          <w:sz w:val="20"/>
          <w:lang w:val="en-US" w:eastAsia="en-US" w:bidi="ar-SA"/>
        </w:rPr>
        <w:t xml:space="preserve"> ($60,000). On the other hand, the defendants say that non-pecuniary damages should be in the range of $25,000 to $30,000, citing cases such as </w:t>
      </w:r>
      <w:r>
        <w:rPr>
          <w:rFonts w:ascii="arial" w:eastAsia="arial" w:hAnsi="arial" w:cs="arial"/>
          <w:b/>
          <w:i/>
          <w:color w:val="000000"/>
          <w:sz w:val="20"/>
          <w:lang w:val="en-US" w:eastAsia="en-US" w:bidi="ar-SA"/>
        </w:rPr>
        <w:t>Lopez v. VW Credit Canada Inc.</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2008 BCSC 320</w:t>
        </w:r>
      </w:hyperlink>
      <w:r>
        <w:rPr>
          <w:rFonts w:ascii="arial" w:eastAsia="arial" w:hAnsi="arial" w:cs="arial"/>
          <w:color w:val="000000"/>
          <w:sz w:val="20"/>
          <w:lang w:val="en-US" w:eastAsia="en-US" w:bidi="ar-SA"/>
        </w:rPr>
        <w:t xml:space="preserve"> ($25,000); </w:t>
      </w:r>
      <w:r>
        <w:rPr>
          <w:rFonts w:ascii="arial" w:eastAsia="arial" w:hAnsi="arial" w:cs="arial"/>
          <w:b/>
          <w:i/>
          <w:color w:val="000000"/>
          <w:sz w:val="20"/>
          <w:lang w:val="en-US" w:eastAsia="en-US" w:bidi="ar-SA"/>
        </w:rPr>
        <w:t>Myers v. Leng</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2006 BCSC 1582</w:t>
        </w:r>
      </w:hyperlink>
      <w:r>
        <w:rPr>
          <w:rFonts w:ascii="arial" w:eastAsia="arial" w:hAnsi="arial" w:cs="arial"/>
          <w:color w:val="000000"/>
          <w:sz w:val="20"/>
          <w:lang w:val="en-US" w:eastAsia="en-US" w:bidi="ar-SA"/>
        </w:rPr>
        <w:t xml:space="preserve"> ($25,000); </w:t>
      </w:r>
      <w:r>
        <w:rPr>
          <w:rFonts w:ascii="arial" w:eastAsia="arial" w:hAnsi="arial" w:cs="arial"/>
          <w:b/>
          <w:i/>
          <w:color w:val="000000"/>
          <w:sz w:val="20"/>
          <w:lang w:val="en-US" w:eastAsia="en-US" w:bidi="ar-SA"/>
        </w:rPr>
        <w:t>Taylor v. Bury</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2007 BCSC 1130</w:t>
        </w:r>
      </w:hyperlink>
      <w:r>
        <w:rPr>
          <w:rFonts w:ascii="arial" w:eastAsia="arial" w:hAnsi="arial" w:cs="arial"/>
          <w:color w:val="000000"/>
          <w:sz w:val="20"/>
          <w:lang w:val="en-US" w:eastAsia="en-US" w:bidi="ar-SA"/>
        </w:rPr>
        <w:t xml:space="preserve"> ($25,000); and </w:t>
      </w:r>
      <w:r>
        <w:rPr>
          <w:rFonts w:ascii="arial" w:eastAsia="arial" w:hAnsi="arial" w:cs="arial"/>
          <w:b/>
          <w:i/>
          <w:color w:val="000000"/>
          <w:sz w:val="20"/>
          <w:lang w:val="en-US" w:eastAsia="en-US" w:bidi="ar-SA"/>
        </w:rPr>
        <w:t>Orrell v. Lynch</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2008 BCSC 1696</w:t>
        </w:r>
      </w:hyperlink>
      <w:r>
        <w:rPr>
          <w:rFonts w:ascii="arial" w:eastAsia="arial" w:hAnsi="arial" w:cs="arial"/>
          <w:color w:val="000000"/>
          <w:sz w:val="20"/>
          <w:lang w:val="en-US" w:eastAsia="en-US" w:bidi="ar-SA"/>
        </w:rPr>
        <w:t xml:space="preserve">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However, the defendants' position is premised on (a) the evidence of Dr. McPherson, which I did not accept, and (b) the proposition that Ms. Schnare's injuries were mild and not permanent, when my findings (based on Dr. van Rijn's opinions) are otherwise. Based on the evidence of Ms. Schnare and her husband reviewed above, Ms. Schnare's injuries have had a very significant effect on the quality of Ms. Schnare's life. She has back pain regularly, and from time to time flare-ups of severe pain; she fatigues easily; she is unable to enjoy activities such as hiking or car trips with her family; she is unable to participate in her children's activities (including homework and sports) in the manner and to the degree she would like; household chores are more difficult; she feels like a spectator on family activities, rather than involved and engaged; her intimate relationship with her husband has changed; and her strong desire to pursue a career as a kindergarten teacher has been frustrated.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Taking into account in particular Ms. Schnare's evidence, the evidence of Mr. Schnare, Ms. Schultz and Ms. Brebuck concerning Ms. Schnare's circumstances before and after the accident, and the opinions stated by Dr. van Rijn, I conclude that an award of $85,000 is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Is Ms. Schnare entitled to compensation for loss of earning capacity,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principles governing a claim for loss of earning capacity are set out in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There, the court confirmed (at para. 8) that, "Where a plaintiff's permanent injury limits him in his capacity to perform certain activities and consequently impairs his income earning capacity, he is entitled to compensation. What is being compensated is not lost projected future earnings but the loss or impairment of earning capacity as a capital asset." The standard of proof to be applied when evaluating hypothetical, future events that may affect an award is simple probability, not the balance of probabilities. Huddart J.A.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trial judge's task is to assess the loss on a judgmental basis, taking into consideration all the relevant factors arising from the evidence: </w:t>
      </w:r>
      <w:r>
        <w:rPr>
          <w:rFonts w:ascii="arial" w:eastAsia="arial" w:hAnsi="arial" w:cs="arial"/>
          <w:b/>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at para. 121, aff'd </w:t>
      </w:r>
      <w:hyperlink r:id="rId456"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Guidance as to what factors may be relevant can be found in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at para. 31;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They include:</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task of the court is to assess damages, not to calculate them according to some mathematical formula: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 . . .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Schnare seeks damages in the sum of $345,600 for lost earning capacity. This sum is based on a full-time salary of $64,000 per year; on the assumption that, because of her injuries, Ms. Schnare is permanently unable to work more than 4 days per week; and on the further assumption that, but for her injuries, she would begin teaching full time in about 2010 and continue until age 65, a period of 27 years (20% of $64,000 = $12,800 multiplied by 27 years = $345,600).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When Ms. Schnare worked a full-time week in the fall of 2008, she determined that she could not keep it up, and that she needed the one day a week to recuperate. Other than that one week, Ms. Schnare last taught full time during the school year September 2000 to June 2001. At that time, the Schnares' daughter was about two, and Ms. Schnare was pregnant with their son. As noted above, the Schnares has discussed Ms. Schnare returning to work full time when their daughter entered grade 7. Of course, that Ms. Schnare would in fact have returned to work full time once her daughter entered grade 7, but for the accident, is not a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van Rijn addressed the topic of Ms. Schnare's potential "occupational restrictions" in his June 5, 2008 report. He noted Ms. Schnare's plans to move to grade 1, rather than teaching kindergarten, and observed that "some of the job requirements (including sitting on the ground) may not be as necessary, which will hopefully allow her to manage more easily." He continued (</w:t>
      </w:r>
      <w:r>
        <w:rPr>
          <w:rFonts w:ascii="arial" w:eastAsia="arial" w:hAnsi="arial" w:cs="arial"/>
          <w:i/>
          <w:color w:val="000000"/>
          <w:sz w:val="20"/>
          <w:lang w:val="en-US" w:eastAsia="en-US" w:bidi="ar-SA"/>
        </w:rPr>
        <w:t>italics</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has permanent restrictions with respect to jobs </w:t>
      </w:r>
      <w:r>
        <w:rPr>
          <w:rFonts w:ascii="arial" w:eastAsia="arial" w:hAnsi="arial" w:cs="arial"/>
          <w:i/>
          <w:color w:val="000000"/>
          <w:sz w:val="20"/>
          <w:lang w:val="en-US" w:eastAsia="en-US" w:bidi="ar-SA"/>
        </w:rPr>
        <w:t>requiring increasing physical effort</w:t>
      </w:r>
      <w:r>
        <w:rPr>
          <w:rFonts w:ascii="arial" w:eastAsia="arial" w:hAnsi="arial" w:cs="arial"/>
          <w:color w:val="000000"/>
          <w:sz w:val="20"/>
          <w:lang w:val="en-US" w:eastAsia="en-US" w:bidi="ar-SA"/>
        </w:rPr>
        <w:t xml:space="preserve"> and would be competitively unemployable in such work when compared to an able-bodied woman with similar interests and skill sets. This represents a permanent loss in her work capability and has caused her to suffer a work handicap as a result of her injuries. She is potentially less desirable an employee to perspective employers as a result of her accident related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However, Dr. van Rijn does not say anywhere in his report that Ms. Schnare would be unable, because of her injuries, to work full-time as a teacher. I compare what Dr. van Rijn says with the evidence referred to in </w:t>
      </w:r>
      <w:r>
        <w:rPr>
          <w:rFonts w:ascii="arial" w:eastAsia="arial" w:hAnsi="arial" w:cs="arial"/>
          <w:b/>
          <w:i/>
          <w:color w:val="000000"/>
          <w:sz w:val="20"/>
          <w:lang w:val="en-US" w:eastAsia="en-US" w:bidi="ar-SA"/>
        </w:rPr>
        <w:t>Fox v. Danis</w:t>
      </w:r>
      <w:r>
        <w:rPr>
          <w:rFonts w:ascii="arial" w:eastAsia="arial" w:hAnsi="arial" w:cs="arial"/>
          <w:color w:val="000000"/>
          <w:sz w:val="20"/>
          <w:lang w:val="en-US" w:eastAsia="en-US" w:bidi="ar-SA"/>
        </w:rPr>
        <w:t>, at para. 97, where the court had the benefit of opinion evidence to the effect that the plaintiff had lost the capacity to work full-time. While Ms. Schnare may have restrictions, and therefore be less employable or "competitively unemployable," with respect to "jobs requiring increasing physical effort," Dr. van Rijn does not identify teaching grade 1, or indeed teaching any particular school grade, as a job of this type. In addition, there is no evidence that Ms. Schnare has ever considered any type of work other than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consider that the approach taken by Ms. Schnare with respect to damages for loss of earning capacity is excessively mathematical. In my view, it seeks to have Ms. Schnare compensated as if it were certain that she would never work full-time again, and her approach produces a result that, overall, is neither fair nor reasonable, taking into account all of the evidence. On the other hand, based on the evidence, I do not accept the defendants' submission that Ms. Schnare should receive no award for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my view, based in particular on Ms. Schnare's evidence and on the opinions stated by Dr. van Rijn in his June 5, 2008 report, Ms. Schnare has suffered some impairment of her earning capacity as a result of her injuries. She has been rendered less capable overall from earning income from all types of employment available to an individual qualified as a teacher, and she has lost the ability to take advantage of all job opportunities that might otherwise have been open to her had she not been injured. Specifically, Ms. Schnare has lost the ability to take advantage of the opportunity to work full-time as a kindergarten teacher, taking into account the physical demands of that job. On the other hand, I do not consider that the evidence supports the conclusion that, as a result of her injuries, Ms. Schnare has lost the ability generally to take advantage of opportunities to work full-time as a teacher, should she choose to do so in the future. In that light, the difference between Ms. Schnare's likely future income had the accident not occurred and her income now that the accident has occurred may well be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Accordingly, Ms. Schnare is entitled to damages, but the amount should be more modest than what her counsel has submitted. I conclude that the damages for Ms. Schnare's loss of earning capacity should be assessed at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Is Ms. Schnare entitled to compensation for cost of future care and loss of housekeeping services,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Schnare seeks compensation in the sum of $46,800 for housekeeping services on the basis of three hours every other week at a cost of $20 per hour, for 30 years. She also seeks compensation in the sum of $7,200 for 30 years of Pilates sessions at a cost of $240 per year. The defendants say that nothing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With respect to the legal principles governing an award of costs of future care, a plaintiff is entitled to be compensated for all expenditures that are reasonably necessary, on the medical evidence, to promote her mental and physical health in the future: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additional reasons </w:t>
      </w:r>
      <w:hyperlink r:id="rId459" w:history="1">
        <w:r>
          <w:rPr>
            <w:rFonts w:ascii="arial" w:eastAsia="arial" w:hAnsi="arial" w:cs="arial"/>
            <w:i/>
            <w:color w:val="0077CC"/>
            <w:sz w:val="20"/>
            <w:u w:val="single"/>
            <w:shd w:val="clear" w:color="auto" w:fill="FFFFFF"/>
            <w:lang w:val="en-US" w:eastAsia="en-US" w:bidi="ar-SA"/>
          </w:rPr>
          <w:t>(1985), 63 B.C.L.R. 122</w:t>
        </w:r>
      </w:hyperlink>
      <w:r>
        <w:rPr>
          <w:rFonts w:ascii="arial" w:eastAsia="arial" w:hAnsi="arial" w:cs="arial"/>
          <w:color w:val="000000"/>
          <w:sz w:val="20"/>
          <w:lang w:val="en-US" w:eastAsia="en-US" w:bidi="ar-SA"/>
        </w:rPr>
        <w:t xml:space="preserve"> (S.C.), aff'd </w:t>
      </w:r>
      <w:hyperlink r:id="rId21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Moreover, the award must be moderate and fair to both parties: </w:t>
      </w:r>
      <w:r>
        <w:rPr>
          <w:rFonts w:ascii="arial" w:eastAsia="arial" w:hAnsi="arial" w:cs="arial"/>
          <w:b/>
          <w:i/>
          <w:color w:val="000000"/>
          <w:sz w:val="20"/>
          <w:lang w:val="en-US" w:eastAsia="en-US" w:bidi="ar-SA"/>
        </w:rPr>
        <w:t>Fox v. Danis</w:t>
      </w:r>
      <w:r>
        <w:rPr>
          <w:rFonts w:ascii="arial" w:eastAsia="arial" w:hAnsi="arial" w:cs="arial"/>
          <w:color w:val="000000"/>
          <w:sz w:val="20"/>
          <w:lang w:val="en-US" w:eastAsia="en-US" w:bidi="ar-SA"/>
        </w:rPr>
        <w:t>, at para.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Regarding housekeeping and home maintenance, in his June 5, 2008 report, Dr. van Rijn said that (</w:t>
      </w:r>
      <w:r>
        <w:rPr>
          <w:rFonts w:ascii="arial" w:eastAsia="arial" w:hAnsi="arial" w:cs="arial"/>
          <w:i/>
          <w:color w:val="000000"/>
          <w:sz w:val="20"/>
          <w:lang w:val="en-US" w:eastAsia="en-US" w:bidi="ar-SA"/>
        </w:rPr>
        <w:t>italics</w:t>
      </w:r>
      <w:r>
        <w:rPr>
          <w:rFonts w:ascii="arial" w:eastAsia="arial" w:hAnsi="arial" w:cs="arial"/>
          <w:color w:val="000000"/>
          <w:sz w:val="20"/>
          <w:lang w:val="en-US" w:eastAsia="en-US" w:bidi="ar-SA"/>
        </w:rPr>
        <w:t xml:space="preserve"> added), "Ms. Schnare requires assistance for home maintenance chores that </w:t>
      </w:r>
      <w:r>
        <w:rPr>
          <w:rFonts w:ascii="arial" w:eastAsia="arial" w:hAnsi="arial" w:cs="arial"/>
          <w:i/>
          <w:color w:val="000000"/>
          <w:sz w:val="20"/>
          <w:lang w:val="en-US" w:eastAsia="en-US" w:bidi="ar-SA"/>
        </w:rPr>
        <w:t>she would have otherwise have been able to manage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on her own</w:t>
      </w:r>
      <w:r>
        <w:rPr>
          <w:rFonts w:ascii="arial" w:eastAsia="arial" w:hAnsi="arial" w:cs="arial"/>
          <w:color w:val="000000"/>
          <w:sz w:val="20"/>
          <w:lang w:val="en-US" w:eastAsia="en-US" w:bidi="ar-SA"/>
        </w:rPr>
        <w:t>. Without assistance from her spouse, she would have had to hire someone to do the work she finds more difficult." This medical evidence, in addition to the evidence from Ms. Schnare and her husband (which I accept) that Ms. Schnare is limited in the household chores she is now able to perform, supports some award being made for housekeeping expenses. This assessment is made more difficult because of the absence of any evidence to support the costs of housekeeping services or to support the appropriate time period being a period of 30 years. There is also no evidence concerning any gross-up for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Moreover, in determining an appropriate amount to be awarded, I note that Ms. Schnare may well have retained housekeeping assistance to some degree even if the accident had not occurred, based on her evidence that she intended to return to work full-time once her daughter entered grade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Taking all of these matters into account, I conclude that Ms. Schnare should be awarded $25,000 for housekeeping services, or slightly more than 50% of the amount Ms. Schnare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respect to her claim for the cost of 30 years of Pilates, Ms. Schnare again relies on the evidence of Dr. van Rijn, in his June 5, 2008 report, where he says: "She has found Pilates exercises helpful in allowing her to cope and to maintain a certain degree of core muscle strength for her back. Some ongoing financial assistance to allow her to continue with such on a regular basis will likely be necessary to afford her some 'protection' for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While Dr. van Rijn's statements provide support for some compensation for expenses for Pilates classes, in my view they fall short of proving that 30 years of expenses are "reasonably necessary." I have every confidence that, after two years of attending Pilates classes, Ms. Schnare is fully acquainted with the series of Pilates exercises. Moreover, in my view the evidence supports the conclusion that Ms. Schnare would likely have participated in a fitness or Pilates program in any event, even if she had not been injured in the accident. Indeed, Ms. Schnare testified that she joined the YMCA in 2004 and that prior to the accident she attended regularly for workouts. Having regard to the possibility that Ms. Schnare would have incorporated Pilates in her regular workouts even without the accident, in addition to the other contingencies I must consider, I conclude that Ms. Schnare should be awarded 50% of the amount claimed, or $3,600.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Is Ms. Schnare entitled to any special damages,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Schnare claimed a total of $2,463.39 in special damages. Of this amount, $1,900 relates to Ms. Schnare's physiotherapy treatments. The balance is for miscellaneous expenses, including Pilates classes, Ms. Schnare's garden rocker, her SI belt, a car rental, and the chair she uses when working at home. The defendants' primary attack was on the cost of the physiotherapy treatments. They argue, based on Dr. McPherson's evidence, that these treatments were excessive. However, in my view, based on the evidence, Ms. Schnare derived very considerable benefit from her physiotherapy and improved as a result of it. I do not agree with the defendants that the treatments were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am satisfied that Ms. Schnare has proved that the expenses she has claimed as special damages arose as a consequence of the accident. She is therefore entitled to special damages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As a result of Ms. Schnare's injuries, which I have found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 award damages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in the sum of $85,000;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in the sum of $1,758;</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earning capacity in the sum of $125,000;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in the sum of $28,600;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in the sum of $2,463.39.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Schnare is also entitled to her costs on Scale B, unless there are factors which would give rise to the application of Rule 37B. In that event, I ask that the parties provide their submissions in writing within 30 days of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9"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Seatle (Guardian ad Litem of) v. Purvis, [2005] B.C.J. No. 2996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April 12, 2005.</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May 8, 2006.</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C985301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2996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1850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149 A.C.W.S. (3d) 404</w:t>
      </w:r>
    </w:p>
    <w:p>
      <w:pPr>
        <w:spacing w:before="120" w:line="260" w:lineRule="atLeast"/>
        <w:rPr>
          <w:lang w:val="en-US" w:eastAsia="en-US" w:bidi="ar-SA"/>
        </w:rPr>
      </w:pPr>
      <w:r>
        <w:rPr>
          <w:rFonts w:ascii="arial" w:eastAsia="arial" w:hAnsi="arial" w:cs="arial"/>
          <w:color w:val="000000"/>
          <w:sz w:val="20"/>
          <w:lang w:val="en-US" w:eastAsia="en-US" w:bidi="ar-SA"/>
        </w:rPr>
        <w:t>Between Connor Seatle, an Infant, by his Guardian ad Litem Lisa Michelle Farley, and Lisa Michelle Farley, plaintiffs, and Dr. Allison Purvis, Dr. Kay Perry, Dr. Thomas, Dr. Gould, Dr. R. Wishart, Dr. John Doe, Dr. Jane Doe, (Doctors) Lions Gate Hospital, P. Ritchie, S. Wilkinson, R. Johnston, Ms. Machon, J. Symans, L. Dobbin, Jane Doe and John Doe (Nurses),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0" style="position:absolute;z-index:2516920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17" w:name="Keywords_32"/>
      <w:bookmarkEnd w:id="217"/>
      <w:r>
        <w:rPr>
          <w:rFonts w:ascii="arial" w:eastAsia="arial" w:hAnsi="arial" w:cs="arial"/>
          <w:b/>
          <w:color w:val="000000"/>
          <w:sz w:val="20"/>
          <w:lang w:val="en-US" w:eastAsia="en-US" w:bidi="ar-SA"/>
        </w:rPr>
        <w:t xml:space="preserve">Civil procedure — Disposition without trial — Dismissal of action — Application by defendant hospital for order dismissing claim against it dismissed — Plaintiffs sued for medical malpractice due to injuries suffered by infant plaintiff at birth — One of the defendant doctors intended to seek leave to amend defence to claim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There was an evidentiary basis for claim.</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18" w:name="Case Summary_31"/>
            <w:bookmarkEnd w:id="21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defendant hospital for order dismissing claim against it -- Plaintiffs sued defendant hospital and doctors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due to injuries allegedly sustained by infant plaintiff at birth -- At opening of trial, plaintiffs indicated that they would not lead any evidence against hospital and signed a release in favour of hospital in exchange for waiver of costs -- Plaintiffs had obtained approval of Public Guardian to release hospital -- One doctor objected to order on ground plaintiff was expected to testify at trial that nurse directed husband to apply pressure on upper abdomen which could worsen infant's shoulder dystocia -- Doctor argued that he might seek to amend pleadings to claim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part of hospital -- HELD: Motion dismissed -- There was a possibility that defendant doctor might make application to include claim over in defence and there was an evidentiary basis for such claim. </w:t>
            </w:r>
            <w:r>
              <w:rPr>
                <w:lang w:val="en-US" w:eastAsia="en-US" w:bidi="ar-SA"/>
              </w:rPr>
              <w:cr/>
            </w:r>
          </w:p>
          <w:p>
            <w:pPr>
              <w:rPr>
                <w:lang w:val="en-US" w:eastAsia="en-US" w:bidi="ar-SA"/>
              </w:rPr>
            </w:pPr>
          </w:p>
        </w:tc>
      </w:tr>
    </w:tbl>
    <w:p>
      <w:pPr>
        <w:jc w:val="both"/>
        <w:rPr>
          <w:lang w:val="en-US" w:eastAsia="en-US" w:bidi="ar-SA"/>
        </w:rPr>
      </w:pPr>
      <w:bookmarkStart w:id="219" w:name="Legislation Cited_22"/>
      <w:bookmarkEnd w:id="21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81" style="position:absolute;z-index:2517432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Rules, Rule 18(6), Rule 19(24), Rule 39(29)</w:t>
      </w:r>
      <w:r>
        <w:rPr>
          <w:lang w:val="en-US" w:eastAsia="en-US" w:bidi="ar-SA"/>
        </w:rPr>
        <w:cr/>
      </w:r>
    </w:p>
    <w:p>
      <w:pPr>
        <w:keepNext/>
        <w:spacing w:before="240" w:line="340" w:lineRule="atLeast"/>
        <w:rPr>
          <w:lang w:val="en-US" w:eastAsia="en-US" w:bidi="ar-SA"/>
        </w:rPr>
      </w:pPr>
      <w:bookmarkStart w:id="220" w:name="Counsel_32"/>
      <w:bookmarkEnd w:id="220"/>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2" style="position:absolute;z-index:2517944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Plaintiffs: N.H. Smith, QC L.A. Wong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Dr. Purvis, Dr. Perry and Dr. Thomas: C.E. Hinkson, QC R. Samtani</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Lions Gate Hospital, Ritchie, Wilkinson, Johnston, Machon, Symons and Dobbin: R.J. Harper E.J.A. Stanger J.C. Grauer</w:t>
      </w:r>
      <w:r>
        <w:rPr>
          <w:lang w:val="en-US" w:eastAsia="en-US" w:bidi="ar-SA"/>
        </w:rPr>
        <w:cr/>
      </w:r>
    </w:p>
    <w:p>
      <w:pPr>
        <w:spacing w:after="240"/>
        <w:rPr>
          <w:lang w:val="en-US" w:eastAsia="en-US" w:bidi="ar-SA"/>
        </w:rPr>
      </w:pPr>
      <w:bookmarkStart w:id="221" w:name="Judgment_32"/>
      <w:bookmarkEnd w:id="221"/>
      <w:r>
        <w:pict>
          <v:line id="_x0000_s1183" style="position:absolute;z-index:25184563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22" w:name="GARSON J. (orally)"/>
            <w:bookmarkEnd w:id="222"/>
            <w:r>
              <w:rPr>
                <w:rFonts w:ascii="arial" w:eastAsia="arial" w:hAnsi="arial" w:cs="arial"/>
                <w:b/>
                <w:color w:val="000000"/>
                <w:sz w:val="30"/>
                <w:lang w:val="en-US" w:eastAsia="en-US" w:bidi="ar-SA"/>
              </w:rPr>
              <w:t>GARSON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Lions Gate Hospital for an order dismissing the plaintiffs' claim against it. The application is made pursuant to Rules 18(6), 39(29), and Rule 6(14).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sued Lions Gate Hospital ("LGH") and Drs. Purvis, Perry and Thomas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arriving from injuries alleged to have been sustained by the infant plaintiff at his birth.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LGH's application made after the plaintiffs' trial opening statement, is based, in part, on the stated position of the plaintiffs that they will not lead any evidence against LGH. Moreover, the plaintiffs have signed a release in favour of LGH in exchange for a waiver of costs, and the plaintiffs have obtained the approval of the Public Guardian and Trustee to release LGH.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LGH's application is also based on the fact that its co-defendants, the doctors who attended the birth, have not pleaded contributional fault of LGH. In other words, the doctors have not pleaded any fault on the part of LGH.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Since no party in this suit now pleads any fault of LGH, it would not seem objectionable that they be allowed out of this action. However, Mr. Hinkson for the doctors objects to the order sought by LGH.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Hinkson says, and this is not disputed, that the plaintiff testified at discovery and is expected to testify at trial that during the last stage of delivery her husband and another male in the delivery room were directed by a nurse to apply pressure on the upper part of the abdomen instead of in the lower area above the pubis. It is acknowledged that this evidence if accepted by the court would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nurses and hence the hospital because such an incorrect procedure would tend to cause the baby's shoulder to be lodged more, not less, firmly against the cervix. Several of the medical experts will opine that pressure applied high up the abdomen could worsen the shoulder dystocia.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his submissions, Mr. Hinkson said that he may seek leave to amend his pleadings, based upon this evidence to allege, in the alternative, that the hospital's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injuries and is therefore contributorily negligent. He says that the nurses are expected to deny that they applied fundal pressure in the improper manner or instructed someone to apply fundal pressure in the improper manner the plaintiff described in her discovery evidence. Mr. Hinkson also says that the plaintiff is not expected to resile from her discovery evidence and this is confirmed by her counsel, Mr. Smith.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Grauer argues that this application should not be considered like an application under Rule 19(24), that is an application to dismiss on the grounds there is pled no proper cause of action. Whereas under Rule 19(24) the court examines the case as pled </w:t>
      </w:r>
      <w:r>
        <w:rPr>
          <w:rFonts w:ascii="arial" w:eastAsia="arial" w:hAnsi="arial" w:cs="arial"/>
          <w:color w:val="000000"/>
          <w:sz w:val="20"/>
          <w:u w:val="single"/>
          <w:lang w:val="en-US" w:eastAsia="en-US" w:bidi="ar-SA"/>
        </w:rPr>
        <w:t>or as it could be amended to plead</w:t>
      </w:r>
      <w:r>
        <w:rPr>
          <w:rFonts w:ascii="arial" w:eastAsia="arial" w:hAnsi="arial" w:cs="arial"/>
          <w:color w:val="000000"/>
          <w:sz w:val="20"/>
          <w:lang w:val="en-US" w:eastAsia="en-US" w:bidi="ar-SA"/>
        </w:rPr>
        <w:t>, Mr. Grauer says that in this case Mr. Hinkson would have to obtain leave to plead contribution and indemnity and that such an amendment sought so late in the day would be prejudicial to his client and ought not to be granted. He urges me to consider this application on the basis of the pleadings as they now stand.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Smith says that the theory of his case is that the risk of shoulder dystocia was sufficiently high and that there were enough warning signs in this case that simple precautions for the baby and the mother could and should have been taken. He says that the plaintiffs do not allege that the defendants knew or could have known with certainty that shoulder dystocia would occur. I understand him to say that the theory of his case does not rest upon any resolution of the possible conflicting evidence concerning fundal pressure.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But, at paragraph 23 of his opening, Mr. Smith says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plaintiffs will not be calling liability evidence against the Defendant hospital. There will be evidence that, while Dr. Purvis was attempting to deliver Connor, nurses assisted by applying pressure to Ms. Seatle's abdomen and that her husband was asked to do the same. The evidence is that there is a right way and a wrong way to do that. If done incorrectly, it can make the problem worse. There is conflicting evidence about what was done and the defendant doctors may suggest that if the evidence of Mr. and Mrs. Seatle is accepted, there may be some liability on the hospital. The plaintiffs' position is that even if the wrong kind of pressure was applied it was done in the presence and under the supervision of Dr. Purvis.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can be no doubt that a plaintiff may choose what case to advance and against whom. There is similarly little doubt that in circumstances where there are co-defendants an application by one defendant for an order dismissing the claim against it cannot succeed in the face of a claimover by the co-defendant. But what ought to be the result where the co-defendant has no pleading that asserts a claimover but there is an evidentiary basis upon which such a claim might be made and the co-defendant says that he may apply to amend his pleadings?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Grauer says that such an application could not possibly succeed at such a late date. He may be right. The application is not before me. I assume Mr. Hinkson's assertion that he may seek leave to amend his pleadings to claimover against LGH is made in good faith and that as the trial unfolds he would wish to consider his position on this matter. He points out that an earlier application for the same relief sought before me by LGH to a chambers judge was denied.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face of the possibility that such an application to claimover might be made, and given the acknowledged evidentiary basis for it, the application for LGH for an order dismissing the claim against it is denied. LGH has liberty to renew the application if circumstances warrant such a renewed application as the trial proceeds.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said at the beginning of these reasons that it seems sensible to allow LGH out of this action because there is now no case pled against it. I would consider an appropriate application for costs at the conclusion of the trial if LGH has been kept in this trial unnecessarily.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GARSON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Smith (Guardian ad litem of) v. Grace, [2004] B.C.J. No. 583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Satanove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16 - 20, 23 - 27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1 - 5,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S006612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583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395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C.C.L.T. (3d) 131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1024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Luke Roderick Cameron Smith, an infant, by his Guardian Ad Litem, Donna Mae Smith and the said Donna Mae Smith, plaintiffs, and Dr. James C.A. Grace, Dr. Alan J.G. Wilson and Bulkley Valley District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(72 paras.)</w:t>
      </w:r>
    </w:p>
    <w:p>
      <w:pPr>
        <w:jc w:val="both"/>
        <w:rPr>
          <w:rFonts w:ascii="arial" w:eastAsia="arial" w:hAnsi="arial" w:cs="arial"/>
          <w:sz w:val="20"/>
          <w:lang w:val="en-US" w:eastAsia="en-US" w:bidi="ar-SA"/>
        </w:rPr>
      </w:pPr>
      <w:bookmarkStart w:id="223" w:name="Counsel_33"/>
      <w:bookmarkEnd w:id="2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5"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N.H. Smith, Q.C. and Linda A. Wong, for the plaintiffs. C.L. Khanna and K.J. Jakeman, for the defendants, Dr. James C.A. Grace and Dr. Alan J.G. Wilson. C.L. Woods and D.J. Bell, for the defendant, Bulkley Valley District Hospital.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4" w:name="Judgment_33"/>
      <w:bookmarkEnd w:id="224"/>
      <w:r>
        <w:pict>
          <v:line id="_x0000_s1186" style="position:absolute;z-index:2517442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5" w:name="SATANOVE J._1"/>
            <w:bookmarkEnd w:id="225"/>
            <w:r>
              <w:rPr>
                <w:rFonts w:ascii="arial" w:eastAsia="arial" w:hAnsi="arial" w:cs="arial"/>
                <w:b/>
                <w:color w:val="000000"/>
                <w:sz w:val="30"/>
                <w:lang w:val="en-US" w:eastAsia="en-US" w:bidi="ar-SA"/>
              </w:rPr>
              <w:t>SATANOVE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Luke Smith was born on May 13, 1995 at the Bulkley Valley Hospital (the "Hospital") in Smithers, British Columbia. He was quickly transferred to the Royal Alexandria Hospital in Edmonton where he was diagnosed as having suffered from meconium aspiration syndrome and hypoxic ischemic encephalopathy (brain injury caused by lack of adequate oxygen and blood at some stage prior to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Today Luke is nearly nine years old. He is considered modestly cognitively impaired. He is developmentally delayed in all areas as compared to his peers and is not expected to develop mentally beyond the age of six to eight. He also has a seizure disorder which appears well controlled with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Luke is described by all those who have interacted with him as pleasant, cheerful, sociable and nice looking. He can speak and he can learn, but his ability to apply information, initiate, plan and judge situations is severely curtailed. All of the experts agree that Luke will require supervision throughout his life and will never be gainfully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Luke claims damages in the two million dollar range to compensate him for his losses and to pay for his maximum care in the future. The question is: are any of the defendants liable to pay these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trite to say that just because a baby is born with brain damage, it does not mean that the medical professionals involved in his birth were negligent. However, given the plethora of personal injury claims in our courts arising out of the birth process, some classic statements of law bear repeating. In Whitehouse v. Jordan, [1980] 1 All E.R. 650 (C.A.), Lord Denning said the following at 652-53: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Being born is dangerous for the baby. So much so that an eminent professor in this case tells us that: "Throughout history, birth has been the most dangerous event in the life of an individual and medical science has not yet succeeded in eliminating that danger." He parodies the psalmist by referring to "valley of the shadow of birth".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has its legal consequences. It follows that, when a baby is still-born or dies soon after birth or is born damaged or deformed, that fact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doctors or nurses attending the birth. It does not speak for itself. The maxim res ipsa loquitur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It also bears repeating that the standard of care imposed upon medical professionals is not that of an insurer or guarantor of well-being (Challand v. Bell </w:t>
      </w:r>
      <w:hyperlink r:id="rId474" w:history="1">
        <w:r>
          <w:rPr>
            <w:rFonts w:ascii="arial" w:eastAsia="arial" w:hAnsi="arial" w:cs="arial"/>
            <w:i/>
            <w:color w:val="0077CC"/>
            <w:sz w:val="20"/>
            <w:u w:val="single"/>
            <w:shd w:val="clear" w:color="auto" w:fill="FFFFFF"/>
            <w:lang w:val="en-US" w:eastAsia="en-US" w:bidi="ar-SA"/>
          </w:rPr>
          <w:t>(1959), 18 D.L.R. (2d) 150</w:t>
        </w:r>
      </w:hyperlink>
      <w:r>
        <w:rPr>
          <w:rFonts w:ascii="arial" w:eastAsia="arial" w:hAnsi="arial" w:cs="arial"/>
          <w:color w:val="000000"/>
          <w:sz w:val="20"/>
          <w:lang w:val="en-US" w:eastAsia="en-US" w:bidi="ar-SA"/>
        </w:rPr>
        <w:t xml:space="preserve"> (Alta. S.C.)). The standard is one of a prudent and diligent medical professional in similar circumstances and in light of the knowledge that ought to be possessed at the time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(ter Neuzen v. Korn, </w:t>
      </w:r>
      <w:hyperlink r:id="rId87"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It is also important to note that it is not a defence to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merely to allege that an error was one of clinical judgment. An error arising out of an exercise of judgment by a medical professional is actionable if the acts or omissions in the course of exercising the judgment fall below the proper standard of care (Whitehouse v. Jordan, [1981] 1 All E.R. 267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Finally, even if a medical professional has breached the appropriate standard of care, the breach must be causally connected to the plaintiff's injury. The plaintiff must show that but for the defendant's breach the injury would not have occurred, or that the breach materially contributed to the occurrence of the injury (Athey v. Leonati,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In certain circumstances, causation can be inferred, but not if there is affirmative medical evidence to the contrary (Snell v. Farrell, </w:t>
      </w:r>
      <w:hyperlink r:id="rId47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Moore v. Castlegar &amp; District Hospital </w:t>
      </w:r>
      <w:hyperlink r:id="rId476" w:history="1">
        <w:r>
          <w:rPr>
            <w:rFonts w:ascii="arial" w:eastAsia="arial" w:hAnsi="arial" w:cs="arial"/>
            <w:i/>
            <w:color w:val="0077CC"/>
            <w:sz w:val="20"/>
            <w:u w:val="single"/>
            <w:shd w:val="clear" w:color="auto" w:fill="FFFFFF"/>
            <w:lang w:val="en-US" w:eastAsia="en-US" w:bidi="ar-SA"/>
          </w:rPr>
          <w:t>(1998), 49 B.C.L.R. (3d) 100</w:t>
        </w:r>
      </w:hyperlink>
      <w:r>
        <w:rPr>
          <w:rFonts w:ascii="arial" w:eastAsia="arial" w:hAnsi="arial" w:cs="arial"/>
          <w:color w:val="000000"/>
          <w:sz w:val="20"/>
          <w:lang w:val="en-US" w:eastAsia="en-US" w:bidi="ar-SA"/>
        </w:rPr>
        <w:t xml:space="preserve"> (C.A.); and Bigcharles v. Dawson Creek &amp; District Health Care Society </w:t>
      </w:r>
      <w:hyperlink r:id="rId477" w:history="1">
        <w:r>
          <w:rPr>
            <w:rFonts w:ascii="arial" w:eastAsia="arial" w:hAnsi="arial" w:cs="arial"/>
            <w:i/>
            <w:color w:val="0077CC"/>
            <w:sz w:val="20"/>
            <w:u w:val="single"/>
            <w:shd w:val="clear" w:color="auto" w:fill="FFFFFF"/>
            <w:lang w:val="en-US" w:eastAsia="en-US" w:bidi="ar-SA"/>
          </w:rPr>
          <w:t>(2001), 91 B.C.L.R. (3d) 82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with these principles in mind that I turn to the facts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1995, the plaintiff Ms. Smith, Luke's mother, was 37 years old with a healthy 14 year old son from a previous marriage. She was treated by her family physician, Dr. Bianco, for the first 39 weeks of her pregnancy with Luke and experienced no complications. Dr. Bianco then went on vacation and the defendant Dr. Grace assumed his practice as a locum.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Grace first examined Ms. Smith on May 3, 1995. He found everything to be normal and he scheduled an appointment with her for the following week on Tuesday, May 9, which was the day before her due date of May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a conflict in the evidence about what took place at the May 9 appointment. Ms. Smith says that on the night of May 8, she noticed that the baby was not moving and discussed this with her husband. They decided since she was going to see Dr. Grace the next day, she would tell him about it at that time. She testified in chief that she told Dr. Grace on May 9 that the baby was quiet. He told her not to worry because babies rest up before delivery and that she should come back on Friday May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her examination for discovery, Ms. Smith said that she noticed two to three days before she saw Dr. Grace that the baby was not moving. It is not clear from her answer whether she meant two to three days before May 9, or before May 12. At trial she explained that she meant there had been no movement for two to three days as of May 12, which meant that she could only have noticed this on May 9 or 10, after her second appointment with Dr. Grace.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Further in her examination for discovery Ms. Smith said she thought it was really strange that the baby was not moving and it was her due date, May 10. This accords with her evidence that she felt no movement for two days before seeing Dr. Grace on May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Grace's contemporaneous clinical note of the May 9 appointment clearly states "baby is active" and that Ms. Smith was to return in one week, on May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fact that she returned on May 12 for an unscheduled appointment (as evidenced by the records) is consistent with her noticing a lack of fetal movement after May 9, not before. Dr. Grace testified that it was "ridiculous" to suggest that he would have told Ms. Smith that the baby was sleeping in response to a complaint of lack of fetal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 balance of probabilities, I find that Ms. Smith was mistaken about when she told Dr. Grace that her baby was inactive; this occurred on May 12, not May 9 as she stated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12, Dr. Grace arranged for Ms. Smith to attend the Hospital immediately. Ms. Smith did not arrive at the Hospital until 3 p.m. She was immediately placed on an electronic fetal monitor for the conduction of a non-stress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An electronic fetal monitor records the fetus's heart beat and simultaneously records the mother's uterine contractions. These are recorded on two separate parallel graphs, called a strip. A non-stress test is conducted by running a strip over a period of time before the mother has any contractions. This provides a heart beat pattern that may indicate if the fetus is experiencing any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Smith's non-stress test was "non-reassuring", that is, her baby's heart beat continuously at about 160 beats per minute, which is at the upper range of normal, and showed decreased beat to beat variability. The non-stress test showed no accelerations, but did show occasional slight decelerations. The nature of these decelerations could become important if they were "late decelerations", that is, if they came at the end of a uterine contraction and did not immediately recover to base line. Late decelerations are one of the signs of fetal distress and may mean that the baby should be delivered by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the very nature of a non-stress test is that it is conducted while the mother is not in labour and the fetus is not under stress. The strip in this case showed that Ms. Smith was not having contractions, therefore the minor decelerations Dr. Grace observed were not a sign of fetal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Graces's assessment of the situation on the afternoon of May 12 is that the baby had suffered some hypoxic injury (lack of oxygen coming from the placenta) but was compensating by increasing his heart rate to send blood to his tissues. Dr. Grace concluded that the baby needed to be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Grace sought the advice of an obstetrician, Dr. Watson, who practiced in Williams Lake. He told Dr. Watson by telephone that he had a 37 year-old patient having her second child, with a two-day history of a quiet baby and a non-reassuring non-stress test. He also told her about the 160 heart rate with decrease in beat to beat variability and occasional deceleration.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a result of his discussion with Dr. Watson, Dr. Grace decided to proceed with prostaglandin induction to be followed by oxytocin induction in the morning, if necessary. Prostaglandin is a gel that is inserted into the vagina to soften the cervix. It can cause labour to begin or it can simply efface the cervix to prepare it for the more rigorous oxytocin induction.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Hospital protocol required a second opinion before induction so Dr. Grace phoned Dr. Wilson, a general practitioner in Smithers with many years of obstetrical experience. Dr. Wilson agreed with Dr. Grace and Dr. Watson's planned management of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Grace administered the prostaglandin at 4:50 p.m. on May 12. He wrote his notes and left an order for the nurses which included an instruction to monitor Ms. Smith for one-half hour, then to do a non-stress test in six to eight hours. If the nurses were worried, they were to call him. He did not leave an order for continuous electronic fetal monitoring, nor did he leave an order that the nurses should contact him when Ms. Smith went into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Grace left the Hospital at about 5:30 p.m. He testified that his next contact with the Hospital was when he called at 7:30 p.m. to tell the nurse he was going to leave the phone for a while to go look at a horse. Nurse Leighton testified that she called Dr. Grace at 5:45 p.m. to update him even though there had been no change in Ms. Smith's condition. I find it unlikely that Nurse Leighton called Dr. Grace. She made no note of the call and on cross-examination she was equivocal as to whether she actually remembered making the call or whether she thought she "would have" called him. Further, Dr. Grace had only left the Hospital at 5:30 p.m. and it is unlikely that Nurse Leighton would call him 15 minutes later when there had been no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7:00 p.m. Nurse Tayler had relieved Nurse Leighton. Nurse Tayler's notes indicate that at 7:30 p.m. the fetus heart rate was 160 and Ms. Smith was having "tightenings" approximately every three minutes and lasting 15 seconds. The note refers to Dr. Grace's telephone call but does not indicate whether or not Nurse Tayler told him about the tightenings. She maintains that she "would have", but Dr. Grace testified that he would have come in to see Ms. Smith if that were the case. Given the fact that Nurse Tayler did not consider Ms. Smith to be in labour at this time, whatever she said to Dr. Grace probably would not have amounted to a significant change requiring him to attend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Nurse Tayler's notes indicate that at 9:30 p.m., Dr. Wilson came by the nursing station. Dr. Wilson did not recall that visit but he said it was likely he was at the Hospital that day and had gone to introduce himself to Ms. Smith. Based on his review of the records he admitted he likely knew at the time that Ms. Smith was in early labour which he defined as mild contractions, short in duration, low in intensity and not necessarily regular.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Nurse Tayler's notes indicate that at 11:30 p.m. Ms. Smith passed a mucous plug and the contractions were "somewhat longer and stronger". Nurse Tayler did not advise Dr. Grace of this. At 12:15 a.m. on May 13, she recorded that the contractions were of moderate strength, every two to three minutes and lasting approximately 30 seconds. An hour later they were every three minutes and lasting 45 to 55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Nurse Tayler contacted Dr. Grace at 3:30 a.m. and asked him to come in because the fetal heart rate had dropped to 70. Nurse Tayler repositioned Ms. Smith on her right side and administered oxygen to her by mask. When Dr. Grace arrived, the baby's heart rate was back at base line and Ms. Smith was eight to nine centimetres dilated. He ruptured her membranes to prepare for delivery and noticed that the amniotic fluid was thick with meconium. He immediately requested the presence of the paediatrician, Dr. Moisey, to suction Luke upon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Grace delivered Luke by forceps at 4:15 a.m. He was covered with meconium and immediately suctioned by hand. Arrangements were made for him to be transferred to Edmonton because the Hospital did not have the equipment necessary to continue suction.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statement of claim alleges that the defendants jointly breached the standard of care in 15 ways. Most of these allegations are of a very general nature and include such particulars as failing to take a complete history, to examine records and the patient, or make timely and adequate consultations and so forth. By the end of trial, the plaintiffs appeared to have reduced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following:</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Doctors Grace and Wilson: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appreciate the significance of the non-stress test and conduct an immediate caesarean section instead of inducing labour; or</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if Dr. Grace was going to induce labour, he should have</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an order for continuous electronic fetal monitoring; and</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an order for the nurses to contact him when Ms. Smith started contractions.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Hospital:</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Nurse Leighton should have objected to the induction; or</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if Dr. Grace insisted on inducing labour, then the nurses should have</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continuously monitored the fetal heart rate; and</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contacted Dr. Grace when Ms. Smith started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Caesarean Section or Induction?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only evidence that the non-stress test indicated that the plaintiff should have been delivered immediately by caesarean section came from Dr. Mitchell, an obstetrician from Alberta. He opined that Drs. Grace, Watson and Wilson failed to appreciate the significance of the pattern exhibited in the non-stress test. He says it signified that the fetus was suffering from hypoxia and was at very high risk of further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other experts, Drs. Kason, Hamilton and Pendleton, all opined that the defendant doctors choose an appropriate plan of management for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are several reasons why Dr. Mitchell's opinion does not persuade me that Dr. Grace failed to meet the standard of care in not performing a caesarean section. Firstly, Dr. Mitchell testified that the non-stress test showed late decelerations, which I have discussed earlier. However, the evidence is clear that Ms. Smith was not in labour during the non-stress test and the strip showed she was not having contractions. Secondly, Dr. Mitchell concluded that the longer the hypoxia continued, the greater the brain damage. Although this statement has a certain simplistic appeal and logic, it does not accord with the rest of the evidence. Luke was compensating for hypoxia, as shown by the elevated heart beat and absence of bradycardia (low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Most importantly, there appears to be two schools of thought as to how to proceed in these circumstances. In the case of a complicated medical situation it is not open to the court to criticize a decision of a medical professional if it is in keeping with one of the well-recognized and available options (Wilson v. Swanson, </w:t>
      </w:r>
      <w:hyperlink r:id="rId478"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ter Neuzen v. Korn, supra; and Brimacombe v. Matthews </w:t>
      </w:r>
      <w:hyperlink r:id="rId479" w:history="1">
        <w:r>
          <w:rPr>
            <w:rFonts w:ascii="arial" w:eastAsia="arial" w:hAnsi="arial" w:cs="arial"/>
            <w:i/>
            <w:color w:val="0077CC"/>
            <w:sz w:val="20"/>
            <w:u w:val="single"/>
            <w:shd w:val="clear" w:color="auto" w:fill="FFFFFF"/>
            <w:lang w:val="en-US" w:eastAsia="en-US" w:bidi="ar-SA"/>
          </w:rPr>
          <w:t>(2001), 87 B.C.L.R. (3d) 75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case at bar, Dr. Grace exercised his clinical judgment to induce labour rather than perform a caesarean section, given his own diagnosis and the advice from Drs. Watson and Wilson. All the other doctors who testified accepted this exercise of judgment, with the exception of Dr. Mitchell, who would have chosen a different course, perhaps with the benefit of hindsight. However, I see no basis for finding either Dr. Grace or Dr. Wilson liable for failing to perform a caesarean section on Ms.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follows then, that it is irrelevant whether Nurse Leighton objected or not to the induction. I have found it was an acceptable treatment within the medical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Continued Fetal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All the experts agree that having chosen to induce labour there came a point in time when continued electronic fetal monitoring was necessary or at least appropriate. Dr. Mitchell opined that the electronic fetal monitoring should have continued from the time of the non-stress test until delivery. Dr. Kason opined that it was necessary once Ms. Smith was in labour, which he defined as uterine contractions of sufficient frequency, intensity and duration to efface and dilate the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Hamilton opined that continuous electronic fetal monitoring should have been resumed at the onset of active labour, which he defined as contractions every three to five minutes, moderate in intensity and lasting at least 30 to 45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Pendleton explained that the standard of care has moved away from strapping a mother on to a bed with continuous monitoring for hours on end because it is uncomfortable and does not provide much more information than listening with the ear (auscultation). However, he would expect auscultation to have occurred more frequently during active labour than it did according to Nurse Tayler's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Nurse Buchinski opined that a reasonable and prudent nurse would have known that Ms. Smith and the fetus needed to be closely monitored.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addition to the expert evidence, the B.C. Reproductive Care Program guidelines, which Nurse Tayler and Dr. Wilson agreed had probably been adopted by the Hospital as part of its policy, called for electronic fetal monitoring or auscultation more frequently than every 15 to 30 minutes during active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From the above evidence I conclude that, while continuous electronic fetal monitoring might have been desirable, the standard of care did not require it until active labour. The different physicians describe the onset of active labour slightly differently but I accept Dr. Hamilton's opinion that it started sometime between 11:30 p.m. and 1:30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light of all of the above evidence, I find that the monitoring of Ms. Smith and the fetus fell below the standard of care. Electronic fetal monitoring was discontinued at 6:45 p.m. on May 12. There was a dispute on the evidence about when it resumed but I find that it most likely resumed at 2:55 a.m. the next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chart discloses only stethoscope auscultations between 6:45 p.m. and 2:50 a.m. I accept Nurse Tayler's evidence that in addition to the stethoscope, she used the electronic fetal monitor to record the fetal heart rate intermittently after midnight and that these recordings are shown on Exhibit 8. However, auscultation after midnight was only performed six times in nearly three hours, which was insufficient for an at-risk patient in active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Hospital submitted that if Dr. Grace had wanted continuous electronic fetal monitoring, he should have left an order to that effect. The plaintiffs' expert, Dr. Kason, opined that it was Dr. Grace's responsibility to ensure continuous electronic fetal monitoring at all times during Ms. Smith's labour. In cross-examination he qualified this assertion by saying Dr. Grace should have ordered continuous electronic fetal monitoring during active labour if no Hospital protocol covering the situation were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Pendleton testified that he would expect obstetric nurses to use their professional discretion to provide a degree of vigilance appropriate to the level of risk in any given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discussed above, there was a protocol at the Hospital which mirrored the B.C. Reproductive Care Program Guidelines and I have found that Nurse Tayler did not follow it. I do not find any breach of the standard of care by Dr. Grace who was entitled to rely on Nurse Tayler to follow Hospital policy. The fact that she did not meet the standard of care does not affect upon Dr. Grace's legal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Contacting Dr. Grace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Grace did not leave a written order to contact him upon commencement of contractions. Nurse Tayler did not contact him until 3:30 a.m. when the fetal heart monitor showed a dip in fetal heart rate to 70. At this time Ms. Smith was three centimetres dilated and having contractions every three minutes lasting 45 to 55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Doctors Hamilton and Pendleton both testified that they would not necessarily expect the nurses to advise them as soon as labour starts, unless they made a point of asking the nurses to do so. Dr. Kason, Dr. Mitchell and Nurse Buchinsky all opined that nurses are expected to contact a physician to advise them of any significant maternal or fetal changes. Dr. Grace said he would have liked to have known as soon as contractions started, even early ones. He expected to be advised once active labour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Nurse Tayler had no real excuse for not having notified Dr. Grace when active labour began, which was sometime between 11:30 p.m. and 1:30 a.m. The fetal heart rate had not fluctuated, but active labour is a significant change in the clinical picture and I find that the standard of care dictated contacting Dr. Grace to advise him of its onset, regardless of the absence of a written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the very least, Nurse Tayler would not have been able to fulfill Dr. Grace's order to conduct another non-stress test within six to eight hours of the last one, because the fetus was now experiencing the stress of labour. Furthermore, Nurse Tayler knew that if the original non-stress test was non-reassuring, it would be important to assess the impact of labour on the fetus. For all these reasons, I find Nurse Tayler should have contacted Dr. Grace by 1:15 a.m. at the latest when the contractions were lasting 45 to 55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Therefore, I find that Nurse Tayler breached the standard of care by failing to take the appropriate steps once Ms. Smith went into active labour. She did not resume electronic fetal monitoring and did not call Dr. Grace, both of which were unacceptable omissions. Dr. Grace, on the other hand, discharged himself admirably. Immediately upon being called, he raced to the Hospital. When he arrived, Ms. Smith was eight to nine centimetres dilated and he delivered Luke in 25 minutes. No one suggested that Dr. Grace could have delivered the baby any faster by caesarean section by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have found that Nurse Tayler breached the standard of care of a reasonable and prudent nurse but I cannot hold the Hospital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unless there is a causal connection between Luke's injury and the failure to continually monitor the fetus or the failure to contact Dr. Grace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plaintiffs submit that the only inference open to the court is that Luke's brain injury was caused or contributed to by hypoxia prior to birth and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the very least increased the duration of Luke's exposure to that hypoxia, thereby materially increasing the risk of the injury he suffered. The plaintiffs rely on the Supreme Court of Canada's comment in Snell v. Farrell, supra, that causation can be proven by a common sense inference in the absence of positive medical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urge me to find causation because:</w:t>
      </w:r>
      <w:r>
        <w:rPr>
          <w:rFonts w:ascii="arial" w:eastAsia="arial" w:hAnsi="arial" w:cs="arial"/>
          <w:sz w:val="20"/>
          <w:lang w:val="en-US" w:eastAsia="en-US" w:bidi="ar-SA"/>
        </w:rPr>
        <w:cr/>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fetal monitor strips showed the existence of hypoxia;</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Uncontradicted radiological evidence confirmed hypoxic brain injury; and</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Mitchell's uncontradicted evidence establishes that continuing hypoxia will worsen any injury that may already be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Unfortunately, I cannot accede to the plaintiffs' submissions for the following reasons. The existence of hypoxia alone is insufficient to cause brain damage unless the fetus is unable to cope with it. The experts agree that all babies suffer some hypoxia during birth but most are able to survive without injury. I find that in this case Luke was compensating for hypoxia until around 3:30 a.m. on May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No one disagrees that Luke likely suffered a hypoxic brain injury. The question is when did the injury happen. Doctors Mitchell, Hamilton and Grace testified that the plaintiff likely suffered an hypoxic injury before Ms. Smith saw Dr. Grace on May 12. Nurse Tayler's failure to adequately monitor and her delay in calling Dr. Grace is only relevant if the hypoxic injury continued to worsen as a result of this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clinical evidence contradicts Dr. Mitchell's evidence and establishes that the plaintiff's injury did not worsen before Nurse Tayler called Dr. Grace at 3:30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Mitchell's opinion, and indeed the plaintiff's entire theory of liability revolves around the assumption that if there had been continuous electronic fetal monitoring, there would have been significant signs of deterioration, which would have led to an earlier delivery. The plaintiffs seem to suggest that because it was the defendants' fault that there is no continuous strip in existence showing the fetal heart beat between 6:45 p.m. and 2:55 a.m., I should draw the inference most favourable to the plaintiffs, which is that the continuous strip would have shown signs of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submissions might have some merit if there was no fetal monitoring, either electronic or by auscultation, but it flies in the face of the evidence recorded on the strips that do exist and in Nurse Tayler's notes. At the beginning and end of the non-stress test, the heart rate was about 160 with little beat to beat variability. At 7:30 p.m. the heart rate was 160, at 9:30 p.m. it was 160, at 11:30 p.m. it was 160, at 12:15 a.m. it was 160, at 1:15 a.m. it was 160, at 2:30 a.m. it was 150 and when continuous monitoring started at 2:55 a.m., the strip showed a heart rate of 160 and little beat to beat variability for the first 35 minutes. In other words, at each irregular interval when the fetal heart rate was monitored, there was no significant change until 3:30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Mitchell all but conceded that this evidence is inconsistent with the heart rate of a fetus whose condition is deteriorating. He said occasionally a fetus can rid itself of the acids caused by hypoxia and return to baseline, but this was not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All of the experts agreed that if the fetus were suffering gradual hypoxic events, there would have been progressive deterioration, and the monitoring would have shown prolonged bradycardia and a pattern of late decelerations. These would have been evident from auscultation or when the strip was resumed at 2:55 a.m., and they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Pendleton best expressed the improbability of progressive deterioration in his examination-in-chief: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Mitchell in his report says that it's highly likely that, had continuous fetal monitoring been done during early labour, it would have provided further evidence of fetal compromise that would have led to an earlier delivery. And do you agree?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agree. The reason I don't agree, My Lady, is that almost all fetal compromise related to oxygenation of the baby in the uterus, in other words, effective blood flow through the placenta, into the baby and out again, if it shows a problem, it shows a progressive worsening of that problem. It is not true to state that little insults go on pretty well undetected and they make a summation of problems. If you look at hundreds and hundreds of traces, as I have, you will see that there are little flickers of problems followed by bigger flickers, followed by worsening, followed by more, followed by let's get out, things are going bad. And that is the common result of continuous monitoring. The problem I have, therefore, with this case is that there are periods when the ear was used - and we don't know what happened between the time when the ear was applied once and applied again 15, 30 minutes later - but when we put the monitor back on, or when it was put on, there was no evidence of a significant change in that trace from the trace that had been taken when she entered the hospital. Nobody can point to me, I think, as to where things became so bad that a caesarean should be made. Bear in mind, this is a small community hospital with general practitioners and a lady who weighed 275 pounds. That is a surgical nightmare. It's a nightmare because you may have a general practitioner/anaesthetist, and you may have two general practitioners struggling with what might be a difficult procedure. It might be very easy, but it probably wouldn't be. I'm not suggesting that's a reason for not doing it, but you need a very strong index to say "I must do it." And my problem is I don't know where to guide you as to when that occurred because I don't see, until just before the baby was born, any major change in the fetal heart trace.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Pendleton also said the following earlier in the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page 5 at the very bottom of the page under your heading "Summary," you say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All eventualities were considered, discussed as appropriate, and ultimately, an expeditious delivery was made without obvious damage to the baby or mother.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do you mean by "without obvious damage to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 meant at that time was that in the course of the delivery and the period up to the delivery, I was not able to identify a time when a significant harm would have occurred to that child. In other words, I saw the individuals aware of the situation. I did not see a worsening of the situation which said to me here you make a caesarean section. I saw the practitioners involved assisting in shortening the second state using forceps. And I saw the child passed immediately to paediatrics for care. Mother had a small number of stitches. There was no physical harm to 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cannot draw the inference the plaintiffs ask me to draw from the expert evidence or from the medical records. To draw such an inference would be worse than speculating or conjecturing because it is inconsistent with the established facts. The only reasonable inference to draw in the circumstances is that electronic fetal monitoring before 2:55 a.m. would not have shown a deterioration of the fetus because there was no deterioration. The first significant sign of fetal distress was at 3:30 a.m. when the heart rate decelerated to 70. Nurse Tayler lay Ms. Smith on her right side, administered oxygen and called Dr. Grace.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Similarly, if Dr. Grace had been called in between 11:30 p.m. and 1:30 a.m., he would not have noted any deterioration. Although he testified he would have ruptured the membranes, Dr. Pendleton opined that it would not be safe to do so until the cervix was at least three centimetres dilated, which was not until 3:30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Grace said (in hindsight) that rupturing the membranes would have brought the presence of meconium to light and he might have delivered earlier by caesarean. This is predicated on his observation that the meconium was the consistency of thick pea soup, which indicated that it was mixed with amniotic fluid. However, his observation of the consistency of the meconium supports the inference that the baby had suffered harm well before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is no doubt that the latter phase of Ms. Smith's labour was tumultuous. In the span of 25 minutes her cervix had dilated from three to eight or nine centimetres. Luke was born 20 minutes after that. He may have suffered further injury during this latter phase but I cannot make that finding on a balance of probabilities. In any event, by that stage, no one was suggesting Dr. Grace should have acted in any other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think it is one of the hardest tasks of a judge to dismiss the claim of an innocent, brain-injured child and I do not do so lightly. The mystery of birth and its complications will continue to perplex medical professionals, judges and lay people alike. It is only when the complications are caused by the fault of the attending medical professionals that the courts can intervene to provide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claim is dismissed with costs, subject to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SATANOVE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7" style="position:absolute;z-index:2517954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Startup v. Blake, [2001] B.C.J. No. 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24 - 27 and November 13,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Courtenay Registry No. S 4830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1194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George Startup, plaintiff, and Jerry G. Blake and MacIsaac &amp;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8"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6" w:name="Keywords_33"/>
      <w:bookmarkEnd w:id="226"/>
      <w:r>
        <w:rPr>
          <w:rFonts w:ascii="arial" w:eastAsia="arial" w:hAnsi="arial" w:cs="arial"/>
          <w:b/>
          <w:color w:val="000000"/>
          <w:sz w:val="20"/>
          <w:lang w:val="en-US" w:eastAsia="en-US" w:bidi="ar-SA"/>
        </w:rPr>
        <w:t xml:space="preserve">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Particular negligent acts — Settlements — Lack of full disclosure.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7" w:name="Case Summary_32"/>
            <w:bookmarkEnd w:id="2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Startup against the defendant Blake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Startup was employed as a vending machine service repairman. This work required heavy lifting and moving. He was injured in a motor vehicle accident in October 1995. Startup could not return to work because of the pain in his lower back and left side. Blake was Startup's lawyer. Startup was under severe financial pressure because his wife had to take a medical disability leave from her employment. He received payments from ICBC. In order for the benefits to continue Blake regularly corresponded with his adjuster. In June 1996 Startup was examined by an orthopaedic surgeon. The surgeon concluded that Startup's problems would be resolved by October 1996. Another weakness in Startup's claim was that he had a history of drug and alcohol abuse. In September 1996 Startup was assessed by a physiotherapist. His movement was found to be within the functional range. A retraining and exercise program was recommended. In November 1996 Startup settled his claim with ICBC for $68,000. Startup claimed that Blake pressured him to accept the settlement. He allegedly told him he could only recover the same or less than the offer if the case went to trial. He also claimed that there was no discussion about income replacement pending a trial. Blake denied that he pressured his client to accept the settlement. He denied the various claims made by Startup. Startup claimed that Blake did not appreciate his medical status and failed to obtain proper information about Startup's vocational status. Startup also claimed that the physiotherapist was not qualified to perform a vocational assessment. Startup's physician was aware of the physiotherapist's qualifications and agreed with her recommendations. Startup also claimed that Blake was further negligent because he did not sue for disability benefits under the Insurance (Motor Vehicle) Act and that Blake did not commence this action because it would have destroyed his relationship with the adjuster. Startup also claimed that Blake failed to properly advise him about the details of the offer and the implications of the settlement. However, Blake discussed the offer with Startup on at least three occasions.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8" w:name="Holdings of Court_29"/>
            <w:bookmarkEnd w:id="22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Blake was fully aware of his client's medical status. Startup was aware that his medical condition might not improve. He accepted that risk. Blake's decision to support Startup's attendance at the physiotherapist was within the applicable standard of care. Blake properly handled the issue of the disability benefits. Blake made concerted and diligent efforts to obtain advances for his client. Startup was properly informed about the implications of the settlement. He made a conscious assessment of the risks and benefits of the offer. Startup's testimony was rejected for he was not a credible witness.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9" w:name="Legislation Cited_23"/>
      <w:bookmarkEnd w:id="2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9"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0" w:name="Counsel_34"/>
      <w:bookmarkEnd w:id="2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0"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Holekamp and S. Sweeney, for the plaintiff. P. Abrioux,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1" w:name="Judgment_34"/>
      <w:bookmarkEnd w:id="231"/>
      <w:r>
        <w:pict>
          <v:line id="_x0000_s1191" style="position:absolute;z-index:2518466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2" w:name="KIRKPATRICK J."/>
            <w:bookmarkEnd w:id="232"/>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November 1, 1996 David Startup executed a release of his claim arising from a motor vehicle accident that occurred on October 14, 1995. He settled his claim with ICBC for $68,136.27. Approximately two years later, on November 27, 1998, he brought this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the lawyer and the law firm that effected the settlement of Mr. Startup's claim. Mr. Startup alleges that Mr. Blake "negligently urged" him to accept the offer of settlement reached on October 31, 1996. The plaintiff's claim is rooted in the principal allegation that the motor vehicle accident claim was settled prematurely without a full and complete understanding of Mr. Startup's medical and vocational condition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Startup is 45 years of age. He has a grade 11 education. At the time of the motor vehicle accident in October, 1995, he had been employed in a vending machine business as a route driver and service repairman for 12 years, the last four of which he was responsible for the north region of Vancouver Island, working out of Port Hardy.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1994, he commenced a computer programming course which he had half completed by the time of the accident. He had undertaken the course with the idea that it would assist him in repairing computerized vending machines or would allow him to start his own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October, 1995 Mr. Startup earned approximately $1,800 gross per month. His wife was employed as a clerk in a local hotel and earned approximately $1,600 - $1,700 gross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and Mrs. Startup married in 1993. She has two children from a previous marriage who lived with and were supported by Mr. and Mrs. Startup. Mr. Startup described their financial circumstances before the accident as "living from month to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motor vehicle accident occurred at a T intersection in Port Hardy when Mr. Startup's truck was hit by another car which failed to stop. The combined speeds were approximately 130 kph. The damage to his truck was $800. The other car was declared a write-off. Liability for the accident was never seriously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Startup experienced pain in his lower back and left side. In a medical report filed on December 12, 1995 by his family physician, Dr. Abbey, he was diagnosed as having acute back strain and soft tissue injury secondary to the accident as well as possible neurological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Startup attempted to return to work which involved heavy lifting and moving of vending machines. He worked for one week but was unable to continue because of pain. He has not worked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November 3, 1995 Mr. Startup met with Daniel Nowosad, a lawyer in Port Hardy, and signed a contingency fee agreement with that lawyer's firm and the defendant MacIsaac and Company. A term of that agreement provides that if Mr. Startup elected not to proceed with the claim, or changed lawyers, or refused to follow his lawyer's advice, the agreement could be terminated and he would be obliged to pay $150 per hour for legal services performed up to that time. The file was referred to Mr. Blake in MacIsaac's Victoria office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Startup and Mr. Blake never had a face to face meeting in the year during which Mr. Blake was Mr. Startup's lawyer. All communication was made by telephone, fax or through Mr. Startup's diary which Mr. Blake had recommended he keep to record events pertinent to the motor vehicle accident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Blake articled with MacIsaac and Company and commenced full time practice with that firm after his call to the bar in 1992. His practice is comprised of approximately 80% personal injury work consisting of about 20 active files. As well, he is a part-time member of the B.C. Benefits Appeal Board and is a part-time arbitrator for the Residential Tenancy Branch of the Office of the Attorney-General.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Blake is a quadriplegic with no finger function. He is able to grasp a pen and make note of important notes, but it is evidently a cumbersome and laborious task. His notes to Mr. Startup's file are accordingly difficult to read. However, he testified that his invariable practise is to dictate memoranda to his files as soon as practicable after taking notes of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Mr. Startup's initial telephone discussion with Mr. Blake, he was advised that Dr. Abbey had told him that he would never be able to return to his pre-accident employment because it involved lifting and moving vending machines. Dr. Abbey referred Mr. Startup to a neurologist in Vancouver, Dr. Hashimoto, to investigate neurological concerns, including left leg weakness and collapse and episodes of left arm shaking. Dr. Hashimoto was unable to find any definite neurological abnormalities and stated that "neurologically he is likely to be fine." In his letter to Dr. Abbey dated January 11, 1996, Dr. Hashimoto also noted that Mr. Startup had some back problems which he believed were related to the soft tissue injury because there was no evidence of nerve root problems. Dr. Hashimoto thought that "given time that should settle down." Dr. Hashimoto ordered a CT scan of Mr. Startup's head which proved to be normal. Dr. Hashimoto's report was forwarded to Mr. Blake on April 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or about the time of Mr. Startup's accident, his wife was forced to take a medical disability leave from her employment. She suffers from lupus, sclerodermus and was also diagnosed with endometriosis. This calamitous combination of very serious diseases has resulted in her being permanently disabled from work. The stress of his wife's illness, as well as the erratic payment of her disability benefits, caused Mr. Startup considerable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Startup's wages ended when he left his employment one week after the accident. He was required to exhaust his unemployment insurance benefits before applying for income replacement under Part 7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(see: </w:t>
      </w:r>
      <w:hyperlink r:id="rId487"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as amended). In the nine month period from November 29, 1995 until September 9, 1996, Mr. Startup received from ICBC Part 7 benefits ($3,984.50) and advances on the tort claim ($14,151.77) totalling $18,136.27. This amount roughly approximates Mr. Startup's gross annual income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order to obtain those benefits and to keep the ICBC adjuster, Leslie Jancowski, informed of Mr. Startup's condition and needs, Mr. Blake regularly corresponded with and telephoned Ms. Jancowski. It is clear that the adjuster expected and needed that information in order to justify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significant that, as early as December 14, 1995, Ms. Jancowski was inquiring if Mr. Startup had "any skeletons" in his closet. It seems he did, although he did not advise Mr. Blake or Dr. Abbey of his past history of drug and alcohol abuse until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Startup's condition had not improved by early March, 1996. He was scheduled to have a CT scan of his back because of continuing back pain. His physiotherapy treatment was suspended pending the CT scan scheduled for March 14. Mr. Startup reported to Mr. Blake on April 9 that he had seen his physician who advised that he had a disc problem in his lower back related to the accident. According to the note in Mr. Blake's file of this telephone call: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Abbey advised client that the problems with the low back discs now prevent him from returning to his pre accident employment forever as changes in disc area is [sic] permanent. According to Dr. Abbey disc problems were possibly arthritic and degenerative in nature but the problems he now experiences would not have occurred for at least 10 to 12 years. Argument here is whether or not accident exacerbated or brought forward this problem and Dr. Abbey appears to conclude that yes it did. Advised client that I will follow up with Dr. Abbey and get a medical report including copies of CT scan and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Two days later, Mr. Blake telephoned Mr. Startup concerning the loss of future income component of his claim and the need to explore other future occupations. Mr. Startup told Mr. Blake that he had a plan in place, namely the computer technician training he had started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Blake never contacted Dr. Abbey directly. He says that the information he received from Dr. Abbey was always consistent with what Mr. Startup had told him. Mr. Blake never asked Dr. Abbey for the post-accident clinical records. He testified that it did not seem necessary in Mr. Startup's case and that he was content with the information he had. At some point, Mr. Blake's office asked Dr. Abbey to provide a medical-legal report. It was apparently long in the making and was not received by Mr. Blake's office until early August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meantime, the ICBC adjuster in late May 1996 asked that Mr. Startup submit to an independent medical examination by Dr. Kamper, an orthopaedic surgeon. That examination took place on June 8, 1996. In his report dated June 8, 1996, Dr. Kamper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would suggest that we are therefore dealing with a transient aggravation of a hitherto asymptomatic degenerative condition at the lumbosacral junction of this man's low back. His clinical course, with resolution of what sounds like S1 nerve root irritation on the left side within a couple of months of the motor vehicle accident, and the subsequent gradual improvement in the low back pain, would support this contention. I would accept that this pre-existing change would prolong the period of time required for rehabilitation and for this patient to achieve his pre accident status. Considering this patient's clinical progress over the past eight months since the motor vehicle accident, the further period of time necessary before he regains his pre October 14 1995 status can be generously assessed at four months. This means that total resolution of complaints can be confidently predicted at about one year post accident. If the patient does suffer any on-going complaint referable to the low back beyond this one year period, then it can be reasonably attributed to the natural history of degeneration involving the lumbosacral junction and not to injuries suffered at the time of the motor vehicle accident of October 14 1995.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present time the patient is far from totally disabled although, if what he tells me of his job description is correct, I would accept that he would not be able to do his pre injury type of work at the present time. However, what physical restrictions may be placed on activities such as lifting or repetitive bending will progressively diminish over the next three or four months, by which time any lingering adverse effect of the motor vehicle accident of October 14 1995 will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Blake agreed under cross-examination that he did not provide to Dr. Kamper the physiotherapy records relating to Mr. Startup (which showed that physiotherapy had been suspended on three occasions because it was not helping him) nor Dr. Abbey's clinical records. He also agreed that those records would be relevant to Dr. Kamper's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Kamper's report, and specifically the finding that Mr. Startup's condition could be expected to resolve by September or October 1996, cast Mr. Startup's claim in a very critical light so far as ICBC was concerned. Mr. Blake's memorandum to the file dated July 2, 1996 records the position taken by the adjuster: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Looking to Dr. Kamper's report she [Leslie Jancowski] is not concerned about his suggestions with respect to pre existing problems nor his comments. Instead Leslie relies solely on his opinion whereby he says David Startup should recover within 4 more months of Kamper seeing him. In addition Leslie Jancowski advises that she continues to pay TTD's [temporary total disability payments] but believes he should be mitigating hence taking on some sort of work. If David Startup did so, of course, TTD's are not paid for partial benefits therefore David Startup would be cut off. Queried also the fact that Abbey's comments are supposed to come down and the fact Hashimoto's comments which verifies soft tissue tear [sic]. Agreed Hashimoto's comments do not contain a prognosis and he saw David Startup quite early in this claim. As a result discussed whether or not based on Abbey's comments we may need a third medical opinion either in Nanaimo or Campbell River and advised Leslie that I may take this up with Dr. Abbey to get his recommendations. Discussed possible settlement which is what Leslie Jancowski would like to do and she advises that she would place David Startup's claim at the top of the soft tissue injury claim which she believes is a $15,000. cap for non pecs plus wage loss to date plus 4 more months of wage loss in light of Kamper's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July 2 telephone discussion between Mr. Blake and the adjuster, Ms. Jancowski, appears to be the first time that settlement of Mr. Startup's claim was seriously broached although settlement considerations were earlier raised by Ms. Jancowski on June 17 in reference to Dr. Kamper's finding that Mr. Startup had a degenerative disc problem. Mr. Blake was anxious to receive Dr. Abbey's report before embarking on further settlement discussions. Mr. Startup was continuing to experience muscle spasm in his lower back for which he was medicated. He was not working and often expressed to Mr. Blake or his assistant that he was in desperate need of money. Mr. Blake persuaded the adjuster to provide a further $1,000 advance on July 18. However, the ICBC adjuster took the position that no further temporary total disability payments would be made until ICBC received Dr. Abbey's anticipated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That report was delivered to Mr. Blake sometime after July 30. It is of some significance because it represented the most current medical assessment of Mr. Startup at the time his claim with ICBC was settled. It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unable to stand for greater than 30 minutes at a time without getting severe back pain. He reports that if he does stand for more than 30 minutes at a time he will develop increased back pain that will continue at a higher level for the next few days. His back pain is localized to his lumbar spine and he does appear to have a lot of muscular spasm in this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present he is modifying his activities and is on analgesics and muscle relaxants.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reviewed Dr. M. Kamper's report with interest and note that the majority of his assessment deals with degenerative disc disease and how this is playing a role in the patient's symptoms. However it is important to note that the patient had this condition before his accident and at that time he did not have complaints of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this man has suffered a significant back strain and it is this injury that is causing most of his symptoms now. The mechanism of injury in a back strain causes damage to the so called soft tissues in the back (muscle, ligaments, tendons, and fascia).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I can only report that the patient continues to be symptomatic and at present cannot return to his pre-accident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his future I would have to say that his prognosis is guarded in that I mean that I would predict slow yet steady improvement in his symptoms but I would be unable to commit to a time frame for this improvement. However, there is a chance that he could progress to a certain level and then plateau there. As far as future work this patient may be able to do, I think it would be a good idea to get him reviewed by a Vocational Rehab Specialist and go from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By August 6, Mr. Blake had been informed by Mr. Startup that he was still off work due to muscle spasms. The financial circumstances in the Startup household were evidently grim. ICBC's July advance of $1,000 had been spent on rent and hydro, leaving only $200. Mrs. Startup was not receiving her payments because of a union dispute. Mr. and Mrs. Startup applied for welfare benefits at about this time. There was a $50 payment made to permit them to purchase groceries.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same day, Mr. Blake advised the adjuster that on August 9 he would be reviewing the file with his client with the objective of presenting a settlement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 telephone conversation which appears to have occurred later on August 6 between Mr. Blake's legal assistant and the adjuster, the request for a further advance for Mr. Startup was met with the following response, as recorded in a memorandum to Mr. Blake from his assistant: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Leslie says no dice as she was told you would be negotiating a settlement on Friday and she thinks by withholding monies she will be in a better bargaining position. Leslie says she feels like a meany but she is tired of handing out money every time David asks for it therefore [sic] would like to see this file wrapped up through paying settlement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Blake reviewed Dr. Abbey's report with his client on August 12. His memorandum to the file states that he "advised client that if he wants to try and settle claim a guesstimate would probably be $30 - $40,000. for wage loss and $20 - $30,000. for compensation plus the usual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Startup was, in Mr. Blake's words, "not too thrilled" with the amount suggested. He expressed to Mr. Blake his grave concerns as to his future because he was still experiencing pain and had no idea when his injury would heal. Mr. Blake responded that "... that is the read of the file at present, recognizing that we are crystal ballgazing...."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 telephone discussion with the adjuster later that day Ms. Jancowski continued to press for settlement. They discussed the possibility of wage loss for one year ($26,000) and a year of future wage loss. Ms. Jancowski was reluctant to consider a future wage loss component because, in her view, there was no real proof that Mr. Startup could not return to his pre-accident employment. That view is not supported by what Dr. Abbey had advised Mr. Startup (and which Mr. Blake apparently accepted in April) nor the view of Dr. Kamper concerning Mr. Startup's inability to return to his former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any case, the claim was not settled on August 12. At most, the claim moved to another stage because Mr. Blake and Ms. Jancowski agreed to follow-up on the suggestion in Dr. Abbey's report that Mr. Startup attend a two to three day assessment by an occupational therapist and physiotherapist in Campbell River. On that basis, the adjuster agreed to advance a further $2,000, on the condition that Dr. Abbey approved of the assessment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August 20, Mr. Blake outlined his client's vocational prospects in a letter to Ms. Jancowski. He noted that Mr. Startup was enrolled in a correspondence course to enable him to become a computer technician for vending machines. Mr. Blake further stated that the physical limitations relating to the accident appeared to be permanent and it was thus doubtful that Mr. Startup would be able to work on vending machines. Mr. Blake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this fact, Mr. Startup advises that he continues to recognize the possibilities of employment as an electronics technician especially in the field of computers.... In any event, this is the vocation which Mr. Startup intends to pursue as he believes he would have good employment possibilities in same and even should his physical limitations remain permanent, there should still be work for him as this type of employment would appear to be mainly sedentary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Startup agreed under cross-examination that the August 20 letter at the time represented an accurate assessment of his future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physiotherapy assessment was delayed when Mrs. Startup required emergency surgery in late August, 1996. Mr. Startup described this period as a very stressful time. He advised Mr. Blake that he was "consuming valium like they were going out of style." He acknowledged that he was an alcoholic and had taken up drinking again. He told his lawyer that Dr. Abbey had referred him to a psychologist for depression. Mr. Startup also advised Mr. Blake on August 21 that his wife had been accepted for employment insurance and thus their financial circumstances were then tolerable.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Startup was assessed on September 11, 1996 by Klari Varallyai, a physiotherapist and ergonomic consultant. That assessment found that he had minimal stiffness with forward bending; there were mild restrictions with backward bending and rotation when standing; and that all his movement was within functional range for carrying out activities of daily living. In her report to ICBC dated October 25, 1996, Ms. Varallyai summarized her conclusions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Startup is well aware that he needs to increase his endurance level. Physiotherapist Karen Cooper has advised him regarding an exercise program and recommended that he increase his walking time. During the discussion and assessment, it was apparent that Mr. Startup fully recognizes the need to return to work and to improve his overall endurance. He also noted that the counselling with the psychologist has helped him to move toward the above described goals.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discussed the steps that need to be taken to improve his physical endurance and mobility. He feels that he would rather work on an independent program than join an exercise group (i.e. return to a work conditioning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Varallyai recommended, among other things, that Mr. Startup be monitored for progress; enter a graduated exercise program; and explore availability of local job vacancies before embarking on a recognized course for vending machine repair (which, in the context of her report as a whole, evidently refers to the technical aspects of vending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Prior to Ms. Varallyai issuing her report, Mr. Startup reported to Mr. Blake on September 19 what Ms. Varallyai had told him during his assessment. Mr. Blake's memorandum to file records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work capabilities, client advises that the therapist told him that any work in the vending trade is gone and she thinks that the course he is embarking on now namely the computer end of things is a viable way to re-enter the workforce. Client advises that the report when done will be sent down to myself for review and approval and then it will be up to us to send it on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that time, Mr. Startup agreed with Mr. Blake's suggestion that, after he received Ms. Varallyai's report, he contact the ICBC adjuster with a view to allowing Mr. Startup to start on a vocational plan while his condition was monitored.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noted, Ms. Varallyai's report was not delivered until October 25. By that time, Mr. Startup said that his wife was expressing concerns about the future and how they would survive the winter in their most difficult personal and financial circumstances. At the same time, Mr. Startup felt encouraged by the Varallyai assessment and the advice that, if he followed the suggested program, his condition would improve and he would be able to change the focus in his career that he had begun to consider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events from mid-October to the conclusion of the settlement at the end of October are very much in dispute and are crucial to the outcome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are no dictated memoranda in Mr. Blake's file that record his conversations with Ms. Jancowski or his client. He acknowledged at trial that, if he had made such a record, "I probably wouldn't be here." Mr. Blake's recollection of the events leading up to the settlement is assisted to a degree by his handwritten notes to his file which, because of his disability, are notations of only the most important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One such note, which is undated, but from the context Mr. Blake was able to place in time at late August or early September, concerns a telephone conversation in which he and the adjuster discussed possible settlement amounts. Mr. Blake had already discussed with his client his "guesstimate" of the value of his claim. This discussion was concerned with obtaining the adjuster's view of the value of the claim. At that time, Mr. Blake was, in his words, "pitching" a suggestion that the claim was worth $82,000 plus disbursements, made up of $30,000 non-pecuniary damages, and two years' loss of income of $52,000. He recalled that the adjuster wanted to await the Varallyai report before discussing the matter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next handwritten note appears to have been made sometime after October 26. Mr. Blake had received the assessment. Mr. Blake testified that the note recorded his understanding that Mr. Startup was comfortable with the assessment. Indeed, that was Mr. Startup's evidence - he agreed under cross-examination that he was optimistic that if he followed the Varallyai plan he would be able to achieve his vocational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same note records his later conversation with the adjuster who suggested settlement at $54,000 made up of one year of past wage loss of $22,000; $15,000 net future earnings; $15,000 non-pecuniary damages; and $2,000 special damages. Mr. Blake was pressing for a higher sum. When the adjuster indicated that she was prepared to offer $40,000 of "new money" (i.e. in addition to the $18,136.27 advanced on the tort claim and for Part 7 benefits), Mr. Blake said he would have to speak to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Blake then telephoned his client. Their versions of the discussions which culminated in the settlement are exceedingly at odds with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Startup testified in his direct examination that settlement discussions with Mr. Blake began in late September. Mr. Startup testified that his wife initiated the discussions because she was concerned about how they were going to survive the winter given that, in his words, "the case was going nowhere." Mr. Startup said that, as a result, "things seemed to get rolling" and a $50,000 figure was discussed. He said that Mr. Blake asked him "what would make me happy," to which he responded: $100,000 - $150,000. He was advised by Mr. Blake that that was an unrealistic amount to expect.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Startup remembered providing Mr. Blake with details of his correspondence program in furtherance of negotiating a $4,000 technical course. That was later followed by three or four discussions in which he was advised, among other things, that ICBC was not prepared to pay for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Startup testified that in their final discussion prior to settlement, Mr. Blake told him that the offer was $46,000 (exclusive of advances) together with medical and "physical" expenses for one year. Mr. Startup was unhappy with the offer. He told Mr. Blake that he felt that his back was against the wall: his rent and hydro accounts were due and the family was low on food. He said that Mr. Blake agreed that his situation was bad, but that if he accepted the offer, he could arrange to have $5,000 into his bank account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They also discussed the option of not accepting ICBC's offer. Mr. Startup says that Mr. Blake advised him that he could wait and go to trial in two years, but that in the meantime, there would be no more advances and there was a good possibility that after a trial he might receive less than $43,000. He says there was no discussion that he might obtain a higher award after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Startup testified that Mr. Blake did not discuss with him the possibility of income replacement pending a trial. Indeed, Mr. Startup alleges that Mr. Blake counselled him to leave his wife and children in Port Hardy and move to Nanaimo to live with his parents and then apply for social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Startup left the impression from his direct evidence that he had not agreed to settle his claim, but rather was "told" by Mr. Blake to go to Mr. Nowosad's office to sign the settlement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an ostensible effort to corroborate Mr. Startup's version of events, Mrs. Startup testified that she was first aware of settlement discussions in the week before the settlement, in contradiction of her husband's recollection that it was she who initiated the discussions in late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Mrs. Startup said that she was present when her husband was discussing settlement on the telephone with Mr. Blake. She said he was agitated and upset to the point of tears during the telephone conversation. After the telephone call she discussed matters with her husband, who told her that if he was adamant about going to trial, it would take a year, and the outcome would be between $30,000 - $40,000, with the possibility that it might be less. She also understood that the settlement amount did not have a component for pain and suffering because, in her words, "you couldn't get pain and suffering anymore in a motor vehicle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Mrs. Startup believed that her husband's claim was worth "way more than $150,000" based on discussions she had with friends and from newspaper clippings her mother had sent her. Indeed, Mrs. Startup says that she was so upset by the offer that she telephoned a lawyer in Port Hardy, explained her husband's circumstances and the complications of his case, and asked for a valuation of his claim. That unnamed lawyer declined to advise her but suggested that MacIsaac &amp; Company knew what they were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Mrs. Startup testified that she ultimately agreed with her husband that he should accept the offer, based as it was on the foundation that an award for pain and suffering was no longer available and there being no "upside" to waiting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cross-examination of both Mr. and Mrs. Startup, counsel for Mr. Blake put to them a list of benefits and risks (or "pros and cons" as they were referred to in examination). It is revealing that Mr. Startup agreed that he considered the list of pros and cons put to him; Mrs. Startup emphatically denied that they formed any part of the decision to settle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list which Mr. Startup agreed he considered was:</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claim settled, there would be a lump sum of money (about $38,000) that would provide immediate relief for his family's desperate financial circumstances;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 would permit them to move to Courtenay where there were health care facilities better suited to him and his wife;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could pursue his educational plans at Malaspina College in the hope that he would complete his computer diploma by the fall of 1997;</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he followed the physical endurance and mobility program recommended by Ms. Varallyai, he would be able to carry out the career plan he wished to pursue;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better career opportunities in Courtenay and he anticipated being self-employed within a year; indeed, this had always been his dream;</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not have to worry about going on social assistance;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be able to leave Port Hardy; and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knew that nothing was guaranteed, but the net settlement amount would provide him and his family with a chance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Most significantly, Mr. Startup agreed that he considered the "one big risk" of settling his claim at that time, namely that he might not recuperate as anticipated by him and his medical advisors.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Blake's recollection of the final discussions with his client confirms that Mr. Startup was concerned that the amount offered was the best that could be achieved at that time. Mr. Blake discussed the case with one or two partners in his firm. The consensus from that discussion, based on Mr. Blake's view of the state of the medical evidence and the status of the claim, was that a fair response to ICBC would be $50,000 of "new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Blake discussed that consensus with his client. He explained that they could proceed with the action and monitor his situation or they could settle then, recognizing that his condition had not resolved and settlement at that time was somewhat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Blake emphatically denied as untrue the allegation that he advised Mr. Startup that he could only recover the same or less than the amount offered if the action went to trial. He said he did not specify what more Mr. Startup might obtain if he did not accept ICBC's offer because he had been trained that to do so was speculative and might create unrealistic expectations. He also denied as untrue the evidence that he advised that compensation for pain and suffering was no longer paid by ICBC as well as the allegation that he had counselled Mr. Startup to separate from his wife, claim welfare and reunite later. It is significant that Mr. Blake was not cross-examined as to the latter two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Blake testified that he did not recommend that Mr. Startup accept the offer. He said the offer was tabled in accordance with Mr. Startup's repeated requests as to the value of his claim. Mr. Blake advised his client that, at that point in time, the offer was fair. Mr. Startup asked how quickly the funds could be delivered. Mr. Blake discussed timing with the adjuster who advised that the transfer of funds could be achieved "very soon." When that was conveyed to Mr. Startup he said, "fine, I'll take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Blake described the various discussions with Mr. Startup as detailed and lengthy. He said they discussed the possibility that Mr. Startup might not recover. He said that Mr. Startup was satisfied with his recovery at that point and with the therapies recommended by Ms. Varallyai and he was confident that things would work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written opening at the commencement of the trial, counsel for Mr. Startup asserted that "the determination of credibility is crucial to the issue of liability." Plaintiff's counsel evidently departed from that tack during the course of the trial. The reason for so doing was, in my view, entirely obvious. Neither Mr. Startup nor his wife were particularly credible witnesses. Mr. Startup was frequently hostile and argumentative during cross-examination. That behaviour was explained by his counsel as attributable to fatigue and pain. However, much of this behaviour was expressed early in the second day of trial. As to Mrs. Startup, I am constrained to say that her evidence was inherently improbable, as was Mr. Startup's testimony that Mr. Blake was prepared to go to trial with no prospect of winning a higher award of damages. There was no rational reason for Mr. Blake to suggest such a course of action because his firm was retained on a contingency fee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Counsel for Mr. Startup contend that his version of events should be accepted by reason of the failure of Mr. Blake to document his various discussions with his client. No authority was cited for this proposition. The cases which were cited specifically deal with circumstances in which the scope of a solicitor's retainer has not been reduced to writing (for example, Bergman v. Williams </w:t>
      </w:r>
      <w:hyperlink r:id="rId488" w:history="1">
        <w:r>
          <w:rPr>
            <w:rFonts w:ascii="arial" w:eastAsia="arial" w:hAnsi="arial" w:cs="arial"/>
            <w:i/>
            <w:color w:val="0077CC"/>
            <w:sz w:val="20"/>
            <w:u w:val="single"/>
            <w:shd w:val="clear" w:color="auto" w:fill="FFFFFF"/>
            <w:lang w:val="en-US" w:eastAsia="en-US" w:bidi="ar-SA"/>
          </w:rPr>
          <w:t>(1980), 22 B.C.L.R. 317</w:t>
        </w:r>
      </w:hyperlink>
      <w:r>
        <w:rPr>
          <w:rFonts w:ascii="arial" w:eastAsia="arial" w:hAnsi="arial" w:cs="arial"/>
          <w:color w:val="000000"/>
          <w:sz w:val="20"/>
          <w:lang w:val="en-US" w:eastAsia="en-US" w:bidi="ar-SA"/>
        </w:rPr>
        <w:t xml:space="preserve"> (S.C.)). However, even in such circumstances, the rule does not apply where there has been a determination of credibility. Here, I accept the evidence of Mr. Blake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There is no dispute that Mr. Blake owed a duty of care to Mr. Startup. That duty was defined in Tiffin Holdings v. Millican </w:t>
      </w:r>
      <w:hyperlink r:id="rId489" w:history="1">
        <w:r>
          <w:rPr>
            <w:rFonts w:ascii="arial" w:eastAsia="arial" w:hAnsi="arial" w:cs="arial"/>
            <w:i/>
            <w:color w:val="0077CC"/>
            <w:sz w:val="20"/>
            <w:u w:val="single"/>
            <w:shd w:val="clear" w:color="auto" w:fill="FFFFFF"/>
            <w:lang w:val="en-US" w:eastAsia="en-US" w:bidi="ar-SA"/>
          </w:rPr>
          <w:t>(1964), 49 D.L.R. (2d) 216</w:t>
        </w:r>
      </w:hyperlink>
      <w:r>
        <w:rPr>
          <w:rFonts w:ascii="arial" w:eastAsia="arial" w:hAnsi="arial" w:cs="arial"/>
          <w:color w:val="000000"/>
          <w:sz w:val="20"/>
          <w:lang w:val="en-US" w:eastAsia="en-US" w:bidi="ar-SA"/>
        </w:rPr>
        <w:t xml:space="preserve"> at 219 (Alta S.C.)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skilful and careful.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his client on all matters relevant to his retainer, so far as may be reasonably necessary.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the interests of his client.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out his instructions by all proper means.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consult with his client on all questions of doubt which do not fall within the express or implied discretion left to him.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keep his client informed to such an extent as may be reasonably necessary according to the same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standard to which Mr. Blake will be held is that expected of a reasonably competent and diligent solicitor in Victoria in 1996: see Stronghold Investments Ltd. v. Renkema, </w:t>
      </w:r>
      <w:hyperlink r:id="rId490" w:history="1">
        <w:r>
          <w:rPr>
            <w:rFonts w:ascii="arial" w:eastAsia="arial" w:hAnsi="arial" w:cs="arial"/>
            <w:i/>
            <w:color w:val="0077CC"/>
            <w:sz w:val="20"/>
            <w:u w:val="single"/>
            <w:shd w:val="clear" w:color="auto" w:fill="FFFFFF"/>
            <w:lang w:val="en-US" w:eastAsia="en-US" w:bidi="ar-SA"/>
          </w:rPr>
          <w:t>[1984] 3 W.W.R. 51</w:t>
        </w:r>
      </w:hyperlink>
      <w:r>
        <w:rPr>
          <w:rFonts w:ascii="arial" w:eastAsia="arial" w:hAnsi="arial" w:cs="arial"/>
          <w:color w:val="000000"/>
          <w:sz w:val="20"/>
          <w:lang w:val="en-US" w:eastAsia="en-US" w:bidi="ar-SA"/>
        </w:rPr>
        <w:t xml:space="preserve"> at 58 (B.C.S.C.) where the court referred to a passage from Millican, supra, at 218: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and skill which can be demanded from a lawyer is that of a reasonably competent and diligent solicitor. It is not enough to prove that the lawyer has made an error of judgment or shown ignorance of some particular part of the law; it must be shown that the error or ignorance was such that an ordinarily competent lawyer would not have made or shown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extremely difficult to define the exact limits by which the skill and diligence which a lawyer undertakes to furnish in the conduct of a case is bounded, or to trace precisely the dividing line between the reasonable skill and diligence which appears to satisfy his undertaking. It is a question of degree, and there is a borderland within which it is difficult to say whether a breach of duty has or has not been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It is clear that special considerations apply in circumstances in which it is alleged that a solicitor was negligent in the settlement of an action. In Karpenko v. Paroian, Courey, Cohen &amp; Houston </w:t>
      </w:r>
      <w:hyperlink r:id="rId491" w:history="1">
        <w:r>
          <w:rPr>
            <w:rFonts w:ascii="arial" w:eastAsia="arial" w:hAnsi="arial" w:cs="arial"/>
            <w:i/>
            <w:color w:val="0077CC"/>
            <w:sz w:val="20"/>
            <w:u w:val="single"/>
            <w:shd w:val="clear" w:color="auto" w:fill="FFFFFF"/>
            <w:lang w:val="en-US" w:eastAsia="en-US" w:bidi="ar-SA"/>
          </w:rPr>
          <w:t>(1980), 117 D.L.R. (3d) 383</w:t>
        </w:r>
      </w:hyperlink>
      <w:r>
        <w:rPr>
          <w:rFonts w:ascii="arial" w:eastAsia="arial" w:hAnsi="arial" w:cs="arial"/>
          <w:color w:val="000000"/>
          <w:sz w:val="20"/>
          <w:lang w:val="en-US" w:eastAsia="en-US" w:bidi="ar-SA"/>
        </w:rPr>
        <w:t xml:space="preserve"> at 397-398 (Ont. H.C.J.)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consider it to be clear on the authorities that a solicitor, whether acting in matters which, in the foregoing sense, can be said to pertain to the conduct of the case or not, is not responsible for errors of judgment. I also take it that where a decision is made by counsel in the conduct of a case he will, even in Ontario, be liable to suit only in a clear case of error. I hesitate to import the phrase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has led at best a somewhat chequered existence in other aspects of the law. But I am prepared to say, for reasons which I will make more explicit in a moment, that in my view it would only be in a clear and exceptional case that the decision of counsel to recommend settlement could be successfully assailed. Were I considerably less convinced of my conclusions pertaining to the defendant's standard of performance in this case than I am, and even without the conclusions I have expressed on the question of damages, I would be disposed to dismiss this action as it relates to the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an important element of public policy is involved. It is in the interests of public policy to discourage suits and encourage settlements. The vast majority of suits are settled. It is the almost universal practice among responsible members of the legal profession to pursue settlement until some circumstance or combination of circumstances leads them to conclude that a particular dispute can only be resolved by a trial. I say nothing of the suits which are settled by reason of sloth, or inexperience, or lack of stomach for the fight. They have nothing to do with this case. What is relevant and material to the public interest is that an industrious and competent practitioner should not be unduly inhibited in making a decision to settle a case by the apprehension that some Judge, viewing the matter subsequently, with all the acuity of vision given by hindsight, and from the calm security of the Bench, may tell him he should have done otherwise. To the decision to settle a lawyer brings all his talents and experience both recollected and existing somewhere below the level of the conscious mind, all his knowledge of the law and its processes. Not least he brings to it his hard-earned knowledge that the trial of a lawsuit is costly, time-consuming and taxing for everyone involved and attended by a host of contingencies, foreseen and unforeseen. Upon all of this he must decide whether he should take what is available by way of settlement, or press on. I can think of few areas where the difficult question of what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gives rise to liability, and what constitutes at worst an error in judgment, which does not, is harder to answer. In my view it would be only in the case of some egregious error, to use the phrase adopted by my brother Krever in Demarco,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Startup submits that Mr. Blake fell below the requisite standard of care in failing to:</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appreciate his medical status;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investigate his vocational status;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secure Part 7 wage loss benefits;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with respect to settlement and to ensure he had obtained his client's informed consent to settle.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Startup's Medical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Startup alleges that Mr. Blake was ignorant of the true status of his medical condition at the time the settlement was made at the end of October, 1996. In support of this contention Mr. Startup points to the fact that Mr. Blake did not obtain:</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post-accident records of Dr. Abbey;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Startup's drug and alcohol counselling records;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records;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clinical records of Dr. Hashimoto, Dr. Kamper and Ms. Varallyai;</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Startup's physiotherapy records (except those for the period November 1 to November 8, 1995);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Startup's diary entries after mid-August,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addition, Mr. Startup says that Mr. Blake was negligent in failing to arrange an independent medical examination to investigate the reasons for Mr. Startup's failure to recover. As well, Mr. Startup says that Mr. Blake should have forwarded Dr. Abbey's clinical records and the Port Hardy physiotherapy records to Dr. Hashimoto, Dr. Kamper, and Ms. Varallyai. Lastly, Mr. Startup says that Mr. Blake failed to obtain collateral evidence from Mrs. Startup, counsellors and others involved with 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Blake's response to this alleged failure was that the information contained in the documents which the plaintiff says should have been obtained may have been relevant, but that he did not feel the need to obtain them at the time. In some instances (for example, the counselling records) he considered that references contained therein to Mr. Startup's pre-accident history of addiction to drugs and alcohol could potentially harm his chances of obtaining a settlement. In Mr. Blake's view, there was danger in obtaining some of this information because, upon discovery, it would lead ICBC counsel on a train of inquiry and Mr. Startup would be, in Mr. Blake's words, "left with the good and the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Startup's counsel cross-examined Mr. Blake in minute detail as to his understanding of Mr. Startup's condition at the time of settlement. He pointed to the documentary evidence then available that Mr. Startup was limited to lifting 20 pounds; could only drive approximately 45 minutes at a time; could only stand for 30 to 45 minutes and sit for 20 to 30 minutes at a time; that Dr. Abbey viewed his prognosis as guarded; that Mr. Startup had grave concerns for his future and experienced depression, frustration and bouts of anger. All this, says Mr. Startup, was known to Mr. Blake and should have lead him to the conclusion that it was impossible to advise Mr. Startup to settle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This must however be measured against what Mr. Startup was feeling at the time, as represented by his consideration of the benefit/risk analysis which he agreed he had made. Furthermore, it must be measured against his own sense of optimism after the Varallyai assessment. That optimism was evidently conveyed to Mr. Blake.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More importantly, however, Mr. Blake was aware of the uncertainties in his client's condition and future. I accept that he told Mr. Startup that settlement at that stage was speculative and that they discussed the risk that he might not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therefore conclude that Mr. Blake had an adequate understanding of Mr. Startup's medical status which he discussed with his client at the time of settlement. I further conclude that Mr. Startup was aware of the risk that his medical condition might not improve and that he accepted that risk.</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Startup's Vocational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Startup further contends that Mr. Blake failed in his duty to obtain sufficient knowledge of the relevant facts concerning Mr. Startup's vocational status. In this regard, counsel for Mr. Startup placed particular emphasis upon Mr. Blake's alleged failure to obtain a vocational assessment, noting that Ms. Varallyai was a physiotherapist, and not qualified to perform a vocational assessment. In support of this contention, counsel provided the expert opinion of a local lawyer who cited the following passage from The Law Society of British Columbia Professional Conduct Handbook, (Vancouver: Law Society of British Columbia, 2000) at chapter 1.3(1):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lawyer should obtain sufficient knowledge of the relevant facts and give adequate consideration to the applicable law before advising a client, and give an open and undisguised opinion of the merits and probable results of the client's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lawyer opined that "...a vocational report is invaluable to explore the issue of lost earning capacity.... The vocational report would likely identify some sedentary employment the plaintiff could do." However, even the expert agreed under cross-examination that the procuring and tendering of a vocational assessment is an exercise of judgment. Indeed, it would seem to be the kind of decision that falls within the many such decisions that counsel are expected to make in the course of settling a case or preparing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any event, Dr. Abbey, who initially recommended that Mr. Startup see a "vocational rehabilitation specialist" (whatever that might be), was aware of Ms. Varallyai's qualifications because he received her report. Furthermore, he agreed with her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view, Mr. Blake's decision to support Mr. Startup's attendance at Ms. Varallyai's assessment was well within the standard of care expected of Mr. Blake. He was not negligent in failing to obtain a vocational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My decision in this regard is supported by the fact that counsel for Mr. Startup have not filed a vocational report in this action, notwithstanding the occupational therapist's suggestion to that effect. This must mean, as Mr. Blake's counsel argues, that counsel has a discretion not to obtain such a report, or that, if he does, and no report is served, that the report does not assist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Lastly, it must be remembered that Mr. Startup himself regarded the computer technician course as the best alternative to his pre-accident employment. At the time of settlement, he was confident that it could be achieved.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Blake knew as early as November 8, 1995 that Mr. Startup was entitled to the maximum $300 per week in Part 7 disability benefits provided he was in fact disabled from returning to his pre-accident employment and had exhausted his employment insurance benefits, which were exhausted by March 1996. Mr. Startup contends that, from that point, Mr. Blake should have insisted that ICBC pay Part 7 benefits and, if ICBC refused, then Mr. Blake should have commenced an action to recover Part 7 benefits. In failing to do that, Mr. Startup argues that ICBC was able to "starve him" into settling his claim. Mr. Startup points to the August 6, 1996 memorandum to Mr. Blake from his assistant in which it is reported that Ms. Jancowski, as a negotiating lever, was not prepared to advance further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plaintiff's blackmail theory is premised on the assumption that Mr. Blake would have been able to obtain Part 7 benefits on a summary trial application based in part on the August 6 memorandum and Dr. Abbey's evidence that Mr. Startup was unable to return to his pre-accident employment. Mrs. Startup testified that if the family had $300 per week they could have forestalled the need to settle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the plaintiff's argument in this regard is wholly speculative. Any summary trial application for Part 7 benefits would have been opposed on the basis of the evidence of Dr. Kamper and any other evidence that ICBC had uncovered concerning Mr. Startup's past history of drug and alcohol abuse which, at the least, might have raised serious issues of credibility making a Rule 18A application problematic. There was no guarantee of a favourable outcome for Mr. Startup in that there is a strong likelihood that, based on the evidence then available, it would be inappropriate to decide on a Rule 18A whether Mr. Startup was disabled from his pre-accident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More importantly, the expert in the plaintiff's case testified that he did not bring actions to enforce Part 7 benefits because to do so generally destroys counsel's co-operation with the insurance adjuster. It is abundantly clear that Mr. Blake's efforts on behalf of Mr. Startup included an unceasing effort to obtain regular advances for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reality in October 1996 was that ICBC wanted the case settled and made it clear that no further funds would be paid. That reality meant that if the case was not settled, Mr. Blake would get no further funds from ICBC unless compelled to do so by the court. At the earliest, a Part 7 action could only have been commenced after the August 6 memorandum. In all likelihood, the Rule 18A trial would not have been set for hearing before mid-September (and then with no guarantee of success or immediate judgment). In the meantime, the Startup family would be deprived of any advances and with no other means of obtaining funds (contrary to Mrs. Startup's evidence of available funds from family and friends, which I reject).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view, to find Mr. Blake negligent in failing to obtain Part 7 benefits for Mr. Startup would, in the circumstances of this case, require, in the words of Karpenko, supra, "all the acuity of vision given by hindsight" condemned by that decision. Mr. Blake made diligent and concerted efforts to obtain advances (either under Part 7 or the tort claim) throughout his retainer. For the plaintiff to now look back four years and portray Mr. Blake as the unwitting dupe of a blackmailing insurer is both unfair and inaccurate.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plaintiff's argument in respect of informed consent is that Mr. Blake failed to properly advise Mr. Startup as to the details of the offer or the implications of settlement. Indeed, the plaintiff goes so far as to say that Mr. Blake gave his client no advice, without which his unsophisticated client was unable to evaluate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reject this argument. First, it is plain that Mr. Blake discussed the offer in detail with his client on at least three occasions. They had earlier discussed Mr. Blake's "guesstimate" of the value of the claim at Mr. Startup's behest. That "guesstimate" was based on the factors then known to Mr. Blake and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says that the "guesstimate" evidence is at odds with Mr. Blake's testimony that he did not give Mr. Startup an estimate of his claim's worth if he did not settle in October 1996. However, it is clear that the situations are entirely different. The "guesstimate" was made in the context of events then known. The future worth of the claim would be completely speculative because Mr. Blake could not predict the future and what Mr. Startup's condition would be when the claim came to trial two years thence.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Further, counsel for the plaintiff referred to Mr. Startup as "unsophisticated" and having "diminished capacity" in his ability to make choices concerning settlement. My observation of Mr. Startup was that he is articulate, intelligent and far from unsophisticated. Although he presented as being in significant pain at trial, that did not detract from his ability to answer questions in a rational, thoughtful and at times, argumentative (in a positive sense) manner. He parried questions with evident ease. I am unable to characterize him as unsophisticated or diminished in mental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Contrary to the plaintiff's contention, Mr. Blake did advise his client. He told him that from his "read of the file" and in consultation with partners in his firm, the offer was reasonable. He told Mr. Startup that he had valid reasons to settle (which Mr. Startup confirmed in his evidence). He did not force settlement. He told Mr. Startup that if he did not want to settle, he would carry on with litigation (as evidenced by the writ which was filed about October 30, 1996 and which was known to Mr. Startup).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conclude that, on all of the evidence, Mr. Startup understood the circumstances of his condition and the offer that was made. He made a conscious assessment of the risks and benefits of accepting that offer. He was aided, counselled, and guided throughout that process by his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Indeed, it may be, as Mr. Blake's counsel suggests, that the end of October 1996 was the best time to settle the claim because the "skeletons in the closet" raised by Ms. Jancowski in December 1995 had not been fully exposed. Had they been, they would have had a significant negative impact on Mr. Startup's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conclude that Mr. Startup has failed to prove a breach of the standard of care owed to him by Mr. Blake. In all of the circumstances, I find that Mr. Blake conformed to the standard of a reasonably competent and diligent solicitor in Victoria in 1996. I therefore dismiss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If I am wrong in my finding as to liability, I think it appropriate to set out my findings in respect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Startup advances a claim for past and future income loss, non-pecuniary damages and cost of future care. He says the loss amounts to between $649,666 to $790,078.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assessing damages, I am assessing the probabilities of a hypothetical future event, namely what a court would have awarded Mr. Startup if he had not settled his claim but had proceeded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writ of summons was filed, but not served, on October 30, 1996. The trial would likely have occurred by mid-1998. It is also likely that the insurer would have instructed its counsel to file a notice of trial by jury. As stated by Southin J. (as she then was) in Girardet v. Crease &amp; Co. </w:t>
      </w:r>
      <w:hyperlink r:id="rId271" w:history="1">
        <w:r>
          <w:rPr>
            <w:rFonts w:ascii="arial" w:eastAsia="arial" w:hAnsi="arial" w:cs="arial"/>
            <w:i/>
            <w:color w:val="0077CC"/>
            <w:sz w:val="20"/>
            <w:u w:val="single"/>
            <w:shd w:val="clear" w:color="auto" w:fill="FFFFFF"/>
            <w:lang w:val="en-US" w:eastAsia="en-US" w:bidi="ar-SA"/>
          </w:rPr>
          <w:t>(1987), 11 B.C.L.R. (2d) 361</w:t>
        </w:r>
      </w:hyperlink>
      <w:r>
        <w:rPr>
          <w:rFonts w:ascii="arial" w:eastAsia="arial" w:hAnsi="arial" w:cs="arial"/>
          <w:color w:val="000000"/>
          <w:sz w:val="20"/>
          <w:lang w:val="en-US" w:eastAsia="en-US" w:bidi="ar-SA"/>
        </w:rPr>
        <w:t xml:space="preserve"> at 371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one side or the other had chosen a trial by jury, then the plaintiff would have been faced with a factor which is hard to calculate but is nonetheless observable: some contemporary juries are reluctant to make large awards of damages for what was a very minor injury suffered in a very minor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Ten years after those words were written I would now add that juries are also reluctant to make large awards even in circumstances of moderately severe injuries and moderately severe accidents. I would also add that, in the circumstances of this case, Mr. Startup's history of drug and alcohol abuse and his current consumption of marihuana might not find particular favour with a Victoria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Assuming that the notional trial was held in June 1998, and that Mr. Startup had not returned to work of any kind and had not completed the program suggested by Ms. Varallyai, I would expect that a jury would award some past income loss, but not all of the loss claimed. This would be by reason of Mr. Startup's failure to attend the course of any treatment recommended by Ms. Varallyai and approved by Dr. Abbey. I would estimate that the jury's award for past income loss would be no more than $25,000 (two years of wage loss of $43,200 less advances to September of 1996 of $18,136).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Assuming that a jury would arrive at the same conclusion on the credibility of Mr. and Mrs. Startup as I have, I would expect that any award of future income loss would be limited to a loss of opportunity, namely the loss of the capital asset represented by his employment as a labourer capable of moving heavy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is difficult to assess the loss of opportunity. I would expect that a generous award from a jury in the circumstances of Mr. Startup would be no more than $25,000. I say this because I am not persuaded that Mr. Startup's complaints of ongoing pain and disability are genuine. I say this with some reluctance because Mr. Startup and his wife have experienced many unfortunate difficulties. The convergence of those difficulties, the most notable of which is Mrs. Startup's ill-health, have unquestionably caused Mr. Startup anxiety and depression. However, I am not persuaded that the source of his current complaints (and those which would have been extant in June 1998) are attributable to the motor vehicle accident of October 14,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Nor am I persuaded that the decision to award Mr. Startup a disability pension retroactive to February 1997 supports Mr. Startup's motor vehicle accident claim. It is admitted that Mr. Startup's medical condition and the reports relied upon by him in the disability application process were not subjected to cross-examination. Accordingly, I would accord no weight to the existence of the disability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Startup advanced a claim for non-pecuniary damages in the range of $60,000 to $125,000. The cases on which he relies to support such a range involve vastly more serious injuries than those suffered by Mr. Startup. I would expect that a jury would assess Mr. Startup's non-pecuniary damages to be no more than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Startup advanced a claim for future care costs and loss of housekeeping abilities totalling between $20,000 to $40,000. I found Mr. Startup's claim in this regard most unconvincing. He claimed that his wife is, in his words, "bed bound," and that he and his son are consequently responsible for all housework. Apart from the fact that his wife attended most of the trial and appeared perfectly well, Mr. Startup gave no plausible explanation as to why he is limited in his ability to wash dishes, vacuum, or mow the lawn. He simply said he could not do those chores. I expect that a jury (as would I) would reject entirely this component of Mr. Startup's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my view, had Mr. Startup's claim proceeded to trial before a jury (as it most assuredly would) in June, 1998, the damage awarded could have been $98,200.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Accordingly, the damages in this case, if Mr. Startup had succeeded on liability, would have been $30,064 ($98,200 less the settlement amount of $68,136).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Mr. Blake seeks an order of special costs against Mr. Startup on the basis that the allegations of dishonesty and impropriety levelled at Mr. Blake constitute "reprehensible conduct" as that term was used in Garcia v. Crestbrook Forest Industries Ltd. </w:t>
      </w:r>
      <w:hyperlink r:id="rId492"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chief complaint against Mr. Startup concerns his allegation that Mr. Blake counselled him to, in effect, commit welfare fraud. It is abundantly clear to me that Mr. Blake did no such thing. At most, Mr. Blake advised his client that he might have to survive on welfare if litigation continued to trial and ICBC did not make further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At his examination for discovery, Mr. Startup referred to his lawyer's suggestion as amounting to fraud. He withdrew that assertion at trial, stating that he thought the alleged advice was, in his words, "morally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would not characterize Mr. Startup's statements as scandalous or outrageous. The question is whether they are reprehensible in the sense that they are deserving of reproof or rebuke. Mr. Startup was given the opportunity at trial to retract his statements. He declined to do so and merely re-characterized the allegation as being "morally wrong" as opposed to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important to note that Mr. Blake sits as a member of the B.C. Benefits Appeal Board which examines, among other things, fraudulent welfare claims. To suggest that Mr. Blake, in the course of counselling a client, would counsel "morally wrong" conduct is, in my view, conduct deserving of rebuke. A lawyer relies on his reputation for integrity. When that reputation is falsely assailed, the court's reproof should be felt.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Accordingly, I award Mr. Blake his special costs. The defendant MacIsaac and Company is entitled to ordinary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2"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Strata Plan LMS 463 v. Keung, [2000] B.C.J. No. 2307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Patterson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C970565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2307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1671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463, plaintiff, and William Keung, Thomas C. Leung, Fairchild Construction Ltd., Norman K.S. Ng, Patrick S.H. Wong, Bogdonov Pao Associates Ltd., John Pao, Westin Contstruction Ltd., Alexander W. Leung, Magdalen R. Leung, Terra Engineering Ltd., Allan Robert Russell, Stanley Adrian Russell, Lafarge Canada Inc., SRK-Robinson Inc., Louis Lui, Stratford Hill Corp., Joel A. Coffman and Paul Poy Hung Leong,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3"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3" w:name="Keywords_34"/>
      <w:bookmarkEnd w:id="233"/>
      <w:r>
        <w:rPr>
          <w:rFonts w:ascii="arial" w:eastAsia="arial" w:hAnsi="arial" w:cs="arial"/>
          <w:b/>
          <w:color w:val="000000"/>
          <w:sz w:val="20"/>
          <w:lang w:val="en-US" w:eastAsia="en-US" w:bidi="ar-SA"/>
        </w:rPr>
        <w:t>Practice — Pleadings — Striking out pleadings — Grounds, failure to disclose a cause of action or defence — Amendment of pleadings — Procedure for.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4" w:name="Case Summary_33"/>
            <w:bookmarkEnd w:id="2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Keung, Ng, Wong, and Fairchild Construction, to have the claim by Strata Plan LMS 463 struck as against them. The Strata Plan brought an action in December 1998 for damages resulting from the alleged faulty construction of a building and roof parkade in a commercial development. The statement of claim was amended. On November 3, 1999, Master Tokarek ordered that the Strata Plan had until noon on November 5 to further amend the statement of claim to particularize all claims against the defendants and to provide a copy of its further amended statement of claim to the defendants' solicitors. On November 5, the lawyers for the Strata Plan sent a document to the defendants' solicitors purporting to be a further amended statement of claim. It had not been filed with the Court. When the matter came before the Court on November 8, the lawyers for the Strata Plan gave a draft of another further amended statement of claim to the defendants' lawyers. That claim had not been filed either. The claim was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and breach of warranty. There was no allegation that the personal defendants were contractually bound to the Strata Plan or that any warranty was given by them. There was a pleading of breach of warranty by Fairchild Construction.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5" w:name="Holdings of Court_30"/>
            <w:bookmarkEnd w:id="235"/>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order of Master Tokarek did not contemplate a draft document. It intended that a final pleading be given to the defendants' lawyers. Therefore, the further amended statement of claim did not comply with the order and was not considered. The amended statement of claim did not disclose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personal defendants. If they did act with mala fides, it was in carrying out the work of Fairchild Construction and not in their personal capacities. There was no claim for breach of contract or warranty against the personal defendants. Accordingly, the claim against the individual defendants was struck and the pleadings were so amended. The claim against Fairchild Construction stood, as breach of warranty was pleaded.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6" w:name="Legislation Cited_24"/>
      <w:bookmarkEnd w:id="2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4"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19(7),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7" w:name="Counsel_35"/>
      <w:bookmarkEnd w:id="2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5"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 Burchart, for the plaintiff. R.L. Basham, Q.C., for the defendants, William Keung, Thomas C. Leung and Fairchild Construction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8" w:name="Judgment_35"/>
      <w:bookmarkEnd w:id="238"/>
      <w:r>
        <w:pict>
          <v:line id="_x0000_s1196" style="position:absolute;z-index:2518476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9" w:name="MASTER PATTERSON"/>
            <w:bookmarkEnd w:id="239"/>
            <w:r>
              <w:rPr>
                <w:rFonts w:ascii="arial" w:eastAsia="arial" w:hAnsi="arial" w:cs="arial"/>
                <w:b/>
                <w:color w:val="000000"/>
                <w:sz w:val="30"/>
                <w:lang w:val="en-US" w:eastAsia="en-US" w:bidi="ar-SA"/>
              </w:rPr>
              <w:t>MASTER PATTERSON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by the defendants William Keung, Norman Ng, Patrick Wong and Fairchild Construction Ltd. for an order pursuant to Rules 19(7) and 19(24) to have the plaintiff's claims against these defendants struck out and their names removed from the style of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out of the alleged faulty construction of a building and roof parkade in a commercial development in Richmond, British Columbia. It is alleged that the parkade was improperly constructed and that remedial work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application, or one very similar to it, has been before the courts on two previous occasions. A chronology of events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30, 1998</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Statement of claim is filed.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31, 1999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Master Barber orders the allegation against the personal defendants struck and their names deleted from the style of proceeding if no amendment was filed and delivered within 30 days.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30, 1999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amended statement of claim was filed.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3, 1999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Master Tokarek orders that the plaintiff would have until noon Friday, November 5, 1999 to amend the statement of claim "to particularize all claims against the defendants" and to provide a copy of its amended statement of claim to the defendants' solicitors.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5, 1999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solicitors forward by courier a document purporting to be a further amended statement of claim.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8, 1999</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 attends in chambers on the adjourned motion and the plaintiff provides a draft of a further amended statement of claim. The application was adjourned.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for these defendants argues that there has not been compliance with the order of Master Tokarek and no further amended statement of claim has been filed or delivered as required. Counsel for the plaintiff argues that indeed the order has been complied with and a further amended statement of claim was provided to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appears that a further amended statement of claim was prepared by the plaintiff's solicitors and forwarded by fax and courier to the defendants' solicitors on or about December 5, 1999. By correspondence dated the same day, the defendants' solicitor submits that it is still deficient and re-sets the matter before Master Tokarek for Monday, November 8, 1999 as provided in his order. When defence counsel attended chambers that day, she was presented with a draft of a further amended statement of claim. This draft contained at least two changes from the document forwarded on November 5, 1999. Both of the changes relate to the defendants who are the applicants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Efforts were made to have the matter re-heard by Master Tokarek but those efforts were unsuccessful and the application was fully re-argued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order to determine whether the statement of claim should be struck as it pertains to these defendants, it is first necessary to determine if the plaintiff has complied with the order of Master Tokarek. If not, the only statement of claim to be considered is the amended statement of claim filed pursuant to the order of Master Barber.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clerk's notes prepared at the time of the hearing before Master Tokarek state that the terms of the order were to be that the amended statement of claim "be del'd to def. by noon, Friday, Nov. 5/99 which should, at minimum, particular. all claims against personal defs". The formal order approved by counsel and entered November 16, 1999 provides that "the Plaintiff has until noon on Friday, November 5, 1999, to amend its Amended Statement of Claim dated April 30, 1999 to particularize all claims against the Defendants and to provide a copy of its Amended Statement of Claim to the Defendants'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no provision in the entered order for the delivery of a draft further amended statement of claim to defendants' counsel in chambers on the morning of November 8, 1999 and, in my view, that draft can be ignored except for the purpose of considering whether it would be possible by amendment to rescue the plaintiff's claim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Notwithstanding the fact that the entered order of Master Tokarek does not exactly track the wording in the clerk's notes using "provide" instead of "deliver", it is my view that the delivery of a draft further amended statement of claim subject to yet further amendments was not what was intended. What was intended was that the plaintiff would have a last chance to deliver their final pleading to these defendants so that these defendants could determine whether it was necessary to continue the chambers application on November 8, 1999. That was not done, clearly the plaintiff felt further amendment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an argument between the parties as to whether the order of Master Tokarek gave leave to the plaintiff to file a further amended statement of claim; however, in my view, that is irrelevant. In my view, the word "provide" is virtually synonymous with "deliver". Implicit in delivery of documents pursuant to the Supreme Court Rules is that they should first be filed if that is the Rule requirement. Not everything required to be delivered must also be filed, however, pleadings are required to be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test governing applications under Rule 19(24) to strike out pleadings is set out in Hunt v. Carey Canada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 xml:space="preserve"> (S.C.C.). That test is, assuming the facts in the statement of claim are true, if it is still plain and obvious that the statement of claim as it stands or as it may be amended discloses no reasonable cause of action it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KEUNG, NG AND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only allegation against the personal defendants in the amended statement of claim filed and delivered pursuant to the order of Master Barber apart from the identification paragraphs which describe them as being past and present directors of FCL are as follows: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FCL and its agents, the Related Companies, owed the Plaintiff a duty of care in relation to their representations as to the quality, ownership and control of the construction and design of the Building and Parkade. In purchasing the Property, the Plaintiff relied on the representations of FCL and its agents, each of which was untrue, inaccurate and misleading.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Keung, Ng and Wong, became aware of defects in the Parkade in 1992 before the sale of the Building was completed, and failed to provide any warning to the Plaintiff or to correct the defects at that time. In or about September 1992, they received a report from the concrete consultant about defects in and remedial action recommended for the concrete roof top Parkade. They did not take or cause to be taken such remedial action but deliberately, by themselves or in collusion with the developer, withheld or concealed the knowledge of the defects from the Plaintiff, so as to induce the Plaintiff to purchase the Building.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Keung, Ng and Wong, directors of FCL, acted in their personal capacities, outside their scope of authority, and with male fides, in carrying out the work of FCL to the detriment of the Plaintiff.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reason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misrepresentations of the Defendants, the Plaintiff has suffered damages.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defendants are vicariously liable for any acts or omissions of employees or officers, directors, or agents who were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THE CLAIMS: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 damages for breach of contract, breach of express and/or implied warranties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pursuant to the Court Order Interest Act;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may deem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only claim in the prayer for relief is for damages for breach of contract, breach of warranties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is no claim for damages for fraud. There is no pleading that the personal defendants were contractually bound to the plaintiff directly or indirectly, nor is there any suggestion of any warranty made by the personal defendants. It is a stretch to glean from the pleadings any negligent acts performed by these defendants. There is an unsubstantiated and non-particularized allegation in paragraph 49 that these defendants acted "with mala fides, in carrying out the work of FCL to the detriment of the Plaintiff", but that latter would appear to be, if true, not in their personal capacity but "carrying out" the work of the defendant company. In any event, the plaintiff pleaded that they "relied on the representations of FCL and its agents" and nobody else. It follows that there is no claim against the personal defendants and it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event that I am incorrect in finding that there was a requirement to file the further amended statement of claim provided pursuant to the order of Master Tokarek, I will deal with the allegations against the personal defendants in that document as well. The only allegations apart from the descriptions: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Keung, Ng and Wong were, at all material times Directors and/or Officers of the Defendant FCL. In or about September, 1992 these Defendants became aware of the report from the concrete consultant relating to defects in, and remedial action recommended for, the concrete in the Parkade.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FCL was related to Fairchild Properties Ltd. and Fairchild Holdings Ltd. One, or both, of Fairchild Properties Ltd. and Fairchild Holdings Ltd. developed Parker Place, including the Parkade.</w:t>
      </w:r>
    </w:p>
    <w:p>
      <w:pPr>
        <w:numPr>
          <w:numId w:val="1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Had Keung, Ng and Wong disclosed the contents of the report of the concrete consultant, it may have been detrimental to FCL's related companies in that:</w:t>
      </w:r>
    </w:p>
    <w:p>
      <w:pPr>
        <w:numPr>
          <w:numId w:val="1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remedial costs to rectify the Parkade would have to be undertaken prior to sale;</w:t>
      </w:r>
    </w:p>
    <w:p>
      <w:pPr>
        <w:numPr>
          <w:numId w:val="1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units in Parker Place would not be marketable at all and/or;</w:t>
      </w:r>
    </w:p>
    <w:p>
      <w:pPr>
        <w:numPr>
          <w:numId w:val="1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the units would be less than they would be in the absence of the defects.</w:t>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Keung, Ng and Wong unilaterally withheld or concealed knowledge of the defects outlined in the concrete report from the Plaintiff, so as to induce the Plaintiff to purchase Parker Place, including the Parkade.</w:t>
      </w:r>
    </w:p>
    <w:p>
      <w:pPr>
        <w:numPr>
          <w:numId w:val="1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Keung, Ng and Wong fraudulently or negligently misled the Plaintiff as to the status of the concrete in Parker Place, including the Parkade. In doing so, they acted in their personal capacity, outside their scope of authority as Directors of FCL, and with mala fides and in bad faith.</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knew that the Plaintiff was relying on the professional skill, expertise, judgment and representations of the Defendants, and each of them, and the Plaintiff did rely on the professional skill, expertise, judgment and representations of the Defendants.</w:t>
      </w:r>
    </w:p>
    <w:p>
      <w:pPr>
        <w:numPr>
          <w:numId w:val="1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fraudulent misrepresentation, failure to warn, negligent misrepresentations and breaches of express or implied contract or warranty referred to above, the Plaintiff has suffered damage, including the following:</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engineering costs related to repair or replacement of all or part of the Parkade;</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 and replacement of all or part of the Parkade;</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business of each unit holder due to lack of parking or business interruption during repair and reconstruction, said loss to be calculated on the basis of unit entitlement;</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diminution of the property value and increased maintenance costs;</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losses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prayer for relief only claims general and special damages. There is no allegation that these defendants were shareholders, directors or officers of any of the related companies, nor is there any allegation they would have derived a benefit, financial or otherwise, by their actions. There is no pleading that the personal defendants took any part in the negotiations leading to the purchase by the plaintiff of any of the lands and premises. There are no particulars of the alleged fraudulent misrepresentation. There is no pleading that the personal defendants had any obligation to disclose the concrete report to anyone other than FCL.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a pleading in paragraph 28 of this document that FCL failed to warn the plaintiff before sales to various owners were completed. There is no pleading dealing with any warnings that may have been given to individual purchasers. Similarly there is no pleading concerning concealment by these defendants of the report from the purchasers as opposed to the plaintiff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paragraph 34 it is alleged that these defendants acted in their personal capacity, this is not consistent with the pleading in paragraph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Rainbow Indust. Caterers Ltd. v. C.N.R. </w:t>
      </w:r>
      <w:hyperlink r:id="rId500" w:history="1">
        <w:r>
          <w:rPr>
            <w:rFonts w:ascii="arial" w:eastAsia="arial" w:hAnsi="arial" w:cs="arial"/>
            <w:i/>
            <w:color w:val="0077CC"/>
            <w:sz w:val="20"/>
            <w:u w:val="single"/>
            <w:shd w:val="clear" w:color="auto" w:fill="FFFFFF"/>
            <w:lang w:val="en-US" w:eastAsia="en-US" w:bidi="ar-SA"/>
          </w:rPr>
          <w:t>(1988), 30 B.C.L.R. (2d) 273</w:t>
        </w:r>
      </w:hyperlink>
      <w:r>
        <w:rPr>
          <w:rFonts w:ascii="arial" w:eastAsia="arial" w:hAnsi="arial" w:cs="arial"/>
          <w:color w:val="000000"/>
          <w:sz w:val="20"/>
          <w:lang w:val="en-US" w:eastAsia="en-US" w:bidi="ar-SA"/>
        </w:rPr>
        <w:t xml:space="preserve"> (C.A.) Esson, J.A. comments as follows at page 303: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most regrettably, to have become fashionable to allege fraud in commercial cases without much regard for the fundamental rule that fraud must be strictly pleaded and strictly proven. To some extent, this may be an off-shoot of the mistaken notion, to which I referred earlier, that these stringent requirements do not apply to fraud by non-disclosure.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view, once again the plaintiff has failed to disclose a cause of action against the personal defendants and as a consequence those portions of the further amended statement of claim relating to these personal defendants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FAIRCHILD CONSTRUCTION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view, allegations in the amended statement of claim do disclose the basis of a cause of action against this defendant. If for nothing else than the pleading of warranty, that, plus other allegations in the further amended statement of claim, would constitute the basis for a claim which if true could be the basis of an action. As a consequence, in my view, no further discussion is necessary. The amended statement of claim or further amended statement of claim would not be struck out as against the defendant FCL.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these defendants points out that notwithstanding a year has passed since the order of Master Tokarek, there has been no application by the plaintiff to amend that order, no application for leave to file the further amended statement of claim, and no application to further amend the statement of claim. It is worth noting that on the first page of the further amended statement of claim there is a notation that the document was filed November 5, 1999, pursuant to the order of Master Tokarek, even though clearly it has never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is the third time that this type of application has been before the court in this proceeding, on each occasion the court has had considerable concerns about the claim made by the plaintiff against the personal defendants, and on at least two occasions that claim has been struck out. This is the third application and, as in baseball, with "three strikes, you're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will be an order striking out paragraphs 14, 15, 16, 48 and 49 from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will be an order striking out paragraphs 3, 4, 5, 30, 32, 33 and 34 from the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will be an order that the names of the personal defendants William Keung, Norman Ng and Patrick Wong have their names removed from the style of proceeding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circumstances, these defendants are entitled to costs of this application to be assessed on Scale 3 and to be payable forthwith after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PATTERSON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7"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Strata Plan LMS 1328 v. Surrey (City), [2001] B.C.J. No. 1744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C991659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1744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756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1328, plaintiff, and City of Surrey, New Home Warranty Program of British Columbia and the Yukon, a Division of New Home Warranty of British Columbia Inc., Marco Polo Properties Ltd., Ledcor Industries Limited, Hewitt Tan Kwasnicky Architects Inc., Thomas Leung Structural Engineering Inc., Yolles Consulting Engineers Inc., Pacific International Consultants Ltd., Almetco Building Products Ltd., Dupont Canada Inc., Permaquik Corporation, Valley Waterproofing Ltd., Kelly Industries Ltd., Jim Shepherd doing business as Classic Dec-k-ing, Clan Glass &amp; Metals Ltd., A &amp; A Drywall Ltd., Continental Mechanical Ltd., Vancouver Foundation Spray and Waterproofing Ltd., Hil-Ron Cladding Ltd., defendants, and Almetco Building Products Ltd., Dupont Canada Inc., Permaquick Corporation, Valley Wayterproofing Ltd., Kelly Industries Ltd., Jim Shepherd doing business as Classic Dec-k-ing, Clan Glass &amp; Sheet Metals Ltd., A &amp; A Drywall Ltd., Continental Mechanical Ltd., Vancouver Foundation Spray and Waterproofing Ltd., Hil-Ron Cladding Ltd., East &amp; West Alum-Craft Ltd., 191766 B.C. Ltd., Tremco Ltd. and Dryvit Systems Canada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8"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0" w:name="Keywords_35"/>
      <w:bookmarkEnd w:id="240"/>
      <w:r>
        <w:rPr>
          <w:rFonts w:ascii="arial" w:eastAsia="arial" w:hAnsi="arial" w:cs="arial"/>
          <w:b/>
          <w:color w:val="000000"/>
          <w:sz w:val="20"/>
          <w:lang w:val="en-US" w:eastAsia="en-US" w:bidi="ar-SA"/>
        </w:rPr>
        <w:t>Practice — Parties — Joinder of parties — Joinder of defendants — After expiry of limitation period.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1" w:name="Case Summary_34"/>
            <w:bookmarkEnd w:id="2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 Strata Plan LMS 1328, for an order joining Marco Polo Properties Development Limited Partnership as a defendant. The Strata Plan brought an action against the general corporate partner, Marco Polo Properties Ltd, for deficiencies in the construction of a condominium project. That corporation was the developer of the condominium project and registered owner of the lands. The partnership was the beneficial owner of the lands. The Strata Plan sought to claim against the partnership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partnership argued that the order for joinder was being sought after the expiry of a limitation period without any justification, that there was no cause of action, and that the proposed statement of claim did not adequately plead a cause of action. The Strata Plan alleged that the partnership was liable for the torts of the corporation because the corporation was its partner or agent. It alleged that the corporation contracted as agent of the partnership. However, the corporation always contracted in its own name. The applicable limitation period was six years. The partnership argued that the limitation period had expired, as the building was substantially complete more than six years previously. Many purchasers bought their units less than six years ago.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2" w:name="Holdings of Court_31"/>
            <w:bookmarkEnd w:id="242"/>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partnership was joined, subject to a possible limitation defence. The proposed pleading conflicted with the evidence and failed to establish a cause of action in contract. It did establish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was to be redrafted for clarity. The partnership did not establish that the limitation period had expired. Further evidence was required on that point.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3" w:name="Legislation Cited_25"/>
      <w:bookmarkEnd w:id="2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9"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15(5)(a)(iii),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96, c. 266, s. 6(3), 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4" w:name="Counsel_36"/>
      <w:bookmarkEnd w:id="2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0"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J.G. Mendes, for the plaintiff. H.S. Silber, for the defendant, Marco Polo Properties Ltd. and the proposed defendant, Marco Polo Properties Development Limited Partnership.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5" w:name="Judgment_36"/>
      <w:bookmarkEnd w:id="245"/>
      <w:r>
        <w:pict>
          <v:line id="_x0000_s1201" style="position:absolute;z-index:251848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6" w:name="GILL J."/>
            <w:bookmarkEnd w:id="246"/>
            <w:r>
              <w:rPr>
                <w:rFonts w:ascii="arial" w:eastAsia="arial" w:hAnsi="arial" w:cs="arial"/>
                <w:b/>
                <w:color w:val="000000"/>
                <w:sz w:val="30"/>
                <w:lang w:val="en-US" w:eastAsia="en-US" w:bidi="ar-SA"/>
              </w:rPr>
              <w:t>GILL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seek an order joining Marco Polo Properties Development Limited Partnership (the "Partnership") as a defendant in these proceedings. Reliance is placed upon Rule 15(5)(a)(iii) which permits joinder where there exists a question or issue relating to or connected with any relief claimed in the proceeding or with the subject matter of the proceeding which, in the opinion of the court, it would be just and convenient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Marco Polo Properties Ltd. ("MPP") was the general partner of the Partnership and the developer of the condominium project. The development was constructed in two phases. The first was completed in April, 1994; the second, in September, 1994. It is alleged that there are defects in the building envelope. The problem is water ingress.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MPP was the registered owner of the lands and the development. The Partnership was the beneficial owner. As general partner, MPP was authorized to hold legal title and to manage all aspects of the development. It was authorized to enter into agreements of purchase and sale for the strata lots and to convey fee simple title in accordance with the agreements of purchase and sale. MPP provided warranties which are alleged to have been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seek to claim against the Partnership both for breach of contract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position of the Partnership is that an order for joinder is being sought after the expiry of a limitation period without providing any justification for making such an order, that the evidence lead in support of this application does not disclose a cause of action either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 contract and that the proposed statement of claim does not sufficiently or adequately plead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will deal first with whether a cause of action in contract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proposed amendments to the statement of claim dealing with breach of contract commence with paragraph 27.1, which is as follows: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Breach of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27.1 Marco Polo Properties Ltd. was an agent of Marco Polo Partnership and by virtue of its position was vested with the express or implied authority to manage all matters and transactions affecting the Condominium, including the authority to enter into agreements of purchase and sale respecting the Condominium with the Owners. In addition or in the alternative, Marco Polo Properties Ltd., Marco Polo Partnership or both entered into agreements of purchase and sale respecting the Condominium with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pleading goes on to allege that MPP and the Partnership breached express and implied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argument of the plaintiffs is that the Partnership was the disclosed principal of MPP. When an agent enters into a contract on behalf of a disclosed principal, both principal and agent may be liable depending on the intention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Reliance was placed on paragraph 4.1 of the disclosure statement, which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State of Title</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Registered and Beneficial Owners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Marco Polo Properties Ltd. will be the registered owner of the Lands and the Development. The beneficial owner of the Lands and the Development is Marco Polo Properties Development Limited Partnership (the "Partnership"). The Developer is the General Partner of the Partnership and is authorized by the Partnership to hold legal title to and manage all aspects of the Lands and the Development, take all steps and execute all documents (including this Disclosure Statement) which are necessary or of advantage for completion, financing and sale of the Development, enter into agreements of purchase and sale for the Strata Lots, and convey fee simple title to the Strata Lots in accordance with the agreements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disclosure statement, however, defines the developer as being MPP. It was MPP which was to offer the strata lots for sale. A contract of purchase and sale was attached as a schedule to the disclosure statement. In that contract, MPP is described as the vendor. The disclosure statement also refers to a construction warranty. The developer was to provide each purchaser with a warranty to correct any major structural defects in construction and any substantial defects in workmanship and materials. The form of warranty was attached as a schedule. Warranties in that form were provided by MPP.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Further, to the extent that the materials filed on this application refer to contracts, those materials are consistent in that all contracts were made by MPP in its own name. For example, Ledcor Industries Ltd. ("Ledcor") was the general contractor on this project. Its contract was with MPP and not surprisingly, Ledcor's subcontracts refer to the prime contract as being with MPP. The affidavit of Mr. Fisher, who was employed by Ledcor as senior project manager, specifically refers to the performance of Ledcor's general contract with MPP.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proposed pleading seems to conflict with evidence that MPP always contracted in its own name and was, in fact, the developer and legal owner of the property. Counsel for the Partnership described the allegations of contractual liability in the proposed statement of claim as fundamentally confused in that it is claimed that MPP is liable as both principal and as agent. During submissions, Mr. Mendes on behalf of the plaintiffs stated that MPP was an agent in respect of the beneficial interest of the Partnership and a principal in respect of its legal interest. In other words, MPP is liable both as principal and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agree with Mr. Silber that the allegations are confused. The principles discussed in Wm. Roberts Electrical and Mechanical Ltd. v. Kleinfeldt Consultants Ltd. </w:t>
      </w:r>
      <w:hyperlink r:id="rId508" w:history="1">
        <w:r>
          <w:rPr>
            <w:rFonts w:ascii="arial" w:eastAsia="arial" w:hAnsi="arial" w:cs="arial"/>
            <w:i/>
            <w:color w:val="0077CC"/>
            <w:sz w:val="20"/>
            <w:u w:val="single"/>
            <w:shd w:val="clear" w:color="auto" w:fill="FFFFFF"/>
            <w:lang w:val="en-US" w:eastAsia="en-US" w:bidi="ar-SA"/>
          </w:rPr>
          <w:t>(1985), 20 C.L.R. 206</w:t>
        </w:r>
      </w:hyperlink>
      <w:r>
        <w:rPr>
          <w:rFonts w:ascii="arial" w:eastAsia="arial" w:hAnsi="arial" w:cs="arial"/>
          <w:color w:val="000000"/>
          <w:sz w:val="20"/>
          <w:lang w:val="en-US" w:eastAsia="en-US" w:bidi="ar-SA"/>
        </w:rPr>
        <w:t xml:space="preserve"> (Ont. H.C.) are not brought into play because the Partnership holds a beneficial interest in the land or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summary, I agree with counsel for the Partnership that the proposed statement of claim does not adequately plead a cause of action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Turning to the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proposed pleading is as follows: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Breach of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30.1 Marco Polo Properties Ltd. was an agent of Marco Polo Partnership, and by virtue of its position was vested with the express or implied authority to manage all matters and transactions affecting the Condominium on behalf of Marco Polo Partnership. In addition or in the alternative, Marco Polo Properties Ltd. and Marco Polo Partnership owed independent duties of care to the Plaintiff as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Counsel for the Partnership argued that the proposed statement of claim does not go on to state what the Partnership should have done or what it failed to do. Without such specific allegations,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devoid of meaning or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During argument, counsel for the plaintiffs described the plea as being simply that the Partnership is liable for the torts of MPP because MPP was a partner or its agent. Although I would not have read paragraph 30.1 in that fashion, I will proceed on the basis that it is not alleged that the Partnership owed an independent duty of care. Counsel for the proposed defendant did not argue that a partnership could not be liable for the torts of a partner. I therefore conclude that a cause of action is disclosed. However, the proposed pleading should be redrafted to clarify what is actually being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Dealing next whether a limitation period has expired, it was argued on behalf of the Partnership that the order for joinder is sought after the expiry of a limitation period without providing the court with a proper or any justification for making such an order. As to when the limitation period expired, it was argued that in respect of those who purchased units in the first phase of the development, the limitation period expired no later than April, 2000, and as to those who purchased units in the second phase, it expired no later than September,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was acknowledged that the governing limitation period is six years, but it was argued on behalf of the Partnership that the claims raised against it were not within the scope of claims eligible for postponement pursuant to s. 6(3) of the Limitation Act, R.S.B.C. 96, c. 266. The question of whether the postponement provisions apply in circumstances such as the present was considered in Strata Plan No. VR2000 v. Shaw, </w:t>
      </w:r>
      <w:hyperlink r:id="rId509" w:history="1">
        <w:r>
          <w:rPr>
            <w:rFonts w:ascii="arial" w:eastAsia="arial" w:hAnsi="arial" w:cs="arial"/>
            <w:i/>
            <w:color w:val="0077CC"/>
            <w:sz w:val="20"/>
            <w:u w:val="single"/>
            <w:shd w:val="clear" w:color="auto" w:fill="FFFFFF"/>
            <w:lang w:val="en-US" w:eastAsia="en-US" w:bidi="ar-SA"/>
          </w:rPr>
          <w:t>[1998] B.C.J. No. 1190</w:t>
        </w:r>
      </w:hyperlink>
      <w:r>
        <w:rPr>
          <w:rFonts w:ascii="arial" w:eastAsia="arial" w:hAnsi="arial" w:cs="arial"/>
          <w:color w:val="000000"/>
          <w:sz w:val="20"/>
          <w:lang w:val="en-US" w:eastAsia="en-US" w:bidi="ar-SA"/>
        </w:rPr>
        <w:t xml:space="preserve"> (S.C.). There, the plaintiff applied under Rule 34 for the determination of two points of law arising from the pleadings. The first was whether the postponement provisions in the Limitation Act were applicable to an action for damages for alleged construction deficiencies in a condominium development. The second question posed for determination was whether the commencement of the limitation period was to be determined in relation to the strata corporation or the individual owners of strata units. Levine J. (as she then was) concluded that the claim was for "damage to property" and therefore qualified for postponement. On the second question, she concluded that it is the knowledge of the individual owners which is relevant to determining the start of the limitation period under ss. 6(3) and (4) of the Limitation Act, but that was not to say that the limitation period started to run each time a new owner purchased a unit. Each owner of a strata unit must be taken to have the knowledge or means of knowledge of the previous owner and of the strata corporation at the time they acquired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No argument was made on behalf of the Partnership as to why Strata Plan VR2000 ought not to apply in the present case. As such, I cannot accede to the argument made on behalf of the Partnership that this is not a claim to which the postponement provisions of the Limitation Act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to the argument that the limitation period began to run on the dates of substantial completion, I do not accept that time began to run when construction was completed or before a unit was purchased. Many units were sold many months later and 79 were sold after May 1, 1995. I therefore agree with the submission of the plaintiffs that in view of the nature of the alleged damage and the dates the units were purchased, it is unlikely that the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To summarize, I do not accept the specific arguments made on behalf of the Partnership regarding the expiry of the limitation period. I cannot, however, conclude that it not expired. To resolve that issue, further evidence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Factors relevant to the Court's discretion to order joinder have been discussed in numerous authorities. A number of those authorities were referred to on this application including Letvad v. Finley </w:t>
      </w:r>
      <w:hyperlink r:id="rId510" w:history="1">
        <w:r>
          <w:rPr>
            <w:rFonts w:ascii="arial" w:eastAsia="arial" w:hAnsi="arial" w:cs="arial"/>
            <w:i/>
            <w:color w:val="0077CC"/>
            <w:sz w:val="20"/>
            <w:u w:val="single"/>
            <w:shd w:val="clear" w:color="auto" w:fill="FFFFFF"/>
            <w:lang w:val="en-US" w:eastAsia="en-US" w:bidi="ar-SA"/>
          </w:rPr>
          <w:t>(2000), 82 B.C.L.R. (3d) 296</w:t>
        </w:r>
      </w:hyperlink>
      <w:r>
        <w:rPr>
          <w:rFonts w:ascii="arial" w:eastAsia="arial" w:hAnsi="arial" w:cs="arial"/>
          <w:color w:val="000000"/>
          <w:sz w:val="20"/>
          <w:lang w:val="en-US" w:eastAsia="en-US" w:bidi="ar-SA"/>
        </w:rPr>
        <w:t xml:space="preserve"> (C.A.), Feder v. Misghena </w:t>
      </w:r>
      <w:hyperlink r:id="rId511" w:history="1">
        <w:r>
          <w:rPr>
            <w:rFonts w:ascii="arial" w:eastAsia="arial" w:hAnsi="arial" w:cs="arial"/>
            <w:i/>
            <w:color w:val="0077CC"/>
            <w:sz w:val="20"/>
            <w:u w:val="single"/>
            <w:shd w:val="clear" w:color="auto" w:fill="FFFFFF"/>
            <w:lang w:val="en-US" w:eastAsia="en-US" w:bidi="ar-SA"/>
          </w:rPr>
          <w:t>(1992), 65 B.C.L.R. (2d) 192</w:t>
        </w:r>
      </w:hyperlink>
      <w:r>
        <w:rPr>
          <w:rFonts w:ascii="arial" w:eastAsia="arial" w:hAnsi="arial" w:cs="arial"/>
          <w:color w:val="000000"/>
          <w:sz w:val="20"/>
          <w:lang w:val="en-US" w:eastAsia="en-US" w:bidi="ar-SA"/>
        </w:rPr>
        <w:t xml:space="preserve"> (S.C.) and Laskin Vision Canada Inc. v. TLC Vancouver Optometric Group Inc., </w:t>
      </w:r>
      <w:hyperlink r:id="rId512" w:history="1">
        <w:r>
          <w:rPr>
            <w:rFonts w:ascii="arial" w:eastAsia="arial" w:hAnsi="arial" w:cs="arial"/>
            <w:i/>
            <w:color w:val="0077CC"/>
            <w:sz w:val="20"/>
            <w:u w:val="single"/>
            <w:shd w:val="clear" w:color="auto" w:fill="FFFFFF"/>
            <w:lang w:val="en-US" w:eastAsia="en-US" w:bidi="ar-SA"/>
          </w:rPr>
          <w:t>[1999] B.C.J. No. 2796</w:t>
        </w:r>
      </w:hyperlink>
      <w:r>
        <w:rPr>
          <w:rFonts w:ascii="arial" w:eastAsia="arial" w:hAnsi="arial" w:cs="arial"/>
          <w:color w:val="000000"/>
          <w:sz w:val="20"/>
          <w:lang w:val="en-US" w:eastAsia="en-US" w:bidi="ar-SA"/>
        </w:rPr>
        <w:t xml:space="preserve"> (S.C.). I have not discussed such authorities because counsel do not disagree on the governing principles. Rather, the focus was on the issues dealt with above. But having considered those authorities and the evidence filed on this application, I am satisfied that an order for joinder is appropriate. I assume that counsel can agree on a form of order which preserves for future determination the question of whether a limitation defence is available. If not, further argument may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2"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Stulec v. Johnson, [2000] B.C.J. No. 712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20 - 24,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B945747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712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584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 M.V.R. (4th) 295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Bosiljka Stulec, plaintiff, and Lorne Robert Johnson and Harvest Homes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3"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7" w:name="Keywords_36"/>
      <w:bookmarkEnd w:id="247"/>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evidence and burden of proof — Statutory burden on owner or operator — Rear end collisions — Vehicle stopping distances — Motor vehicle, rules of the road — Making turns, left turns.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8" w:name="Case Summary_35"/>
            <w:bookmarkEnd w:id="2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Stulec against Johnson for injuries sustained in a motor vehicle collision. Stulec had slowed her car, activated her left-turn signal and was pulling into a left-turn lane when Johnson's vehicle hit her from behind, causing her to collide with other cars. She crossed a solid-white line dividing the turn lane from the through-lane, violating the British Columbia Motor Vehicle Act. Johnson claimed that Stulec was 100 per cent liable. Stulec contended that Johnson was completely liable and that the accident totally disabled her from performing her job as a part-time housekeeper at a hospital. However, she worked very little at that job, turning down assignments offered by her supervisors 90 per cent of the time. She never applied for other positions that became available at the hospital, and neglected to file income tax forms in some years. She had been convicted of theft-related offences, and despite her claim of total disability had told the Workers' Compensation Board that she was able to return to work on a specific date in 1995. At the time, she was recovering from injuries sustained in a beating. In the accident, she sustained short-term bruising to the left side of her body and soft-tissue injuries to her back. Medical experts reported that she was able to return to her job on a graduated basis.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9" w:name="Holdings of Court_32"/>
            <w:bookmarkEnd w:id="24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Johnson was 50 per cent liable for Stulec's damages, which totalled $31,109. Stulec's breach of the Motor Vehicle Act did not contribute to the accident. However, she operated her car negligently by leading Johnson to think that, despite the activation of her turn signal, she was not going to move into the turning lane. This did not absolve Johnson of his duty to leave sufficient room between his vehicle and Stulec's. As to damages, Stulec was not credible. She exaggerated her claims and misled the Court as to special damages. The earnings she proved were minimal, averaging around $15,000 yearly. She was entitled to $20,000 non-pecuniary damages, $11,912 wage-loss damages, and $197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0" w:name="Legislation Cited_26"/>
      <w:bookmarkEnd w:id="2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4"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Injury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s.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57"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1" w:name="Counsel_37"/>
      <w:bookmarkEnd w:id="2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5"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 Smith, for the plaintiff. C.E. Hickey,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2" w:name="Judgment_37"/>
      <w:bookmarkEnd w:id="252"/>
      <w:r>
        <w:pict>
          <v:line id="_x0000_s1206" style="position:absolute;z-index:2518497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3" w:name="BURNYEAT J._2"/>
            <w:bookmarkEnd w:id="253"/>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three northbound lanes on 152nd Street in Surrey - a left turn lane and two through lanes. The plaintiff was driving her car northbound on 152nd Street on September 14, 1994 and, as she was attempting to move from the left through-lane over a solid white line separating the two lanes into the left turn lane, her car was hit from behind by a truck driven by the defendant. After being hit, the plaintiff's car glanced off a car which was in the left turn lane, went up over a median which separated northbound traffic from southbound traffic, hit a vehicle which was southbound on 152nd Street and then came to rest facing north in the southbound lane. The plaintiff submits that the defendant is 100% liable for the accident and that the injuries resulting from the accident are considerable and of lasting effect. The defendant submits that the plaintiff should be found 100% liable for the accident and that, in any event, the plaintiff has greatly exaggerated the extent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APPLICABLE PROVISIONS OF THE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Under s. 151 of the Act:</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driver who is driving a vehicle on a laned roadway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when a broken line only exists between the lanes, unless the driver has ascertained that the movement can be made with safety and will in no way affect the travel of another vehicle,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if that action necessitates crossing a solid line,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without first signalling his or her intention to do so by hand and arm or approved mechanical device in the manner prescribed by sections 171 and 172,</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approaching an intersection intending to turn left must drive the vehicle in the centre lane or in the lane nearest the centre of the roadway on the right hand half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 BACKGROUND AND EVIDENCE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testified that she was coming from home to go to Fitness World to meet her boyfriend. She described the weather conditions as being "a cloudy grey day" and she was not sure whether it was raining although she believed it was "sprinkling a bit." She testified that, as she was approaching the intersection of 152nd Street and 100th Avenue, she was planning to move from the left through-lane into the left turning lane and that "just as I was going to turn", her car was hit from behind. She testified that she had checked her left side and put on her turn signal just before her vehicle was struck from behind. She testified that, just before she started to make her turn, she had glanced in her rear view mirror and had seen the truck of the defendant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testified that she believed that she was going somewhere between 45 and 50 kph prior to the accident as that was the speed she usually drove in that area. When coming to the intersection, she testified that she was slowing down: "took foot off the gas - prepared to put on brake - then used the brake a bit." She testified that she estimated that her speed at the time of the accident as being between 15 and 20 kph. She testified that there was a vehicle about 4 to 5 vehicle lengths ahead of her in the left through lane, that she could not recall whether there was a car in the right hand through lane but that there was 2 or 3 cars waiting to make a turn in the left turn lane. At the time of the accident, she testified that she was wearing a shoulder and waist seat belt. She testified that, after the accident occurred, the defendant came to her vehicle and apologized for what had happened and indicated "it was my fault" "it was my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the intersection, there is a solid white line separating the left through lane from the left turn lane. While no measurements of the length of that solid white line were before the court, the best estimate is that the solid white line between the two lanes is about 5 car lengths long. Just before the solid line and in the part of the road surface in the left turn lane there is a painted arrow pointing left. Approximately half-way along the solid white line there is another painted arrow pointing left within the left turn lane. The plaintiff testified that she put on her signal just before the second arrow and that she was just ahead of the second arrow when she began to make her lane change. Accordingly, making a lane change at that point would require the plaintiff to drive her car over the solid white line which separated the left turn lane from the left through lane her car occupied.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cross-examination, the plaintiff denied that her decision to make a left hand turn was at the "last minute" and testified that: "No - always my intention." When asked why she did not turn immediately into the left turning lane, the plaintiff stated that she did not because she was giving her signal just before the left turn lane started, she was looking left and "giving people behind me a chance to see." When asked again why she had not turned into the left turn lane further back, the plaintiff testified: "I don't know." "I have no reason why I didn't do it there - I did it before and thousands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further testified that, when her car was hit, she was still in the left through lane, that the left front wheel of her vehicle was not into the turning lane, and that the reason that her car went to the left when hit was because her wheels were turned a few inches. When asked whether any car could have struck her car if she had entered the left hand turn lane at the first opportunity and before the solid white line started, the plaintiff testified: "No someone could have hit there - if not slowing down when entering intersection." She testified that she was not "cutting in" into the left turn lane but rather "I was sliding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asked when she had looked into her rear view mirror and had seen the truck driven by the defendant, the plaintiff testified: "Just before the left turn lane started." She testified that she made this observation when her vehicle was about half a block back from the intersection and that the vehicle being driven by the defendant was 1 or 2 car lengths behind her vehicle. Regarding the time between when she put on the turn signal and when the accident occurred, the plaintiff testified that it was "a few seconds" and then, later, that it was "5 to 10 to 15 seconds." The plaintiff testified that she looked one more time to check her left side: "Turned to see if another car went in" and after she saw another car had not gone in "I made the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discovery, the plaintiff was asked the following question and gave the following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observe the vehicle behind yours when you started to reduce your speed?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about half a block before the intersection I looked in my mirror because I was thinking about doing some change of lane and turning left. The truck was very close to me, I would say maybe one car length or two at the most. That was just before the intersection, like, I don't know, a few cars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did not testify at trial. Accordingly, the only direct testimony available from Mr. Johnson is that part of his examination for discovery on September 22, 1995 which was read into the record as part of the case of the plaintiff. In that discovery, Mr. Johnson testified that he first became aware of the plaintiff's vehicle approximately one-half block south of the intersection. He was then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was your vehicle located in relationship to hers when you first became aware she was attempting to enter lane three? [left turn lane]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that time I was approximately ten car lengths behind her, approximately.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At 50 kilometres an hour, do you have any understanding as to how much distance is required to stop your vehicle when it is empty?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Normally ten car lengths is, is lots of room.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More than adequate?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your evidence earlier, sir, was that you believed you would be able to bring your vehicle to a stop within ample time within ten car lengths?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that speed?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But with the quickness of her decision to make that turn, there wasn't enough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indicated that her vehicle was at least ten car lengths ahead of you when you first formed the impression she was entering lane three?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do you have any explanation as to why you weren't able to bring your vehicle to a stop within the distance allowed?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Other than trying to look for a route of escape,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the point of impact occurred, was she moving or was she stopped?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was moving.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fast was she moving? Can you estimate?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not 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agree that when you applied the horn she was moving?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you struck her she was moving?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Two witnesses to the accident testified at trial. Mr. Leppanen testified that he was the driver of the first car at the light eastbound on 152nd Avenue and that he saw the cars involved in the accident from across the intersection where he was stopped. He observed the truck of the defendant about 2-3 car lengths behind the plaintiff's vehicle: "Quite far back." He described the plaintiff's vehicle as stopping "abruptly" and that the defendant "didn't have a chance." When asked where the plaintiff's vehicle was stopped, he testified: "In both lanes." Under cross-examination, he admitted that he could not see all of the pavement although he confirmed that he could see part of the "painted line." He agreed that vehicles were travelling southbound in front of him but he insisted: "I had a pretty good view." He estimated that the speed of the vehicle of the plaintiff was about 35 kph, that she was "slowing down", and that the accident occurred "just as she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satisfied that it would have been very difficult for Mr. Leppanen to have observed all of what he now says he observed. He was observing the accident scene across at least three lanes of traffic. His ability to observe the painted line on the northbound lanes of traffic would be obscured by the three lanes of traffic in front of him as well as the six to eight inch median which separated northbound traffic from southbound traffic. He agreed that there were vehicles travelling southbound in front of him as his car was stationary at the intersection. While his willingness to come forward as a witness is to be applauded, I prefer the evidence of the plaintiff and the defendant on the question of the speed of the plaintiff's vehicle and the distance separating the two vehicles at the time of the accident. I reject the testimony of Mr. Leppanen that the plaintiff's vehicle was stopped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Leslie Wellman testified that he was walking southbound on 52nd on the east side sidewalk but that he had not reached the intersection. He testified he heard braking, saw the truck hit the plaintiff's vehicle and then saw the impact of the vehicles in the southbound lane. While Mr. Leppanen testified that the truck did not brake prior to the accident, Mr. Wellman testified that he heard braking and he was "almost sure" that the braking was from the truck. Mr. Wellman could not sure about the speed of either vehicle. While he remembers seeing the truck he couldn't remember seeing anything else. When asked what lane the plaintiff's car was in, he indicated that he was not positive and that it could have been in the left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Again, while I applaud the willingness of Mr. Wellman to come forward as a witness, I prefer the evidence of the plaintiff and the defendant on the question of whether the brakes on the truck of the defendant were applied prior to the accident. From his vantage point, it would be very difficult for Mr. Wellman to gauge the speed of the vehicle, whether the brakes of the truck were applied or the exact position of the two vehicles when the accident occurred. He was viewing the accident from across at least four lanes of traffic plus the distance between himself and the northern edge of the intersection where the accident occurred. I am able to reach the conclusion that Mr. Wellman has attempted to reconstruct what happened that day and that his testimony was not limited to what he actually recalls seeing.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am therefore satisfied that the question of liability should be determined on the basis of the testimony of the two parties as well as the other evidence presented regarding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the vehicle of the plaintiff was still moving at about 15 to 20 kph at the time of the accident and that the defendant was approximately ten car lengths behind the vehicle of the plaintiff when he first became aware that the plaintiff would be attempting to turn into the left turn lane. I accept the defendant's estimate that he was travelling at approximately 50 kilometres per hour and that, at 10 car lengths behind, this would have given him ample opportunity to bring his vehicle to a stop in order to avoid the accident. I also find that the plaintiff had passed the usual entrance to the left turn lane and was in the process of crossing a solid white line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PLAINTIFF CAUSE THE ACCIDENT? - 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relies on three decisions in his submission that the plaintiff was wholly responsible for the accident as she made a lane change when it was unsafe to do so and crossed a solid white line contrary to s. 151(b) of the Motor Vehicle Act when doing so: Rohmann v. Moffat, </w:t>
      </w:r>
      <w:hyperlink r:id="rId520" w:history="1">
        <w:r>
          <w:rPr>
            <w:rFonts w:ascii="arial" w:eastAsia="arial" w:hAnsi="arial" w:cs="arial"/>
            <w:i/>
            <w:color w:val="0077CC"/>
            <w:sz w:val="20"/>
            <w:u w:val="single"/>
            <w:shd w:val="clear" w:color="auto" w:fill="FFFFFF"/>
            <w:lang w:val="en-US" w:eastAsia="en-US" w:bidi="ar-SA"/>
          </w:rPr>
          <w:t>[1996] B.C.J. No. 148</w:t>
        </w:r>
      </w:hyperlink>
      <w:r>
        <w:rPr>
          <w:rFonts w:ascii="arial" w:eastAsia="arial" w:hAnsi="arial" w:cs="arial"/>
          <w:color w:val="000000"/>
          <w:sz w:val="20"/>
          <w:lang w:val="en-US" w:eastAsia="en-US" w:bidi="ar-SA"/>
        </w:rPr>
        <w:t xml:space="preserve"> (B.C.S.C.); Erkel v. Brietzke, </w:t>
      </w:r>
      <w:hyperlink r:id="rId521" w:history="1">
        <w:r>
          <w:rPr>
            <w:rFonts w:ascii="arial" w:eastAsia="arial" w:hAnsi="arial" w:cs="arial"/>
            <w:i/>
            <w:color w:val="0077CC"/>
            <w:sz w:val="20"/>
            <w:u w:val="single"/>
            <w:shd w:val="clear" w:color="auto" w:fill="FFFFFF"/>
            <w:lang w:val="en-US" w:eastAsia="en-US" w:bidi="ar-SA"/>
          </w:rPr>
          <w:t>[1997] B.C.J. No. 1601</w:t>
        </w:r>
      </w:hyperlink>
      <w:r>
        <w:rPr>
          <w:rFonts w:ascii="arial" w:eastAsia="arial" w:hAnsi="arial" w:cs="arial"/>
          <w:color w:val="000000"/>
          <w:sz w:val="20"/>
          <w:lang w:val="en-US" w:eastAsia="en-US" w:bidi="ar-SA"/>
        </w:rPr>
        <w:t xml:space="preserve"> (B.C.S.C.); Pearson v. Tourand, </w:t>
      </w:r>
      <w:hyperlink r:id="rId416" w:history="1">
        <w:r>
          <w:rPr>
            <w:rFonts w:ascii="arial" w:eastAsia="arial" w:hAnsi="arial" w:cs="arial"/>
            <w:i/>
            <w:color w:val="0077CC"/>
            <w:sz w:val="20"/>
            <w:u w:val="single"/>
            <w:shd w:val="clear" w:color="auto" w:fill="FFFFFF"/>
            <w:lang w:val="en-US" w:eastAsia="en-US" w:bidi="ar-SA"/>
          </w:rPr>
          <w:t>[1990] B.C.J. No. 1351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must be noted that s. 151(b) creates an absolute prohibition from crossing "a solid line" whereas s. 151(a) indicates that a driver may cross over "a broken line" where the driver has ascertained that the movement can be made safely and will in no way affect the travel of another vehicle. Referring only to the Motor Vehicle Act, the option of driving over a solid line was not available to the plaintiff whether or not she had ascertained that her movement could be done safely and in no way affecting the travel of another vehicle. Accordingly, the defendant submits that the violation of the absolute prohibition set out in s. 151(b) was the sole cause of this accident. I am satisfied that this analysis is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satisfied that the cases relied upon by the defendants are distinguishable as they all dealt with situations where the plaintiffs' vehicles were struck from behind by vehicles which were already occupying the lane into which the plaintiffs' vehicles were moving. In the case at bar, the plaintiff's vehicle was struck from behind in a lane out of which the plaintiff's vehicle was attempting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Because I find that the plaintiff was crossing a solid white line when she attempted to move from the left through lane into the left turn lane, it is necessary to review the extent to which the violation of the provisions of s. 151(b) of the Motor Vehicle Act and the actions of the plaintiff contributed to causing this accident. In this regard, I adopt the statement of Gibbs J.A. who was speaking on behalf of the majority in Kautz v. Kopach (1993) 84 B.C.L.R. (2d) 239 (B.C.C.A.) when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Kopach might have transgressed some of the traffic laws or rules of the road while en route to the accident scene but any such transgressions are irrelevant to a finding of fault because Kautz did not see the backhoe until just before the impact. This was not a case of sudden and unexpected appearance. On the evidence the machine was travelling at only about 5 mph before it arrived at the curb to enter the service station lot. As the trial judge said, the machine was clearly there to be seen as it entered the service station lot but was not seen by Kautz. No breaches of traffic laws or rules of the road, therefore, misled or confused Kautz or could properly be said to have caused or contributed to the accident. (at p. 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case at bar, I cannot conclude that the breach by the defendant of s. 151(b) of the Motor Vehicle Act directly caused or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Having decided that the breach of s. 151(b) of the Motor Vehicle Act did not cause or contribute to the accident, I nevertheless find that what the plaintiff did that day did cause or contribute to the accident. Having passed by the entrance to the left turn lane and having passed by the start of the solid white line which was between the left turn lane and the left through lane before starting to turn into the left turn lane, the plaintiff was negligent in the operation of her motor vehicle. Her failure to turn into the left turn lane when she might and should have allowed the defendant to conclude that the plaintiff would not be turning and that her left turn signal had been activated in error. It is too often the case that drivers will not be aware that their turn signals are activated even though they have no intention of turning. The drivers of cars following are left to guess why the turn signal was activated even though the opportunity to turn at consecutive corners or into different lanes has not been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Because she proceeded as she did, the plaintiff contributed to causing this accident. By waiting until she did, the plaintiff drove her vehicle across a solid line at a time when drivers behind her could reasonably conclude that her left turn signal had been activated in error and that she had no intention of turning into the left turn lane. I accept the plaintiff's evidence that there were no vehicles blocking her ability to move into the left turn lane when she should have entered it. The absence of any vehicles in that lane impeding her ability to move into the lane when she should have gave further reason to drivers of vehicles following her that her left turn signal had been activated in error. Accordingly, I find the plaintiff at least partially responsible for the accident that occurred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DEFENDANT ALSO CAUSE THE ACCIDENT? - 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Ordinarily, liability would probably be found against this defendant if his vehicle hit the vehicle of the plaintiff from behind while the plaintiff's vehicle was still moving. The question of liability would be in issue if the vehicle of the defendant hit the vehicle of the plaintiff from behind if the vehicle of the plaintiff had come to an abrupt stop without excuse. Wong J. in Ayers v. Singh, </w:t>
      </w:r>
      <w:hyperlink r:id="rId522" w:history="1">
        <w:r>
          <w:rPr>
            <w:rFonts w:ascii="arial" w:eastAsia="arial" w:hAnsi="arial" w:cs="arial"/>
            <w:i/>
            <w:color w:val="0077CC"/>
            <w:sz w:val="20"/>
            <w:u w:val="single"/>
            <w:shd w:val="clear" w:color="auto" w:fill="FFFFFF"/>
            <w:lang w:val="en-US" w:eastAsia="en-US" w:bidi="ar-SA"/>
          </w:rPr>
          <w:t>[1995] B.C.J. No. 2842</w:t>
        </w:r>
      </w:hyperlink>
      <w:r>
        <w:rPr>
          <w:rFonts w:ascii="arial" w:eastAsia="arial" w:hAnsi="arial" w:cs="arial"/>
          <w:color w:val="000000"/>
          <w:sz w:val="20"/>
          <w:lang w:val="en-US" w:eastAsia="en-US" w:bidi="ar-SA"/>
        </w:rPr>
        <w:t xml:space="preserve"> (B.C.S.C.)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Generally speaking, when one car runs into another from behind the fault is in the driving of the rear car and the driver of the rear car must satisfy the Court that the collision did not occur as a result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Where a person is claiming to be excused for not taking the best course in an emergency created by another he must satisfy the Court that the latter created a situation of such real danger that the agony of a threatened collision was so great as to excuse the course he pursued although it was not the best one.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that case, Wong J. determined that the vehicle of the defendant had come to an abrupt stop without excuse. He concluded that it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was reasonable for others following behind to assume that Mr. Singh would proceed through the intersection without stopping abruptly. Having stopped abruptly, he certainly created a sudden obstacle hazard for those following behind.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To the suggestion that the plaintiff was following too close and that "... a prudent driver should be prepared for contingencies of an emergent nature." Wong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they were confronted with the sudden stopping there was insufficient time for them to apply their brakes and stop in a timely manner. I am of the view that under these circumstances that certainly was an agony of the moment where it would be very difficult to stop and although I have given consideration to the application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of the view that in these particular circumstances I would discount that factor.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Although I adopt the statements of law set out by Wong J., the case at bar is not the fact situation which was before Wong J. in Ayers, supra. The vehicle of the plaintiff did not come to an abrupt stop. Rather, it slowed down from approximately 45 to 50 kph to approximately 15 to 20 kph. As well, it cannot be said that the slowing down was without warning as the defendant admits that he was aware for a considerable time of the intention of the plaintiff to cause her vehicle to turn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Even after the plaintiff did not turn into the left turn lane prior to the commencement of the solid white line, the defendant was under an obligation to take such reasonable care as was necessary in the circumstances. Initially, there may have been enough distance between the two vehicles to allow the defendant to either come to a stop or take evasive action. When the accident occurred, the distance between the vehicles was not sufficient to allow evasive action to be taken by the defendant. In those circumstances, the failure of the defendant to leave sufficient room between his vehicle and the vehicle in front of him contributed to the accident which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vehicle of the plaintiff was slowing down. In order to slow down as she did in the distance that she did, it would have been necessary for the plaintiff to apply her brakes and I accept her evidence that she did. Accordingly, the slowing down, the brake lights and the continuing left turn signal were sufficient indicators to the defendant that the plaintiff might attempt to move into the left turn lane even though she had proceeded beyond the point where she could have moved into the left turn lane without in any way violating s. 151(b) of the Motor Vehicle Act. In those circumstances, the defendant failed to meet the duty of care imposed upon him when he failed to keep sufficient distance between his vehicle and the vehicle of the plaintiff so that there was not sufficient time to allow the defendant's vehicle to come a stop or take evasive action when the vehicle of the plaintiff slowed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Section 1(2)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1996, c. 333, provides that, if it not possible to establish different degrees of fault, liability must be apportioned equally. In the case at bar, I am satisfied that liability must be apportioned equally without reference to s. 1(2)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Both of these parties were equally at fault on September 14, 1994. Neither of them met the onus which is on them to take reasonable care. Accordingly, it is appropriate that the liability for the accident should be equal. As no personal injuries were suffered by Mr. Johnson, the question which then arises is the damages which should be available to the plaintiff as a result of her injuries suffered 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 AND RECREATIONAL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time of the accident, the plaintiff had worked for about 10 years in a part-time capacity as a housekeeper at Surrey Memorial Hospital. This work involved physical work on a repetitive basis mopping floors, sweeping, dusting, making beds, lifting, carrying, reaching, on a repetitive basis. The plaintiff stated that, prior to the accident, she enjoyed hiking, jogging, biking, swimming, house renovations and landscaping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submits that, as a result of the accident, she has been unable to work consistently and is not in a position to resume her original job because of the injuries caused by the accident as she has been unable to return to any repetitive activity which involves bending forward, lifting, carrying or repetitive use of her arms. Since the accident, the plaintiff submits that her ability to undertake any of her usual work and recreational activities has either been eliminated or substantially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an immediate result of the accident, the plaintiff had bruises on the left side of her head, over her left thigh and down her left arm. The plaintiff did not lose consciousness during the accident. The plaintiff was driven to the hospital by her boyfriend and, after examination, was given muscle relaxants and analgesics. A few days after the accident, the plaintiff began to notice neck pain and stiffness and, after a few days, low back pain. However, the plaintiff continues to complain of low back pain which, if extreme, will also produce tightness in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has had the most contact with her family physician, Dr. Sidhu. In his August 19, 1999 report to counsel, Dr. Sidhu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the opinions of Dr. Herschler differs a great deal from Dr. Maloon and Dr. Jaworski. On review of their medical opinions, including my own previous medical opinions over the past 5 years, my impression now is that I would concur most strongly with the opinion of Dr. Jaworski. In all likelihood Ms. Stulec's initial myofascial cervical and lumbar injuries have developed into a chronic pain disorder with anxiety symptoms. Stress (family and financial) as well as physical deconditioning are likely components perpetuating her aches and pain. In view of her chronic lower back pain her ability to cope with returning to a job requiring repetitive heavy lifting or bending appears unlikely. My impression is that there was and remains now no medical contraindications to her returning to at least some form of employment if she felt unable to cope with her previous job as a housekeeper at Surrey Memorial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was referred by Dr. Sidhu to Dr. Jaworski, a Physical Medicine and Rehabilitation Specialist. In his December 13, 1996 letter to Dr. Sidhu, Dr. Jaworski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PHYSICAL EXAMINATION she has normal vital signs with BP 130/85, and pulse 70/min and regular. She is neurologically intact. On palpation there is no particular tenderness in the fibromyalgic distribution. Examination on the peripheral joints is unremarkable.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Waddell's signs are 3/5 positive.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sum up, she may be displaying signs of chronic pain disorder with anxiety symptoms. There is still likely to be a component of physical deconditioning.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we should increase Paxil to 30 mg a day, and give her Ativan .5 to 1 mg sublingually for panic attack control. I have encouraged her to return to her favourite recreational activities on a regular basis, at least three times a week. There are no contraindications for her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was also referred by Dr. Sidhu to Dr. Herschler, a Specialist in Physical Medicine, Electro-Diagnostics and Biomedical Engineering. The "diagnosis" and "prognosis" contained in the July 6, 1999 medical legal opinion of Dr. Herschler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history and physical findings are consistent with a ligament injury to the thoraco-lumbar junction and, to a lesser extent, the lumbar spine. As a result, she has developed muscular tightness and muscle spasm in the muscular structures of the low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history, these findings are a direct result of the motor vehicle accident on September 14, 1994.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for a spontaneous, pain-free resolution is guarded. Bosiljka continues to complain of constant low back pain for over four and a half years. This low back pain is made worse with lumbar movements such as flexion.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continues to exercise, including walking and swimming, and is on Paxil, 30 mg daily. There has been no change for approximately two years. Physical findings are positive for muscle spasm with movement and tenderness in the muscular structures of the low back. There does not appear to be a neurological finding. This suggests that the pain is more of a biomedical origin.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think there is any point in suggesting further chiropractic or physiotherapy treatments given the fact that these have not worked in the past. I still feel that the pulsed electromagnetic fields offer Bosiljka a genuine chance for pain relief. There is a 75% success rate and it is particularly effective where there is an arthritic change in the spine combined with soft tissue trauma. It is non-invasive and has no side effects.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that Bosiljka be given the chance for any new treatment that has potential to break her pain cycle. At this stage, Bosiljka has difficulty with prolonged sitting, bending or lifting. As a result, she cannot go back to working as a housekeeper. I see her being disabled from any type of employment that would force her to bend, lift or twist her lower back. She also has difficulty with prolonged sitting. Jobs that she should be able to handle are jobs that are flexible with respect to position (standing and sitting) and do not force her to do any heavy labour that includes repetitive bending and lifting. Whether she is capable of retraining into a position that does not load her lumbar spine would depend on a number of factors including past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the request of the defendant, the plaintiff was seen on February 25, 1998 by Dr. Maloon, an Orthopaedic Surgeon. Dr. Maloon gave the following "Impression" in his letter to counsel of the same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Stulec reports high levels of pain and this I found to be inconsistent with the lack of her discomfort and lack of clinical findings on my examination today. No non-organic findings were noted on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Stulec may have mild mechanical or activity low back pain as a cause of her ongoing symptoms. This would be due to mild degenerative changes in the lower lumbar spine. Even if her symptoms had been exacerbated by the motor vehicle accident, I would have expected them to have settled within an appropriate time for normal soft tissue healing (six to eight weeks).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persistence of her subjective symptoms beyond normal expected time for soft tissue healing and in the absence of objective evidence of musculoskeletal injury would suggest there may be a behavioural component to her ongoing problem with her symptoms maintained by potential secondary gain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problem has been discussed with Mrs. Stulec. I have reassured her that she did not sustain serious injuries in the acceleration/deceleration incident of September 14, 1994. I have encouraged her to continue with normal activities, both work-related as well as recreational and I have reassured her that although she may have ongoing discomfort, she was not necessarily doing herself any harm. I have stressed the importance of maintaining the strength of the abdominal and low back muscles to help support her back. A graduated exercise program to improve her overall level of physical fitness may also be of benefit. I have advised against ongoing passive therapeutic modalities that have been shown to be of no long term benefit and may serve only to potentiate her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evaluation today, I could find no evidence to suggest that Mrs. Stulec was in any way physically impaired. I would have expected her to have been partially disabled for six to eight weeks while acute soft tissue symptoms settled after the motor vehicle accident. After this time I do not believe that she has been in any way physically disabled by injuries that she may have sustained in the September 14, 1994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 OTHER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about 4:00 a.m. on October 14, 1995, the plaintiff says that she was awoken by her daughter's screams, that she went to her door and unlocked it and that, as soon as she unlocked the door, her daughter's boyfriend grabbed her and beat her up. In a claim to the W.C.B.-Criminal Injuries Branch, the plaintiff described her injuries as follows: "bruises on neck, left leg, strained muscels [sic] in neck, upper-lower back, emotional stress, massive headaches." Included with the "details of losses" claimed was the statement: "missed work since Oct.14/95 to now [11/05/95]."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February 7, 1996 decision under the Criminal Injury Compensation Act, the plaintiff was awarded $1,200. The decision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Taking into account the nature of the injuries, and the pain, suffering and trauma resulting from them, an award of $1,200.00 is made to compensate Mrs. S. in this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 has applied for wage loss benefits. However, it is noted in the information provided by the employer that prior to this incident Mrs. S. had worked only 4 days in 1995, March 4,5,11 and 12. It is, therefore, not possible to determine the extent, if any, of her lost income as a result of the incident of October 14, 1995. Additional information will be obtained from the employer to further consider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 March 20, 1996 "Supplementary Decision", a further $454.79 was awarded. In dealing with wage loss, the decision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S. wrote a letter received in our offices February 20, 1996, indicating that she was ready to return to work effective October 16, 1995 subsequent to a motor vehicle accident she had suffered, but due to the injuries of October 14, 1995, could not return to work until November 30, 1995. Mrs. S. advised further that since this incident she is working only two days per week, although she normally would work four to five days per week. Information was obtained from Mrs. S.'s employer and the ICBC Adjuster. Mrs. S. has a claim with ICBC as a result of a motor vehicle accident suffered by her on September 14, 1994. The employer advises that in the one year prior to the motor vehicle accident Mrs. S. had earnings of $12,202.99. The ICBC Adjuster indicated that Mrs. S. received benefits for lost income at the rate of $169.50 up to her return to work effective November 30, 1995. In the following week Mrs. S. worked 20 hours per week although effective to December 7, 1995, she resumed her casual employee status with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AS TO THE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the basis of the evidence before me, I can find that the left arm of the plaintiff was hit during the accident but any bruising resolved about two weeks after the accident, that the left leg of the plaintiff was also hit and there was visible bruising from the top of the knee to the thigh for about two to three weeks but this problem resolved itself in about four weeks, and that the plaintiff had what she described as a "big lump on her head" which lasted about three to four weeks before the lump disappeared. I find that those were injuries suffered in the accident and that the plaintiff should be compensated for the pain and suffering associated with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Regarding the neck, chest and back injuries alleged by the plaintiff, the plaintiff described the problem with her chest as being: when she was breathing she felt pain under her chest, that this pain lasted about two years and that it still reoccurs from time to time. Regarding her neck, the plaintiff described the pain as being from the top down but mostly between the shoulders. She described the pain as being a sharp pain with stiffness which does not allow her to move. Regarding her back problems, the plaintiff describes them as being lower or upper back problems usually associated with having headaches which she described she has about two to four times a month at the present time. The plaintiff testified that this problem has showed some improvement after two to three years, that the Canadian Back Institute gave her exercises which made her feel better and that the biofeedback provided by Dr. Herschler has assisted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an obvious dispute between the medical advisors who have examined the plaintiff. There is also dispute between what the plaintiff now indicates and what she indicated to the Criminal Injuries Branch of the W.C.B. On balance, I am satisfied that the plaintiff has not shown that the injuries that she suffered during the accident continued for more than one year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various initial medical-legal reports, Dr. Sidhu notes as early as October 12, 1995 that there were "no physical limitations" preventing the plaintiff from following a graduated schedule of returning to work starting at four hours per day and progressing over two to three weeks to full-time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"Discharge Report" done by the Canadian Bank Institute on August 24, 1995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Stulec demonstrated the ability to meet reported job demands. There appears to be no physical restrictions with regards to Ms. Stulec resuming her previous occupation as a Housekeeper at Surrey Memorial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Included in the "Recommendations" of the Canadian Back Institute was the continuation of a regular strengthening and conditioning program on an independent basis and a return to work duties on the graduated return which the Occupation Health and Safety Nurse at Surrey Memorial Hospital recommended (being four hours a day during the first week, six hours a day during the second week, and the regular 7.5 hours a day during the third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Maloon on February 25, 1998 encouraged the plaintiff to continue with "normal activities, both work-related as well as recreational" and found as at that date he could find no evidence to suggest that the plaintiff "was in any way physically impaired"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Sidhu in his August 19, 1999 report to counsel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was and remains now no medical contra indications to her returning to at least some form of employment if she felt unable to cope with her previous job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Jaworski in his December 13, 1996 letter to Dr. Sidhu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encouraged her to return to her favourite recreational activities on a regular basis, at least three times a week. There are no contra indications for her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I take notice of all of the medical-legal reports which are evidence including in particular the July 6, 1999 medical-legal opinion of Dr. Herschler, I am satisfied that the claim that the plaintiff made to the W.C.B.-Criminal Injuries Branch is more probative of the question of whether the plaintiff had recovered fully from her injuries so that she was in a position to return to work and to her previous recreational activities. The materials before me relating to that application indicate that the plaintiff represented that she was ready to return to work effective October 16, 1995 but that, due to the assault on October 14, 1995, she did not return to work until November 30, 1995 and was only able to work two days per week at that time. I am satisfied that she should be bound by those representations made to the Criminal Injuries Branch. I find that what was represented to the Criminal Injuries Branch most accurately reflects the situation in the fall of 1999. In coming to that conclusion, I have paid particular attention to what the medical and other advisors of the plaintiff were saying in the fall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coming to that conclusion, I also find that I had considerable reason to doubt the veracity of the plaintiff. For instance, the plaintiff was not convincing when she testified that she worked out two or three times a week before the accident but could not undertake such activities after the accident. I do not accept this testimony as it was also clear that the plaintiff was not a member of Fitness World when she indicates that she worked out two or three times at Fitness World. Further, the plaintiff could not remember any details about the hiking that she claimed were part of her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Next, I accept the evidence of Steven Phillips that he was renting a room from the plaintiff at $400 per month during 1995. Unfortunately, the plaintiff neglected to include this income in her Income Tax Returns. As well, the criminal record of the plaintiff was in evidence indicating a 1989 conviction for "theft under $1,000", a 1994 conviction for "trafficking in a narcotic", and a criminal charge arising out of possession of stolen property and threatening a security guard on June 6, 1997. While the fact that a plaintiff has a criminal record does not disentitle that plaintiff to recover damages, the fact that the plaintiff was less than candid in her testimony about what her criminal record was and the fact that her criminal record includes offences which call into question her veracity merely reinforces the conclusion already reached by me that the plaintiff was being less than candid throughout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also find that the plaintiff was less than candid in dealing with the cause of her alleged loss of income. The plaintiff confirmed that she had not filed income tax returns for the years 1996 or 1998. When asked what her income was for those years, she testified under cross-examination: "I don't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Stasiuk, the Housekeeping Head at Surrey Memorial Hospital, testified that the plaintiff never volunteered for extra work, mostly worked on weekends, rarely worked during the summer or weekdays or in blocks even though the peak time was in the summer on weekends and over Christmas. She was asked whether she was offered more shifts and she testified: "Majority of time she refused or we couldn't get in touch." She confirmed that the plaintiff had not worked in July, August, October and only two shifts in September, 1990. She confirmed that she had not worked after June 14, 1991. She confirmed that she had not worked in June through September of 1993 despite that this was their busiest time and when anyone was mostly likely to get work. In 1994, she confirmed that the plaintiff did not work January through March or September through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Stasiuk was asked whether they kept a record of when last minute requests were refused or there was no response and she indicated that she reviewed those records and that on 90% of the occasions the shift had been refused. She confirmed that there were a number of posting during 1991 through 1994 for full or part-time work, that those postings would be on the basis of seniority, attendance and ability but that she was not aware of any applications made for those positions by the plaintiff. Despite the testimony of the plaintiff that she was no longer able to work on a full-time or part-time basis, there was no evidence before the court which would allow me to conclude that she had ever intended to work at the Hospital on a full or part-time work basis. Rather, I can conclude that the plaintiff worked when she wished to and that she did not wish to work very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asked whether the plaintiff would be eligible for a full-time or part-time postings, Ms. Stasiuk replied that she would be and that she "was qualified." She confirmed that those postings were still available and that the plaintiff could apply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difficulty that the plaintiff has in establishing the wage loss flowing from the accident is that her earnings in the three years prior to the accident were minimal, she appears to have made no previous efforts to obtain full-time employment with the Hospital, and she has made no efforts after 1996 to return to work at Surrey Memorial Hospital. From the information which was in evidence, the total income of the plaintiff can be summarized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045"/>
        <w:gridCol w:w="1150"/>
        <w:gridCol w:w="1255"/>
        <w:gridCol w:w="1255"/>
        <w:gridCol w:w="1150"/>
        <w:gridCol w:w="1046"/>
        <w:gridCol w:w="21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T-4</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Family</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Social</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Earn-</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Allow-</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Assist-</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ings</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ance</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ance</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U.I.C.</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W.C.B.</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1255"/>
        <w:gridCol w:w="1150"/>
        <w:gridCol w:w="1359"/>
        <w:gridCol w:w="1150"/>
        <w:gridCol w:w="941"/>
        <w:gridCol w:w="1255"/>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1991</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$5,367</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$1,252</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$1,848</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$8,467</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1992</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$12,018</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$837</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$964</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$12,852</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1993</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$11,806</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$12,936</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$24,742</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1994</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$7,339</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$10,965</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$2,090</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$20,394</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1995</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$857</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$13,149</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$760</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$14,766</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When it was put to her that she had not worked during January through March prior to the accident, the plaintiff testified: "I see that - I can't remember." When it was put to her that she had not worked in the period June through September, she testified under cross-examination: "I don't think I was anywhere. Had two small children." When asked the reason why she would be working less in 1993, she testified under cross-examination: "Maybe stressed. I don't know. It's six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returned to work on November 30, 1995 but only then worked for a short time. She returned to work on a casual basis at an hourly rate of $15.46154.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Under cross-examination, the plaintiff agreed that she had gone to Croatia in 1996. She was asked whether she made any efforts to go back to work when she returned from Croatia and she testified: "I don't know." She confirmed that, after 1996, she had made no attempt to return to work at Surrey Memorial Hospital. She further confirmed that she had not spoken to anybody about taking re-training or taking lighter duties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well, I make specific findings in due course that many of the special damages claimed by the plaintiff were not actually incurred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Taking into account all of those matters, I find that the plaintiff was not a credible or believable witness. I am satisfied that the plaintiff had fully recovered from the injuries caused by the September 14, 1994 accident by October 15, 1995. Put a different way, the plaintiff has failed to show on a balance of probabilities that any physical or mental problems after October 15, 1995 were caused by the accident. If there were any physical or mental problems after October 15, 1995, I am satisfied that those physical or mental problems arose solely as a result of the assault which occurred on October 14,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 suggests the following decisions are applicable when dealing with the quantum of damages available to the plaintiff: Cumming v. White Estate, </w:t>
      </w:r>
      <w:hyperlink r:id="rId523" w:history="1">
        <w:r>
          <w:rPr>
            <w:rFonts w:ascii="arial" w:eastAsia="arial" w:hAnsi="arial" w:cs="arial"/>
            <w:i/>
            <w:color w:val="0077CC"/>
            <w:sz w:val="20"/>
            <w:u w:val="single"/>
            <w:shd w:val="clear" w:color="auto" w:fill="FFFFFF"/>
            <w:lang w:val="en-US" w:eastAsia="en-US" w:bidi="ar-SA"/>
          </w:rPr>
          <w:t>[1998] B.C.J. No. 272</w:t>
        </w:r>
      </w:hyperlink>
      <w:r>
        <w:rPr>
          <w:rFonts w:ascii="arial" w:eastAsia="arial" w:hAnsi="arial" w:cs="arial"/>
          <w:color w:val="000000"/>
          <w:sz w:val="20"/>
          <w:lang w:val="en-US" w:eastAsia="en-US" w:bidi="ar-SA"/>
        </w:rPr>
        <w:t xml:space="preserve"> (B.C.S.C.); Kirbyson v. Wolters, </w:t>
      </w:r>
      <w:hyperlink r:id="rId524" w:history="1">
        <w:r>
          <w:rPr>
            <w:rFonts w:ascii="arial" w:eastAsia="arial" w:hAnsi="arial" w:cs="arial"/>
            <w:i/>
            <w:color w:val="0077CC"/>
            <w:sz w:val="20"/>
            <w:u w:val="single"/>
            <w:shd w:val="clear" w:color="auto" w:fill="FFFFFF"/>
            <w:lang w:val="en-US" w:eastAsia="en-US" w:bidi="ar-SA"/>
          </w:rPr>
          <w:t>[1998] B.C.J. No. 90</w:t>
        </w:r>
      </w:hyperlink>
      <w:r>
        <w:rPr>
          <w:rFonts w:ascii="arial" w:eastAsia="arial" w:hAnsi="arial" w:cs="arial"/>
          <w:color w:val="000000"/>
          <w:sz w:val="20"/>
          <w:lang w:val="en-US" w:eastAsia="en-US" w:bidi="ar-SA"/>
        </w:rPr>
        <w:t xml:space="preserve"> (B.C.S.C.); Roberts v. Kidd, </w:t>
      </w:r>
      <w:hyperlink r:id="rId525" w:history="1">
        <w:r>
          <w:rPr>
            <w:rFonts w:ascii="arial" w:eastAsia="arial" w:hAnsi="arial" w:cs="arial"/>
            <w:i/>
            <w:color w:val="0077CC"/>
            <w:sz w:val="20"/>
            <w:u w:val="single"/>
            <w:shd w:val="clear" w:color="auto" w:fill="FFFFFF"/>
            <w:lang w:val="en-US" w:eastAsia="en-US" w:bidi="ar-SA"/>
          </w:rPr>
          <w:t>[1998] B.C.J. No. 1198</w:t>
        </w:r>
      </w:hyperlink>
      <w:r>
        <w:rPr>
          <w:rFonts w:ascii="arial" w:eastAsia="arial" w:hAnsi="arial" w:cs="arial"/>
          <w:color w:val="000000"/>
          <w:sz w:val="20"/>
          <w:lang w:val="en-US" w:eastAsia="en-US" w:bidi="ar-SA"/>
        </w:rPr>
        <w:t xml:space="preserve"> (B.C.C.A.); and Sundland v. Chow, </w:t>
      </w:r>
      <w:hyperlink r:id="rId526" w:history="1">
        <w:r>
          <w:rPr>
            <w:rFonts w:ascii="arial" w:eastAsia="arial" w:hAnsi="arial" w:cs="arial"/>
            <w:i/>
            <w:color w:val="0077CC"/>
            <w:sz w:val="20"/>
            <w:u w:val="single"/>
            <w:shd w:val="clear" w:color="auto" w:fill="FFFFFF"/>
            <w:lang w:val="en-US" w:eastAsia="en-US" w:bidi="ar-SA"/>
          </w:rPr>
          <w:t>[1997] B.C.J. No. 3024</w:t>
        </w:r>
      </w:hyperlink>
      <w:r>
        <w:rPr>
          <w:rFonts w:ascii="arial" w:eastAsia="arial" w:hAnsi="arial" w:cs="arial"/>
          <w:color w:val="000000"/>
          <w:sz w:val="20"/>
          <w:lang w:val="en-US" w:eastAsia="en-US" w:bidi="ar-SA"/>
        </w:rPr>
        <w:t xml:space="preserve"> (B.C.C.A.). The range of non-pecuniary damages awarded in those cases was from $45,000 to $60,000 ($53,000 on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On the other hand, the defendant submits that the non-pecuniary damages awarded in the following decisions are more applicable: Sabyan v. Robertson, </w:t>
      </w:r>
      <w:hyperlink r:id="rId527" w:history="1">
        <w:r>
          <w:rPr>
            <w:rFonts w:ascii="arial" w:eastAsia="arial" w:hAnsi="arial" w:cs="arial"/>
            <w:i/>
            <w:color w:val="0077CC"/>
            <w:sz w:val="20"/>
            <w:u w:val="single"/>
            <w:shd w:val="clear" w:color="auto" w:fill="FFFFFF"/>
            <w:lang w:val="en-US" w:eastAsia="en-US" w:bidi="ar-SA"/>
          </w:rPr>
          <w:t>[1998] B.C.J. No. 207</w:t>
        </w:r>
      </w:hyperlink>
      <w:r>
        <w:rPr>
          <w:rFonts w:ascii="arial" w:eastAsia="arial" w:hAnsi="arial" w:cs="arial"/>
          <w:color w:val="000000"/>
          <w:sz w:val="20"/>
          <w:lang w:val="en-US" w:eastAsia="en-US" w:bidi="ar-SA"/>
        </w:rPr>
        <w:t xml:space="preserve"> (B.C.S.C.); Savage v. Dore, </w:t>
      </w:r>
      <w:hyperlink r:id="rId528" w:history="1">
        <w:r>
          <w:rPr>
            <w:rFonts w:ascii="arial" w:eastAsia="arial" w:hAnsi="arial" w:cs="arial"/>
            <w:i/>
            <w:color w:val="0077CC"/>
            <w:sz w:val="20"/>
            <w:u w:val="single"/>
            <w:shd w:val="clear" w:color="auto" w:fill="FFFFFF"/>
            <w:lang w:val="en-US" w:eastAsia="en-US" w:bidi="ar-SA"/>
          </w:rPr>
          <w:t>[1998] B.C.J. No. 253</w:t>
        </w:r>
      </w:hyperlink>
      <w:r>
        <w:rPr>
          <w:rFonts w:ascii="arial" w:eastAsia="arial" w:hAnsi="arial" w:cs="arial"/>
          <w:color w:val="000000"/>
          <w:sz w:val="20"/>
          <w:lang w:val="en-US" w:eastAsia="en-US" w:bidi="ar-SA"/>
        </w:rPr>
        <w:t xml:space="preserve"> (B.C.S.C.); and Adbay v. Burroughs, </w:t>
      </w:r>
      <w:hyperlink r:id="rId529" w:history="1">
        <w:r>
          <w:rPr>
            <w:rFonts w:ascii="arial" w:eastAsia="arial" w:hAnsi="arial" w:cs="arial"/>
            <w:i/>
            <w:color w:val="0077CC"/>
            <w:sz w:val="20"/>
            <w:u w:val="single"/>
            <w:shd w:val="clear" w:color="auto" w:fill="FFFFFF"/>
            <w:lang w:val="en-US" w:eastAsia="en-US" w:bidi="ar-SA"/>
          </w:rPr>
          <w:t>[1995] B.C.J. No. 1803</w:t>
        </w:r>
      </w:hyperlink>
      <w:r>
        <w:rPr>
          <w:rFonts w:ascii="arial" w:eastAsia="arial" w:hAnsi="arial" w:cs="arial"/>
          <w:color w:val="000000"/>
          <w:sz w:val="20"/>
          <w:lang w:val="en-US" w:eastAsia="en-US" w:bidi="ar-SA"/>
        </w:rPr>
        <w:t xml:space="preserve"> (B.C.S.C.). The range of non-pecuniary damages set out in those decisions is $18,000 to $25,000 ($22,000 on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differences between the two sets of decisions provided by the parties amount to differences between the severity and duration of the pain and suffering as a result of the injuries. In the circumstances of this case, I am satisfied that the non-pecuniary damages for the plaintiff should be set at $20,000. I am satisfied that this amount represents the appropriate award for the pain and suffering experienced by the plaintiff as a result of the accident and for the duration of that pain and suffering. I am satisfied that the symptoms alleged by the plaintiff after October, 1995 can accurately be described in the words used by Dr. Maloon: "... symptoms maintained by potential secondary gain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WAGE LOSS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claimed for wage loss until age 65. That claim is dismissed. Reviewing the total income available to the plaintiff in the three full income tax years prior to the accident, the average total income available was $15,353.66 and the average T-4 earnings for the plaintiff was $9,730.33. I am satisfied that the average T-4 earnings for the two full years prior to the accident are most indicative of the income that was lost by the plaintiff while she was incapacitated as a result of the accident. I therefore set the wage loss of the plaintiff at $11,912.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accordance with the principles set out in Ratych v. Bloomer </w:t>
      </w:r>
      <w:hyperlink r:id="rId530" w:history="1">
        <w:r>
          <w:rPr>
            <w:rFonts w:ascii="arial" w:eastAsia="arial" w:hAnsi="arial" w:cs="arial"/>
            <w:i/>
            <w:color w:val="0077CC"/>
            <w:sz w:val="20"/>
            <w:u w:val="single"/>
            <w:shd w:val="clear" w:color="auto" w:fill="FFFFFF"/>
            <w:lang w:val="en-US" w:eastAsia="en-US" w:bidi="ar-SA"/>
          </w:rPr>
          <w:t>(1990), 69 D.L.R. (4th) 25</w:t>
        </w:r>
      </w:hyperlink>
      <w:r>
        <w:rPr>
          <w:rFonts w:ascii="arial" w:eastAsia="arial" w:hAnsi="arial" w:cs="arial"/>
          <w:color w:val="000000"/>
          <w:sz w:val="20"/>
          <w:lang w:val="en-US" w:eastAsia="en-US" w:bidi="ar-SA"/>
        </w:rPr>
        <w:t xml:space="preserve"> (S.C.C.), Cunningham v. Wheeler </w:t>
      </w:r>
      <w:hyperlink r:id="rId531" w:history="1">
        <w:r>
          <w:rPr>
            <w:rFonts w:ascii="arial" w:eastAsia="arial" w:hAnsi="arial" w:cs="arial"/>
            <w:i/>
            <w:color w:val="0077CC"/>
            <w:sz w:val="20"/>
            <w:u w:val="single"/>
            <w:shd w:val="clear" w:color="auto" w:fill="FFFFFF"/>
            <w:lang w:val="en-US" w:eastAsia="en-US" w:bidi="ar-SA"/>
          </w:rPr>
          <w:t>(1994), 113 D.L.R. (4th) 1</w:t>
        </w:r>
      </w:hyperlink>
      <w:r>
        <w:rPr>
          <w:rFonts w:ascii="arial" w:eastAsia="arial" w:hAnsi="arial" w:cs="arial"/>
          <w:color w:val="000000"/>
          <w:sz w:val="20"/>
          <w:lang w:val="en-US" w:eastAsia="en-US" w:bidi="ar-SA"/>
        </w:rPr>
        <w:t xml:space="preserve"> (S.C.C.), M.(M.) v. F.(R.), </w:t>
      </w:r>
      <w:hyperlink r:id="rId532" w:history="1">
        <w:r>
          <w:rPr>
            <w:rFonts w:ascii="arial" w:eastAsia="arial" w:hAnsi="arial" w:cs="arial"/>
            <w:i/>
            <w:color w:val="0077CC"/>
            <w:sz w:val="20"/>
            <w:u w:val="single"/>
            <w:shd w:val="clear" w:color="auto" w:fill="FFFFFF"/>
            <w:lang w:val="en-US" w:eastAsia="en-US" w:bidi="ar-SA"/>
          </w:rPr>
          <w:t>(1996) 22 B.C.L.R. (3d) 18</w:t>
        </w:r>
      </w:hyperlink>
      <w:r>
        <w:rPr>
          <w:rFonts w:ascii="arial" w:eastAsia="arial" w:hAnsi="arial" w:cs="arial"/>
          <w:color w:val="000000"/>
          <w:sz w:val="20"/>
          <w:lang w:val="en-US" w:eastAsia="en-US" w:bidi="ar-SA"/>
        </w:rPr>
        <w:t xml:space="preserve"> (B.C.S.C.) and M.(M.) v. F.(R.), </w:t>
      </w:r>
      <w:hyperlink r:id="rId533" w:history="1">
        <w:r>
          <w:rPr>
            <w:rFonts w:ascii="arial" w:eastAsia="arial" w:hAnsi="arial" w:cs="arial"/>
            <w:i/>
            <w:color w:val="0077CC"/>
            <w:sz w:val="20"/>
            <w:u w:val="single"/>
            <w:shd w:val="clear" w:color="auto" w:fill="FFFFFF"/>
            <w:lang w:val="en-US" w:eastAsia="en-US" w:bidi="ar-SA"/>
          </w:rPr>
          <w:t>[1997] B.C.J. No. 2914</w:t>
        </w:r>
      </w:hyperlink>
      <w:r>
        <w:rPr>
          <w:rFonts w:ascii="arial" w:eastAsia="arial" w:hAnsi="arial" w:cs="arial"/>
          <w:color w:val="000000"/>
          <w:sz w:val="20"/>
          <w:lang w:val="en-US" w:eastAsia="en-US" w:bidi="ar-SA"/>
        </w:rPr>
        <w:t xml:space="preserve"> (B.C.C.A.), the defendant seeks to subtract the amount of Social Assistance payments received by the plaintiff on the basis that such payments amounted to "double recovery." I am satisfied that this is not so. Social Assistance was made available to the plaintiff in 1993 and in 1994. Accordingly, I am not in a position to come to the conclusion that the Social Assistance received by the plaintiff after the accident in 1994 and during 1995 amounts to double recovery. Rather, what was received represents merely a continuation of the Social Assistance which was already available to and was already being received by the plaintiff. The Social Assistance being received in no way compensated the plaintiff for any wage loss as a result of her inability to work. Accordingly, it is not "double recovery" and will not be subtracted from the amounts otherwise available to the plaintiff under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claims special damages relating to housekeeping assistance, mileage and taxi fares for various treatment sessions and for other miscellaneous expenses relating to the accident. The housekeeping assistance totals $1,900 and purports to be six payments of $250 a week starting September 23, 1996 and two payments of $200 a week starting November 4, 1996. The receipts which were produced were given to "Leila and her mother" and purported to be signed by the recipients. Under cross-examination, the plaintiff could not remember the address of either, the age of Leila or whether she paid the amounts represented by the receipts by cheque or by cash. The plaintiff did acknowledge that Eva Oboril was the mother of the "Leila" referred to in the receipts which were introduced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Eva Oboril was called as a witness. She testified that neither she nor her daughter had ever operated a housekeeping service, neither she nor her daughter had never acted as housekeepers for the plaintiff and that her daughter Leila was aged 12 in 1994. She testified that neither she nor her daughter had received monies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I am satisfied that damages after 1995 were not occasioned by the accident, I dismiss the claim of the plaintiff for housekeeping expenses while noting that the plaintiff attempted to mislead the court as to whether any such expenses had actually been incurred. I accept the evidence of Ms. Oboril and find that the plaintiff manufactured receipts including either signing the same or having someone else sign the same for the sole purpose of attempting to obtain payment for expenses not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also claims for mileage relating to 112 visits to her doctor, her specialist, the Canadian Back Institute and her physiotherapist. It is said that the 112 visits averaged 15 kilometres per visit. The sum of $.34 per kilometre is claimed. Medical Services records were not available. Accordingly, I can draw no conclusion about whether there were 112 visits or when those visits occurred. Taking into account the period between September 14, 1994 and October 15, 1995 only, I am satisfied that the special damages relating to the mileage claim should be limited to $150.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also submits receipts for various taxi fares between September 15, 1994 and November 18, 1994. Those receipts total $733. Most are from Surdell Kennedy Taxi Ltd. There were a number of inconsistencies relating to those receipts. Some of the inconsistencies were put to the plaintiff on cross-examination. In particular, why there was one receipt given by the same driver even though it related to a return trip. The plaintiff's only explanation was unbelievable. The plaintiff suggested that she would have the taxi driver wait outside because she knew how long the appointment would take, she knew that she would not have to wait to see the medical advisor and that the taxi driver was prepared to wait for her. She said that this was the case even on her first visit to Dr. Sidhu who saw her for the first time only after the accident occurred. When it was put to her that Dr. Sidhu was a new doctor on September 15 and how could she possibly estimate how long she would be there, she testified: "I don't know how I calculated." She testified that the driver were not busy at the time so that it was no "big deal" to wait 20 minutes. In any event, she testified: "He knew where I lived." Later in her cross-examination, she was not sure whether she drove her car in the month following the motor vehicle accident: "I don't know at that time whether I had a car - I'm not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have grave doubts that the taxi fares represent amounts actually incurred by the plaintiff. The receipts are all for amounts between $25 and $30. Accordingly, the plaintiff would have me believe that, no matter where she was going, the taxi fare was always approximately the same amount. There was also considerable doubt as to whether there was a car available to the plaintiff in the one month following the accident. As well, there is no indication from any of the medical advisors that the plaintiff was not in a position to drive a car. In the circumstances, the alleged expense for taxi fares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claims the following for additional miscellaneous expenses: $717 (chiropractic tax with Dr. Titchener); $165 (chiropractic tax with City Square Chiropractor); $17.97 (Toradol); $19 (neck brace); $10 (stress relief tapes); $25 (parking); and "Deductible" of $150. The plaintiff incurred most of these expenses subsequent to October of 1995. Accordingly, only the Toradol, neck brace and stress relief tapes disbursements are allowed ($46.97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 claims Party and Party (Scale 3) costs. The defendant submits that the defendant should be awarded its Special Costs. The plaintiff has been successful in her claim. Ordinarily, costs would follow the event. However, Rule 57(9) allows the court to otherwise order. In order to deny the plaintiff her costs, "special circumstances" must be established: Currie v. Thomas </w:t>
      </w:r>
      <w:hyperlink r:id="rId534" w:history="1">
        <w:r>
          <w:rPr>
            <w:rFonts w:ascii="arial" w:eastAsia="arial" w:hAnsi="arial" w:cs="arial"/>
            <w:i/>
            <w:color w:val="0077CC"/>
            <w:sz w:val="20"/>
            <w:u w:val="single"/>
            <w:shd w:val="clear" w:color="auto" w:fill="FFFFFF"/>
            <w:lang w:val="en-US" w:eastAsia="en-US" w:bidi="ar-SA"/>
          </w:rPr>
          <w:t>(1985), 19 D.L.R. (4th) 594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circumstances of this case, I am satisfied that those special circumstances do exist. Firstly, it was submitted on behalf of the plaintiff that she should recover general damages of between $167,500 and $232,500 and special damages of $4,596.97. My judgment provides for general damages of $31,912 and special damages of $196.97. While it is clear that a successful party who has exaggerated a claim will not be deprived of costs solely on the ground of exaggeration (Millar v. Hennan (1994), 94 B.C.L.R. (2d) 349 (B.C.S.C.)), it is also clear that a plaintiff who has advanced an exaggerated or fraudulent claim should not be awarded costs even though that plaintiff receives some compensation: Tatar v. Kusch (1994), 29 C.P.C. (3d) 201 (B.C.S.C.). In the case at bar, Ms. Stulec manufactured receipts for housekeeping services that were never provided. She also advanced exaggerated claims for other special damages. She was also less than forthright in her testimony about the injuries and the duration of the injuries resulting from the accident. Taking into account all of those factors, I am satisfied that the plaintiff should not be entitled to her costs and disbursements. However, the claim of the defendant for Special Costs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will be entitled to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137"/>
        <w:gridCol w:w="1673"/>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2301"/>
        <w:gridCol w:w="2510"/>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Wage loss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$11,912.00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301"/>
        <w:gridCol w:w="941"/>
        <w:gridCol w:w="1568"/>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costs</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$ 196,97</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$31,108.97</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7"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Urban v. Murphy, [2004] B.C.J. No. 1905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14 - 18, 23 and 24,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S011953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1905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1191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133 A.C.W.S. (3d) 885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Glenn Urban and Loretta Miller, plaintiffs, and James J. Murphy,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8"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4" w:name="Keywords_37"/>
      <w:bookmarkEnd w:id="254"/>
      <w:r>
        <w:rPr>
          <w:rFonts w:ascii="arial" w:eastAsia="arial" w:hAnsi="arial" w:cs="arial"/>
          <w:b/>
          <w:color w:val="000000"/>
          <w:sz w:val="20"/>
          <w:lang w:val="en-US" w:eastAsia="en-US" w:bidi="ar-SA"/>
        </w:rPr>
        <w:t xml:space="preserve">Legal profession — Barristers and solicitors — Liability — Missed limitation periods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responsibility — Professional duties — Duties of care — Professions — Legal — Lawyers — Tort law — Occupier's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5" w:name="Case Summary_36"/>
            <w:bookmarkEnd w:id="2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Urban against his former solicitor Murphy for damages caused by legal malpractice. In 1996, Urban was injured on Garay's property while performing casual part-time work for Haslam, a tree-faller. The accident left Urban totally disabled on a temporary basis and partially disabled on a permanent basis. Urban's WCB claim was dismissed on the basis that he was self-employed and therefore not eligible for compensation under the Act. Murphy represented Urban on two unsuccessful appeals of the WCB decision. Murphy also represented Urban in connection with a claim against Haslam launched in 1998. Haslam's statement of defence alleged that Urban's claim was statute-barred by the applicable limitation period and the suit never advanced. Murphy never commenced a claim against Garay. Urban alleged that Murphy was negligent in his handling of the WCB appeals and his claim against Haslam. Urban further alleged that Murphy ought to have launched an action against Garay under the Occupier's Liability Act for failure to take reasonable care in the selection and supervision of Haslam. Murphy's position was that there was no basis for such an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6" w:name="Holdings of Court_33"/>
            <w:bookmarkEnd w:id="25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Murphy's actions and tactics met the standard of care of a reasonably competent solicitor in his conduct of proceedings before the WCB. An action against Garay did not have a reasonable prospect of success. Accordingly, Murphy was not liable for his failure to commence an action within the applicable limitation period. The evidence did not support the notion that Garay failed to take reasonable care in the selection and supervision of Haslam. In addition, Murphy did not breach his duty to with respect to the timing of the issuance of the writ against Haslam because the evidence established that the claim was bound to fail. It was reasonable for Haslam to have directed Garay and Urban to stand the distance they did from the tree, as it was not foreseeable that the tree would fall in the manner and distance that it did.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7" w:name="Legislation Cited_27"/>
      <w:bookmarkEnd w:id="2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9"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20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183" w:history="1">
        <w:r>
          <w:rPr>
            <w:rFonts w:ascii="arial" w:eastAsia="arial" w:hAnsi="arial" w:cs="arial"/>
            <w:i/>
            <w:color w:val="0077CC"/>
            <w:sz w:val="20"/>
            <w:u w:val="single"/>
            <w:shd w:val="clear" w:color="auto" w:fill="FFFFFF"/>
            <w:lang w:val="en-US" w:eastAsia="en-US" w:bidi="ar-SA"/>
          </w:rPr>
          <w:t>R.S.B.C. 1996, c. 337, ss. 3</w:t>
        </w:r>
      </w:hyperlink>
      <w:r>
        <w:rPr>
          <w:rFonts w:ascii="arial" w:eastAsia="arial" w:hAnsi="arial" w:cs="arial"/>
          <w:color w:val="000000"/>
          <w:sz w:val="20"/>
          <w:lang w:val="en-US" w:eastAsia="en-US" w:bidi="ar-SA"/>
        </w:rPr>
        <w: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1979, c. 492, s. 10(2).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8" w:name="Counsel_38"/>
      <w:bookmarkEnd w:id="2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0"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Lawrence Pierce and Wai Cheung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David A. Joyce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9" w:name="Judgment_38"/>
      <w:bookmarkEnd w:id="259"/>
      <w:r>
        <w:pict>
          <v:line id="_x0000_s1211" style="position:absolute;z-index:251850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0" w:name="GRAY J."/>
            <w:bookmarkEnd w:id="260"/>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Urban claims that Mr. Murphy's legal work arising from an accident was negligent. The legal malpractice trial lasted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Urban was injured on January 2, 1996 when he was struck in the head by a piece of a tree. He claims that the accident left him totally disabled on a temporary basis, and partially disabled on a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Urban's position is that at the time of the accident, he was employed on a casual part-time basis by an individual named Mr. Haslam. Mr. Haslam carried on the business of felling trees under the name "Gabriola Tree Services". At the time of the accident, Mr. Urban was assisting Mr. Haslam to remove a tree from property on Gabriola Island owned by Mr. Garay.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Urban applied for compensation from the Workers' Compensation Board ("WCB"), but his claim was dismissed on the basis that he was not a "worker". The defendant, Mr. Murphy, acted as Mr. Urban's lawyer in connection with two appeals of that decision. The appeals were unsuccessful, and Mr. Urban has not received any WCB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Murphy also acted for Mr. Urban in connection with a claim against Mr. Haslam. Mr. Urban's writ suing Mr. Haslam was issued on May 26, 1998. In October 1998, Mr. Haslam filed a statement of defence alleging, among other defences, that Mr. Urban's claim became barred on January 2, 1998 by the Limitation Act, </w:t>
      </w:r>
      <w:hyperlink r:id="rId20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No steps have been taken in that lawsuit since the filing of the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Murphy did not commence any lawsuit on behalf of Mr. Urban against Mr. Garay, and no such lawsuit had been commenced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trial, Mr. Urban proceeded with two main allegations: first, that Mr. Murphy was negligent in his handling of appeals of Mr. Urban's claim for WCB benefits; and second, that Mr. Murphy was negligent in connection with Mr. Urban's claims against Mr. Garay and Mr. Haslam.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statement of claim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connection with other matters, but Mr. Urban abandoned those other claims at the commencement of the trial. The statement of claim also claimed damages on behalf of a second plaintiff, Ms. Loretta Miller. Her claims were dismissed on Friday, June 18, 2004, after the completion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are as follows: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Murphy breach the duty of care that he owed to Mr. Urban in any of the following ways: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conduct of the proceedings before the WCB;</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commence proceedings against Mr. Garay;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commence the action against Mr. Haslam prior to January 2, 1998?</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Murphy breached his duty of care in any of those ways, did that breach cause foreseeable damage to Mr. Urban?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Urban is entitled to damages, what should be the amount of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Mr. Urban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Urban spent his high school years in Saskatchewan. He completed regular grade 10, and then in 1976 completed the grade 12 trades program. Over the next nine years, he worked in Saskatchewan as a warehouseman, forklift operator, drywaller and baker. He then ran his own hunting and guiding business for about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1989, Mr. Urban moved to Nanaimo in search of full time work. He worked in drywalling, first for others (for about two years), and then operating a business with a partner (for about eighteen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1992, Mr. Urban started his own drywalling business, Central West Drywaller. He operated this business for about three years, and on average it had three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Urban's 1994 income tax return describes his business income as $90,465.33 gross and $15,658.16 net. However, Revenue Canada raised the assessment to provide that $65,500 was the amount of both gross business income and net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Around early 1995, Mr. Urban and his common law spouse Ms. Miller purchased undeveloped property on Gabriola Island with the intention of developing it. Mr. Urban bought a skidder so he could clear the property and in the hope that he could also find work for it in the forest industry. Mr. Urban's plan was to build a road to the top of a hill on the property, log it, and use the site to build a second home on the property which would have a good view.</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Urban's dealings with Mr. Haslam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Urban closed down his drywalling business in early 1995. Mr. Urban hired Mr. Haslam to fall the trees on Mr. Urban's property. Mr. Haslam agreed to reduce the charge for the work in return for Mr. Urban helping by cutting the limbs from the trees once they were on the ground. Mr. Haslam and Mr. Urban became friends during the course of this falling and climbing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Urban obtained intermittent work operating his skidder. Mr. Haslam was working as a tree faller at some of the same jobs. At this point, Mr. Urban and Mr. Haslam were both independent contractors providing skidder and falling services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Mr. Urban's position that at some point in 1995, Mr. Haslam hired Mr. Urban to work as a part-time "groundsman" when Mr. Haslam was doing tree-top work as a faller.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Haslam's work as a faller often required him to climb trees. When assisting Mr. Haslam, Mr. Urban would remain on the ground to run the ropes without tangling and to do chores like refilling the chainsaws with gasoline. This is the work which Mr. Urban termed "groundsman"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Urban testified that he had not done groundsman work before, but was trained by Mr. Haslam to do it. Mr. Urban supplied his own hard hat and chainsaw gloves, and Mr. Haslam provided chainsaw pants and cork boots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Urban's evidence at trial was that Mr. Haslam paid him a total of $305 for eight jobs as groundsman, four of which were prior to the accident. Mr. Urban testified that Mr. Haslam would cash the cheque for the work and pay Mr. Urban in cash either the same day as the work or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Urban's 1995 income tax was assessed at $41,246 in gross business income and $6,465 in net income. Mr. Urban's net earnings in 1995 were therefore only about 10% of the assessment for 1994. This drop in income is partly explained by the fact that Mr. Urban was devoting time and attention to developing his property. However, in addition, the drywall business had not prospered. The financial statements for the drywall business show net liabilities exceeding assets by about $12,000.</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accident occurred on January 2, 1996. Mr. Urban's evidence is that Mr. Haslam picked up Mr. Urban from his home and they drove in Mr. Haslam's company car to the worksite on Mr. Garay's property. The tree to be removed was an arbutus tree which had grown in an l-shape. The trunk grew vertically, and then turned on a right angle and went horizontally.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Urban's evidence in statements and at trial about the tree's dimensions and the location of people at the time of the accident was not consistent. At trial, Mr. Urban testified that the vertical part of the tree went up between 20 and 40 feet from the ground, and the tree trunk continued 100 feet parallel to the ground. Mr. Urban testified that after about 60 feet it grew into other standing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Haslam trimmed the branches from the part of the trunk which was parallel to the ground but not yet in the other trees, and Mr. Urban removed the branches and put them on a cistern. Mr. Haslam then prepared to cut the horizontal part from the vertical trunk. Before making the final cuts, Mr. Haslam told Mr. Urban and the homeowner to stand at a spot in the driveway. Mr. Urban's evidence at trial was that this spot was somewhere between 40 and 100 feet from the tree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Urban was standing with the homeowner in the driveway when he saw Mr. Haslam making the final cuts. He heard the horizontal part of the tree drop, and then felt something strike him at the bridge of his 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Urban went by ambulance to hospital, arriving at around 3:30 p.m. One ambulance took him to the ferry and the other to the hospital. The first ambulance crew report indicates that Mr. Urban was on the ground about 50 feet away when he was struck by the falling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Nimmon assessed Mr. Urban at the hospital, and his note says that Mr. Urban was observing the falling tree from a distance of maybe 15 or 20 feet. Dr. Nimmon performed nose surgery on him that evening.</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Events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Urban testified that a few days following the accident Mr. Haslam paid him $30 or $40 in cash for his work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Following the accident, Mr. Urban says that he was disoriented, fatigued, dizzy, and lacked motivation. He says he was frustrated and had abnormal outbursts of anger. He says he tried to work over the following couple of months, but found it too difficult and upsetting, and gave up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Urban's first visit following the accident to his family doctor, Dr. Joly, was on May 7, 1996. At that time he reported that he had been depressed for about 18 months, and that his wife had left him about two weeks before. Mr. Urban testified at trial that he was not in fact depressed for about 18 months prior to that visit. Dr. Joly diagnosed Mr. Urban with clinical depression and prescribed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letter dated May 21, 1996, the WCB stated that Mr. Urban's registration with WCB had been cancelled because he no longer had any workers in B.C. The letter states that an employer who is not registered at the time of a work related injury to one of his workers is normally charged with the total capitalized costs of that claim in addition to regular assessments that may be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Urban did not register for WCB coverage for his self-employment work as a skidder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Urban filed his WCB claim regarding the January 2, 1996 accident on June 17, 1996. Because that was more than three months after the injury, the claim could proceed only if the Board allowed it to do so under section 10(2) of the Workers Compensation Act, R.S.B.C. 1979, c. 492.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Urban's explanation for failing to make his WCB claim earlier was that owing to brain injury, he did not appreciate that he had received an injury that was sufficiently significant to make a claim worthwhile.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claim form, Mr. Urban described the employer as Gabriola Tree Services, which was Mr. Haslam's business name. He described his own occupation as "skidder operator and limber". He marked the form to indicate that no one else was responsible for his injury and that his gross earnings were $12.00 per hour. He also indicated that the last date and time he worked was January 2, 1996 at 10:00 a.m., the day of the injury. He wrote that the arbutus was about 20 feet from the ground, and he and the homeowner were standing about 50 feet the opposite way from where the tree went. He also wrote that he was working part-time with Gabriola Tree Services as a fill-in.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September 1996, Mr. Urban applied for Canada Pension Plan disability benefits. He signed a questionnaire dated September 27, 1996. In that document, he describes the kind of work he did in his most recent job as "skidder owner/operator, land developer, chain-saw work." He describes his present or most recent employer as "Judy Carson and self-employment", and March 1, 1996 as his last day on the job. He does not refer to Mr. Haslam or Gabriola Tree Services in this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September 12, 1996, in foreclosure proceedings commenced by National Holdings Ltd. relating to Mr. Urban's property, this court declared that there was a default under the mortgage and the last date for redemption would be March 5, 1997. The amount outstanding was about $116,000, and the court ordered each of Mr. Urban and Ms. Miller to pay that sum to National.</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Murphy, WCB proceedings, and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October 22, 1996, Mr. Urban met with Mr. Murphy and discussed legal problems. It is contentious whether Ms. Miller was present at the meeting, and contentious what was said in that meeting. This date was after Mr. Urban filed his WCB claim but before WCB had advised whether the claim would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Urban met with Mr. Murphy and discussed a number of legal problems. Mr. Murphy agreed to assist as necessary with the foreclosure and WCB claim, and if it failed, consider whether Mr. Urban had claims to pursue by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Urban told Mr. Murphy, as recorded in Mr. Murphy's notes, that he stood 50-70 feet away from the base of the tree, with the tree going the other way, that he was told to stand there, and that all felt safe. He also told Mr. Murphy that this was a freak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Urban testified at trial that he has subsequently spoken to other people, and has started to think that Mr. Haslam ought to have used a bucket truck to fell the tree, presumably meaning that the horizontal trunk ought to have been cut off in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December 10, 1996, WCB denied Mr. Urban's claim. The letter from the claims adjudicator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Haslam has stated that on January 2, 1996, you had simply accompanied him to a job site. He states that he did not form a contractual agreement with you and that there was no agreement for payment for any services provided on January 2, 1996. In reviewing the definitions of a worker, for the purposes of the Workers' Compensation Act, I am unable to conclude that on January 2, 1996, you would have been considered a worker under the Act. Therefore, your claim for compensation benefits is rejected. This means that I am unable to consider short term disability benefits or health care benefits under this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review of the investigation completed by the Field Investigator, it is clear that you have periodically accompanied Mr. Haslam to various job sites where he has undertaken activities for Gabriola Tree Services. Mr. Haslam has indicated that on these occasions, you were again, simply accompanying him and were not paid for your services and therefore are not considered an employee of Gabriola Tree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you received payment for the times you have accompanied Mr. Haslam. You do not appear on his payroll records, nor is there record of pay stubs or cancelled cheques.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there is no evidence to establish you as an employee of Gabriola Tree Services, I am unable to conclude that you were a "worker" as defined by the "Workers'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Urban's 1996 tax return reports his income as consisting of business income and social assistance payments. The business income is reported at $6,787.50 gross and $4,494.67 net. The total income is reported at $6,494.67.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Urban's appeal to the WCB Review Board began with his notice of appeal signed March 12, 1997. He indicated in this document that he wanted an oral hearing, would be asking Ms. Miller and Mr. Haslam to come to the hearing, and that Ms. Winters, articled student, would be his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May 1997 Canada Pension Plan approved Mr. Urban receiving disability benefits for the period commencing July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Murphy's office records show that Ms. Winters, articled student, handled the initial correspondence with the WCB Review Board. She wrote in a memorandum dated May 13, 1997 that Mr. Urban was extremely distraught. She also wrote that Mr. Haslam was Mr. Urban's best friend, and that despite the fact that Mr. Haslam subsequently lied to the WCB (stating that Mr. Urban was not working for him at the time of the accident), Mr. Urban still retained some affection for his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memorandum also states that on May 5, 1997, Mr. Urban and Mr. Haslam got into a small argument with respect to Mr. Urban's head injury and as a result his friend left Mr. Urban's property in a distraught mood; that Mr. Haslam subsequently set fire to the trailer home in which he, his wife and three children were living; and that Mr. Urban recognized this was not his fault, but he was upset that Mr. Haslam set fire to his home. She also refers to a variety of problems, including indebtedness to WCB for failure to pay premiums when he ran his own business, and to Revenue Canada for failure to pay GST when he ran his own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WCB Review Board hearing was initially set for May 29, 1997. On the day before the hearing, Mr. Murphy requested an adjournment on the basis that he had laryngitis and a very sore throat, and could not properly conduct the matter. The hearing was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WCB Review Board hearing was later set for October 2, 1997. Mr. Murphy assigned an articled student, Mr. Garner, to handle the hearing. Mr. Murphy met with Mr. Garner and discussed the strategy for the hearing. Mr. Murphy instructed Mr. Garner that he should not seek to have Mr. Haslam testify at that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October 2, 1997, the WCB Review Board heard the oral appeal of the December 10, 1996 judgment. Mr. Garner was counsel for Mr. Urban. The only witnesses at the hearing were Mr. Urban, Ms. Miller, and Mr. Garay. The WCB provided notice to Mr. Haslam of the hearing, but he did not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Murphy testified that he deliberately chose not to have Mr. Haslam called as a witness on Mr. Urban's behalf at the hearing. It was Mr. Murphy's view that calling Mr. Haslam was more likely to hurt than help Mr. Urban's case. Mr. Murphy was of the view that there was a significant risk that if Mr. Haslam appeared in person, he would give sworn testimony consistent with his unsworn statements to the WCB. If so, Mr. Urban's position would be worse than if Mr. Haslam's evidence was only in the form of the statements. Mr. Murphy explained that he hoped that the tribunal would give little weight to the unsworn evidence of Mr. Haslam.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May 8, 1998, the WCB Review Board denied the appeal. They concluded that both Mr. Urban and Mr. Haslam were self-employed individuals, and did not have an employer-employee relationship. The three member panel's written findings are six pages long. They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Garry [sic], the homeowner, attended the hearing, and stated to the panel that he had witnessed the accident. He had hired Mr. Haslam after he had seen him top trees on neighbours' properties. He witnessed both Mr. Haslam and Mr. Urban attending his residence in one truck. Mr. Haslam unloaded the truck, however, both unloaded the chainsaws.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Haslam was adamant there was no agreement to pay Mr. Urban. He had just come along for the ride. ... Mr. Haslam agreed it would appear to the homeowner that Mr. Urban was assisting Mr. Urban [sic] with this work, and in fact he could be considered an employee by the homeowner; however, there was no payment for services, he had simply come along because he had nothing else to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Urban told the panel he knew Mr. Haslam was a certified arborist, and said that he had worked with Mr. Haslam on 10 jobs and had been paid by Mr. Urban for his previous jobs. They had a casual employment relationship. Mr. Haslam would pay him $20 per hour when he worked for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panel asked Mr. Urban why he did not file a Workers' Compensation claim right away. He told the panel that he remembered being asked in Emergency if it was work related, and he said he didn't know and he filed a claim when he realized how serious his injury was.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Loretta Miller, Mr. Urban's wife, also gave evidence at the hearing stating Mr. Urban worked for Mr. Haslam on the ground, using chainsaw [sic], and he was paid cash at the end of each day. She never actually saw him get paid, but it was always a work relationship. She stated that after the accident Mr. Urban was not himself. The panel asked Mrs. Miller about bookkeeping. She stated they always kept the books, whether it was cash or cheques, and with reference to the tax notice on file setting out that there are back taxes owing, Mrs. Miller said they had done the books up to date only.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panel asked Mr. Urban how much he had been paid on the date of injury, and he said he couldn't remember, probably about $30.00.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Urban told the panel that he and Mr. Haslam had an arrangement in which they would both look for jobs, and whoever found the job would be the boss on the job. Mr. Urban would use his skidder, and Mr. Haslam would cut down the trees, and they were always paid cash for their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Urban said for many years he had his own compensation as he was his own boss, and took out his own 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 under appeal sets out the definition of a worker and what is required to satisfy the status. Mr. Urban submits that Section 1 of the Act, in particular the definition of a worker which includes, "a person who has entered into or works under a contract of service or an apprenticeship, written or oral, express or implied, whether by way of manual labour or otherwise" has been satisfied in this instance because he was asked by Mr. Haslam to attend a job to assist in cutting down a tree on a residence lot.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and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panel denies Mr. Urban's appeal. We find, based on all of the information received at the oral hearing and after a review of the file contents, that Mr. Urban could not be considered a worker as of January 2, 1996. The panel finds as a fact that Mr. Urban attended a job site with Mr. Haslam on January 2, 1996, at which time a branch struck Mr. Urban and injured him. Was Mr. Urban a bystander or worker at that time? Clearly Mr. Urban was assisting Mr. Haslam because the witness indicated that Mr. Urban cleared some of the branches during the 30 minutes of the tree trimming, and Mr. Urban assisted in removing some of the chainsaws from Mr. Haslam's vehicle. However, the panel does not accept that Mr. Urban received income from Mr. Haslam. There is no evidence received by the panel via the bookkeeping system that Mr. Urban's wife says they kept, nor any evidence other than Mr. Urban's statement that he received income for his services. As a result, we find it unlikely that Mr. Urban received any monies from Mr. Haslam on January 2, 1996, other than a possible package of cigarettes.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to the panel that Mr. Urban and Mr. Haslam were friends, and that friendship involved Mr. Haslam assisting Mr. Urban in getting jobs for himself as a skidder operator. The panel accepts Mr. Urban's evidence in that they would try to find jobs for each other. If through contacts with the residents and employers on Garbriola Island someone required an arborist and Mr. Urban heard about it, he would recommend Mr. Haslam. Conversley [sic], if Mr. Haslam found that the residents or employers on Gabriola Island required a skidder operator, he would recommend Mr. Urban. It appears to the panel that both Mr. Urban and Mr. Haslam were self-employed individuals, and did not have an employer employee relationship. The panel denies the appeal for the above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Urban had a right to appeal the Review Board's decision to the Appeal Division, and formally did so through Mr. Murphy's May 25, 1998 letter. Mr. Murphy elected on Mr. Urban's behalf that this appeal would proceed by written submissions without any oral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May 26, 1998, Mr. Murphy commenced Mr. Urban's lawsuit against Mr. Haslam. He was of the view that the commencement of the limitation period had been postponed by the Limitation Act and that as a result the claim was not statute-barred. Mr. Murphy testified that he commenced the lawsuit as a tactic to persuade Mr. Haslam to change his evidence to match Mr. Urban's. Mr. Murphy testified that he did not expect to proceed with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written submissions to the WCB Appeal Division dated September 30, 1998, Mr. Murphy argued that Mr. Urban was a worker even if Mr. Haslam paid him by buying groceries or cigarettes. He wrote that the methodology of payment and kind of payment was irrelevant to the question of whether or not Mr. Urban was a worker. He also wrote that Mr. Garay thought that Mr. Urban was working with Mr. Haslam, and paid Mr. Haslam cash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Murphy's submission also enclosed Mr. Urban's list of other jobs. This list includes information about some jobs that Mr. Urban says he performed with Mr. Haslam, both before and after the accident. It also provides information on some other potential witnesses to other matters, such as Mr. Urban's condition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By letter dated April 29, 1999, the WCB Appeal Division advised Mr. Urban that the appeal had failed. The decision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claimant and Mr. H[aslam] apparently became friends. In fact, at the Review Board hearing, the claimant indicated that they were still friends and continued to see each other once or twice per week. He said he did not bring Mr. H[aslam] to the hearing because Mr. H[aslam] was not cooperating with respect to this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At the Review Board hearing, the claimant stated that he did his last drywall job in January 1995. This is perhaps inaccurate because the Board opened a claim for a rib injury on March 21, 1995 which was suspended because the claimant did not provide any information.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Review Board hearing, the claimant indicated that he had done some work for Mr. H[aslam] prior to January 2, 1996 as well as after that date. He said that he did ground work when Mr. H[aslam] was topping or cutting down trees and that Mr. Haslam usually paid him between $12.00 and $15.00 per hour. He said that sometimes he was paid $20.00 per hour. He also said that Mr. H[aslam] always paid him cash. He had no record of the payments made to him by Mr. H[aslam], although his spouse testified that he always kept records of payments of cheques and cash received.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H[aslam] told the field officer he was not registered with the Board. He said he had no employees and worked alone. He would drop by to see the claimant and have coffee with him in the morning and would invite the claimant to go with him to his jobs if he wasn't doing anything else. He was trying to motivate the claimant who was not working steadily. He said that, on January 2, 1996, he invited the claimant to come to the job with him and hang out'. On the way to the job, he stopped to buy cigarettes and gave a package to the claimant because the claimant was his friend. He said that the claimant moved some branches around while at Mr. G[aray]'s home. However, he had not hired the claimant to do that. He said that the claimant had assisted him on three or four other occasions but had helped him out as a friend.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order for the claimant's appeal to succeed, I must be satisfied that there was, at the very least, an implied contract of service. The evidence in favour of such a finding includes the fact that the claimant was stacking some branches on the property at the time of the injury, the fact that Mr. G[aray] thought he was working, and the fact that the claimant had accompanied Mr. H[aslam] to other jobs and engaged in similar activities. However, I find that this evidence is outweighed by the contrary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conclusion of the Review Board panel was largely based on the fact that they did not accept that the claimant was paid by Mr. H[aslam] for anything he did to assist Mr. H[aslam] at job sites. I have considered the argument advanced on behalf of the claimant that the Review Board panel placed too much emphasis on this question. However, I find the Review Board panel was correct in doing so. Since, in order to allow the claimant's appeal, I must be satisfied that he was working for Mr. H[aslam] under a contract of service, it is relevant to consider whether there is evidence of payment or consideration flowing from Mr. H[aslam] to the claimant. Item #6.20 recognizes this in stating that a worker is usually paid.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Review Board hearing, the claimant and his spouse both testified that the claimant was paid cash by Mr. H[aslam] for the assistance he provided to him. The Review Board panel did not accept this evidence. The worker did not request an oral hearing of his appeal to the Appeal Division. I have considered whether an oral hearing is required because the Review Board panel placed little weight on the evidence given by the claimant and his spouse. However, I have determined that I can weigh the evidence without holding an oral hearing. Assessing the credibility of a witness and determining the weight to be put on his or her evidence involves more than assessing his or her demeanour at an oral hearing. It also involves the extent to which explanations provided in the evidence are reasonable and consistent with other evidence. I have listened to the audio tape for the Review Board hearing. In the absence of corroboration of the claimant's statement that he was paid cash by Mr. H[aslam] (in addition to the corroboration provided by his spouse), I find that he was not paid cash by Mr. H[aslam]. Mr. H[aslam] denied that he paid the claimant. The claimant, who apparently usually kept records of the cash and cheques he received, has no record of the cash he received from Mr. H[aslam]. In addition, at the time of the Review Board hearing, he had not declared any income received by Mr. H[aslam] to Revenue Canada. I note that the expectation that there be some corroboration of payments made to the claimant is consistent with the approach in governors' policy in item #66.11 of the Manual which relates to the computation of average earnings.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consideration flowed from Mr. H[aslam] to the claimant, I have also considered whether the cigarettes Mr. H[aslam] purchased for the claimant on the day of the accident constitutes evidence of a contract. Given the evidence that the claimant and Mr. H[aslam] were friends, I find that the purchase of the cigarettes by Mr. H[aslam] constituted a gesture of friendship.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the fact that the claimant did not tell the personnel who saw him at the hospital on January 2, 1996 that he was involved in a compensable accident also weighs in favour of the conclusion that he was not a worker of Mr. H[aslam].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Mr. H[aslam]'s explanation that the claimant accompanied him to the work site on January 2, 1996 because the claimant wasn't doing anything else that day and he invited the claimant along to spend time with him. I find the evidence supports the conclusion that the assistance the claimant provided to Mr. H[aslam] was provided as a friend and not pursuant to a contract of service. While I recognize that there can be contracts of service for work of a very casual nature, I find the evidence is insufficient for me to conclude with any confidence that there was a contract of service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the claimant was not a worker under the Act at the time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appeal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October 1998, Mr. Haslam filed his statement of defence alleging among other things that Mr. Urban's claim was barred by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Urban and Ms. Miller were foreclosed out of their property in the spring of 1998, being about one year after the original redemption date in the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Murphy ceased acting for Mr. Urban prior to April 2001. Mr. Urban and Ms. Miller commenced this lawsuit against Mr. Murphy on April 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Urban says that his common-law wife, Ms. Miller, left him sometime around 2002. He says that he was unable to support himself and his son, and so they moved to Saskatoon where they now live with Mr. Urban's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Urban says that since the accident he has suffered chronic fatigue. He says that he typically sleeps about as much as he is awake. He says that he gets up at six or seven a.m., gets his son who is now 19 off to work, and stays up for another hour or so and then sleeps for a couple of hours. He says he then gets up and tries to do things, stopping to sleep every short 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Urban testified that he suffers from a feeling that his head is numb and from a lack of concentration. Mr. Urban says that he does not socialize much because he has trouble concentrating on what people tell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Murphy breach the duty of care that he owed to Mr. Urban in the conduct of the proceedings before the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 lawyer is required to bring the care, skill and knowledge of a reasonably competent lawyer to the performance of the professional service which he has undertaken. See for example Central Trust Company v. Rafuse </w:t>
      </w:r>
      <w:hyperlink r:id="rId542" w:history="1">
        <w:r>
          <w:rPr>
            <w:rFonts w:ascii="arial" w:eastAsia="arial" w:hAnsi="arial" w:cs="arial"/>
            <w:i/>
            <w:color w:val="0077CC"/>
            <w:sz w:val="20"/>
            <w:u w:val="single"/>
            <w:shd w:val="clear" w:color="auto" w:fill="FFFFFF"/>
            <w:lang w:val="en-US" w:eastAsia="en-US" w:bidi="ar-SA"/>
          </w:rPr>
          <w:t>(1986), 31 D.L.R. (4th) 481</w:t>
        </w:r>
      </w:hyperlink>
      <w:r>
        <w:rPr>
          <w:rFonts w:ascii="arial" w:eastAsia="arial" w:hAnsi="arial" w:cs="arial"/>
          <w:color w:val="000000"/>
          <w:sz w:val="20"/>
          <w:lang w:val="en-US" w:eastAsia="en-US" w:bidi="ar-SA"/>
        </w:rPr>
        <w:t xml:space="preserve"> at 523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Urban's counsel argued that Mr. Murphy was negligent in his conduct of the WCB proceedings by failing to call several witnesses to give evidence at the hearing on October 2, 1997 and on a further appeal, and by failing to provide pertinent documentation to the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law as in medicine and other professions, the practitioner must exercise reasonable judgment. However, in questions of judgment, competent practitioners may disagree. A professional is not negligent merely because his or her conclusions differ from that of other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legal test for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lawyer's exercise of judgment is whether that lawyer has been guilty of such failure as no lawyer of ordinary skill would be guilty of if acting with ordinary care. This principle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discussed with respect to doctors by the House of Lords in Maynard Little v. Westmidlands Regional Health Authority, [1985] 1 All E.R. 635 and by our Court of Appeal in Belknap v. Meakes </w:t>
      </w:r>
      <w:hyperlink r:id="rId543"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It is discussed with respect to lawyers in Bartolovic v. Bennett, </w:t>
      </w:r>
      <w:hyperlink r:id="rId544" w:history="1">
        <w:r>
          <w:rPr>
            <w:rFonts w:ascii="arial" w:eastAsia="arial" w:hAnsi="arial" w:cs="arial"/>
            <w:i/>
            <w:color w:val="0077CC"/>
            <w:sz w:val="20"/>
            <w:u w:val="single"/>
            <w:shd w:val="clear" w:color="auto" w:fill="FFFFFF"/>
            <w:lang w:val="en-US" w:eastAsia="en-US" w:bidi="ar-SA"/>
          </w:rPr>
          <w:t>[1996] O.J. No. 961</w:t>
        </w:r>
      </w:hyperlink>
      <w:r>
        <w:rPr>
          <w:rFonts w:ascii="arial" w:eastAsia="arial" w:hAnsi="arial" w:cs="arial"/>
          <w:color w:val="000000"/>
          <w:sz w:val="20"/>
          <w:lang w:val="en-US" w:eastAsia="en-US" w:bidi="ar-SA"/>
        </w:rPr>
        <w:t xml:space="preserve"> (General Division) and cases cited therein.</w:t>
      </w:r>
      <w:r>
        <w:rPr>
          <w:rFonts w:ascii="arial" w:eastAsia="arial" w:hAnsi="arial" w:cs="arial"/>
          <w:sz w:val="20"/>
          <w:lang w:val="en-US" w:eastAsia="en-US" w:bidi="ar-SA"/>
        </w:rPr>
        <w:cr/>
      </w:r>
    </w:p>
    <w:p>
      <w:pPr>
        <w:numPr>
          <w:numId w:val="1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Murphy negligent in failing to call Mr. Haslam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a question of judgement whether a lawyer will call a witness. Mr. Murphy considered that the potential harm to Mr. Urban's case of Mr. Haslam providing sworn evidence consistent with his previous evidence outweighed the potential benefit to Mr. Urban's case if Mr. Haslam either changed his evidence to correspond with Mr. Urban's, or was discredited as a consequence of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Both parties provided expert evidence from lawyers with experience in WCB proceedings. Mr. Urban relied on Mr. Gosal's opinion that "Mr. Murphy's evidentiary shortcomings and tactical error resulted in an adverse finding from the appeal panel." Mr. Gosal opined that Mr. Murphy should have asked the panel to subpoena Mr. Haslam to provide sworn evidence, and also should have tried to contact former employees of Mr. Haslam and obtain oral or written statements confirming the hiring of paid assistance. Oddly, Mr. Gosal's opinion did not refer to contacting other homeowners, which Mr. Urban's counsel at this trial argued was a negligent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Brun gave expert evidence at the request of defence counsel. He pointed out that the WCB proceeds on an inquiry system rather than an adversarial system. He referred to the rehabilitation services and claims manual item number 98.27,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inquiry system (contrary to the adversary system), there is no right of cross-examination of the parties or witnesses. If, in the process of an inquiry, one of the parties wishes to ask a question of the person whose evidence has been taken, the question should be referred to the interviewer conducting the inquiry who, in turn, can relay the question if it is felt it would be helpful. Cross-examination may, however, sometimes be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Brun opined that the conduct of Mr. Murphy and his articling student in preparing for and appearing before the Review Board and Appeal Division met the standard of a reasonably competent legal practitioner in the province of British Columbia. Mr. Brun was also of the opinion that it was prudent in the circumstances to not have Mr. Haslam subpoenaed, essentially because the risk that he would give harmful evidence confirming his statements outweighed the possibility he would give helpful evidence contradicting his previous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accept the opinion of Mr. Brun. His opinion was clearly directed to the standard of a reasonably competent solicitor. In contrast, Mr. Gosal's opinion appeared to be more a statement, with the benefit of hindsight, of what Mr. Gosal believed he would do in the circumstances. During cross-examination, Mr. Gosal volunteered that he would not call a witness if he knew they would give evidence against his client's position. This accords with common sense and illustrates the question of judgement for counsel in whether a witness should be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speculation that Mr. Haslam might have changed his evidence, and that speculation was not supported by any evidence from Mr. Haslam at this trial. It is more likely that Mr. Haslam's evidence would have been consistent with his previous statements than that he would have changed his evidence and contradicted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Murphy's decision not to request Mr. Haslam's attendance at the Review Board hearing was an exercise of judgement which met the standard of a reasonably competent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With respect to the further WCB appeal, the same considerations apply. Mr. Murphy reasonably planned his strategy on the basis that Mr. Haslam's sworn evidence was more likely to be harmful that helpful at the Review Board hearing, and there is no basis for suggesting that things would have been any different in proceedings before the Appeal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Murphy's strategy at the Appeal Division was to argue that the evidence accepted at the Review Board hearing supported a legal determination that Mr. Urban had been a "worker". Unfortunately for Mr. Urban, that strategy failed. However, Mr. Murphy did not breach the standard of care by failing to seek an oral hearing before the Appeal Division.</w:t>
      </w:r>
      <w:r>
        <w:rPr>
          <w:rFonts w:ascii="arial" w:eastAsia="arial" w:hAnsi="arial" w:cs="arial"/>
          <w:sz w:val="20"/>
          <w:lang w:val="en-US" w:eastAsia="en-US" w:bidi="ar-SA"/>
        </w:rPr>
        <w:cr/>
      </w:r>
    </w:p>
    <w:p>
      <w:pPr>
        <w:numPr>
          <w:numId w:val="1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Murphy negligent in failing to call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Urban's counsel also argued that Mr. Murphy was negligent in failing to obtain evidence from other witnesses, being other employees who assisted Mr. Haslam, and other homeowners who saw Messrs. Urban and Haslam working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respect to other homeowners, Mr. Urban's counsel argued that evidence they had observed Mr. Urban assisting Mr. Haslam would have convinced the tribunal that Mr. Urban was a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However, there was no need for further evidence on the question of whether Mr. Urban had assisted Mr. Haslam at sites other than Mr. Garay's property. Mr. Haslam had admitted that Mr. Urban had assisted him at other locations, and Mr. Garay's evidence supported that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important factual question considered by the WCB was whether Mr. Haslam paid Mr. Urban for the work, as asserted by Mr. Urban. Mr. Urban's evidence was that Mr. Haslam paid him cash in the car, when only Mr. Urban and Mr. Haslam were there to see the transaction. It is unlikely that any of these potential witnesses could have seen the money change hands, or could provide any other helpful evidence about whether Mr. Haslam paid Mr. Urban.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 respect to other employees who assisted Mr. Haslam, Mr. Urban's position was that if it could be shown that Mr. Haslam had paid others for assistance, the WCB would have concluded that Mr. Urban would have been paid too. However, there was no evidence that others had worked on a casual part-time basis similar to that alleged by Mr. Urban. There is no basis for concluding that someone who had worked for Mr. Haslam on other occasions could have provided evidence helpful on the issue of whether Mr. Haslam paid Mr. Urban.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None of these alleged potential further witnesses were called to testify before me. The plaintiff has not established that any of these other potential witnesses could have assisted Mr. Urban's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a result, Mr. Murphy's exercise of judgement in deciding not to call those other possible witnesses at either the Review Board hearing or to the Appeal Division also met the standard of a reasonably competent solicitor.</w:t>
      </w:r>
      <w:r>
        <w:rPr>
          <w:rFonts w:ascii="arial" w:eastAsia="arial" w:hAnsi="arial" w:cs="arial"/>
          <w:sz w:val="20"/>
          <w:lang w:val="en-US" w:eastAsia="en-US" w:bidi="ar-SA"/>
        </w:rPr>
        <w:cr/>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Murphy negligent in failing to provide further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Urban's counsel suggested that Mr. Murphy ought to have ensured that further documentation was provided to the WCB. However, the only documentation that Mr. Urban tendered at trial which was not provided to the WCB were documents prepared by or for Mr. Urban, well after the work was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For example, Mr. Urban provided a calculation showing that he had received $150 from Mr. Haslam in 1995. This document was apparently prepared by an accountant in November 1997, in connection with Mr. Urban filing revised income tax returns. The accountant's note stated that Mr. Urban filed the 1995 return and that some income and expenses were overlooked, and requested a reassessment of Mr. Urban's 1995 return in light of this new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This documentation from November 1997 was not in existence at the time of the October 2, 1997 hearing before the Review Board. In any event, it appears to be based entirely on Mr. Urban's advice, and adds nothing to what was available through his own testimony. It does not provide the independent documentary corroboration of payment that can exist when the employer's records include cancelled cheques, payroll notations, or other similar references to the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Similarly, Mr. Urban provided a handwritten list of eight jobs with a total of $305.00 listed as income. It provides the job address, hours worked, whether the work was in 1995 or 1996, and the income. Again, this document adds nothing to what was available through Mr. Urban's own testimony. It does not provide an independent documentary corroboration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is not likely that Mr. Urban's evidence would have been accepted if these further documents had been provided to the WCB. They simply record some of his evidence in written form. There was no evidence suggesting that a reasonably competent lawyer would have sought to provide the WCB with these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Accordingly, Mr. Murphy met the standard of care of a reasonably competent solicitor in his conduct of proceedings before the WCB.</w:t>
      </w:r>
      <w:r>
        <w:rPr>
          <w:rFonts w:ascii="arial" w:eastAsia="arial" w:hAnsi="arial" w:cs="arial"/>
          <w:sz w:val="20"/>
          <w:lang w:val="en-US" w:eastAsia="en-US" w:bidi="ar-SA"/>
        </w:rPr>
        <w:cr/>
      </w:r>
    </w:p>
    <w:p>
      <w:pPr>
        <w:numPr>
          <w:numId w:val="1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Murphy breach the duty of care that he owed to Mr. Urban in failing to commence proceedings against Mr. Garay?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It is Mr. Urban's position that Mr. Murphy ought to have commenced an action against Mr. Garay under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It is Mr. Murphy's position that there is no basis for such a claim and it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 plaintiff who alleges that a lawyer negligently failed to commence a lawsuit within the limitation period must show that, if the lawyer had exercised a reasonable degree of skill and care, the plaintiff would have had a reasonable prospect of success in the litigation. This requires the court in a legal malpractice case to conduct a "trial within a trial", that is, to try the claim the plaintiff alleges ought to have been started by the lawyer. See Cridge v. de Vooght, </w:t>
      </w:r>
      <w:hyperlink r:id="rId545" w:history="1">
        <w:r>
          <w:rPr>
            <w:rFonts w:ascii="arial" w:eastAsia="arial" w:hAnsi="arial" w:cs="arial"/>
            <w:i/>
            <w:color w:val="0077CC"/>
            <w:sz w:val="20"/>
            <w:u w:val="single"/>
            <w:shd w:val="clear" w:color="auto" w:fill="FFFFFF"/>
            <w:lang w:val="en-US" w:eastAsia="en-US" w:bidi="ar-SA"/>
          </w:rPr>
          <w:t>[2004] B.C.J. No. 130</w:t>
        </w:r>
      </w:hyperlink>
      <w:r>
        <w:rPr>
          <w:rFonts w:ascii="arial" w:eastAsia="arial" w:hAnsi="arial" w:cs="arial"/>
          <w:color w:val="000000"/>
          <w:sz w:val="20"/>
          <w:lang w:val="en-US" w:eastAsia="en-US" w:bidi="ar-SA"/>
        </w:rPr>
        <w:t xml:space="preserve">; Liu v. West Granville Manor Ltd., </w:t>
      </w:r>
      <w:hyperlink r:id="rId546" w:history="1">
        <w:r>
          <w:rPr>
            <w:rFonts w:ascii="arial" w:eastAsia="arial" w:hAnsi="arial" w:cs="arial"/>
            <w:i/>
            <w:color w:val="0077CC"/>
            <w:sz w:val="20"/>
            <w:u w:val="single"/>
            <w:shd w:val="clear" w:color="auto" w:fill="FFFFFF"/>
            <w:lang w:val="en-US" w:eastAsia="en-US" w:bidi="ar-SA"/>
          </w:rPr>
          <w:t>[1986] B.C.J. No. 3070</w:t>
        </w:r>
      </w:hyperlink>
      <w:r>
        <w:rPr>
          <w:rFonts w:ascii="arial" w:eastAsia="arial" w:hAnsi="arial" w:cs="arial"/>
          <w:color w:val="000000"/>
          <w:sz w:val="20"/>
          <w:lang w:val="en-US" w:eastAsia="en-US" w:bidi="ar-SA"/>
        </w:rPr>
        <w:t xml:space="preserve">; Kitchen v. Royal Air Force Officers' Association, [1958] 2 All E.R. 241; and Prior v. McNab </w:t>
      </w:r>
      <w:hyperlink r:id="rId547" w:history="1">
        <w:r>
          <w:rPr>
            <w:rFonts w:ascii="arial" w:eastAsia="arial" w:hAnsi="arial" w:cs="arial"/>
            <w:i/>
            <w:color w:val="0077CC"/>
            <w:sz w:val="20"/>
            <w:u w:val="single"/>
            <w:shd w:val="clear" w:color="auto" w:fill="FFFFFF"/>
            <w:lang w:val="en-US" w:eastAsia="en-US" w:bidi="ar-SA"/>
          </w:rPr>
          <w:t>(1976), 78 D.L.R. (3d) 319</w:t>
        </w:r>
      </w:hyperlink>
      <w:r>
        <w:rPr>
          <w:rFonts w:ascii="arial" w:eastAsia="arial" w:hAnsi="arial" w:cs="arial"/>
          <w:color w:val="000000"/>
          <w:sz w:val="20"/>
          <w:lang w:val="en-US" w:eastAsia="en-US" w:bidi="ar-SA"/>
        </w:rPr>
        <w:t xml:space="preserve"> (Ont. H.C.). In this case, the court must assess whether Mr. Urban had a reasonable prospect of success in claims against both Messrs. Garay and Haslam.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Occupiers Liability Act provides as follows in section 3 and section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1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2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2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Despite section 3(1), if damage is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engaged by the occupier, the occupier is not on that account liable under this Act if, in all the circumstances,</w:t>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exercised reasonable care in the selection and supervision of the independent contractor, and</w:t>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reasonable that the work that the independent contractor was engaged to do should have been undertaken.</w:t>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Subsection (1) must not be construed as restricting or excluding the liability, imposed by any other Act, of an occupier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occupier's independent contractor.</w:t>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damage under the circumstances set out in subsection (1), and there is more than one occupier of the premises, each occupier is entitled to rely on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Urban's position was that Mr. Garay failed to take reasonable care in selecting and supervising Mr. Haslam. Mr. Urban's counsel argued that Mr. Garay's supervision ought to have ensured that Mr. Urban stood further from the tree at the time of the final cuts. Mr. Urban also argued that Mr. Garay's selection of Mr. Haslam was negligent because Mr. Haslam did not have WCB coverage.</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Urban was standing at the place which Mr. Haslam pointed out, and Mr. Garay was standing beside Mr. Urban. In the circumstances of this case, it is reasonable to assume that all three men thought that the location was a safe distance from the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only evidence at trial concerning the circumstances of the accident was Mr. Urban's evidence. His description of the relevant distances was unreliable. Mr. Urban testified that the trunk of the arbutus tree grew vertically to a height of 20 to 40 feet, and then grew horizontally for about 100 feet. He also testified that he and Mr. Garay stood where Mr. Haslam told him to stand, and that the spot was 40 to 100 feet away from the trunk of the tree in the opposite direction from the branch being severed from the tree. His written statements and statements to others about distances varied as set out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the balance of probabilities, the portion of the tree which Mr. Haslam was cutting was 20 to 25 feet above the ground, and Messrs. Garay and Urban were standing 50 to 60 feet from the vertical part of the trunk.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was reasonable for them to stand there. The people on site would naturally expect that the tree would fall down to the ground. There was no reason to anticipate that part of it would fly out more than 50 feet. That was a highly unusual and unfortunate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By standing where they did, Mr. Urban and Mr. Garay demonstrated their belief that they were standing in a safe place. The evidence does not support the assertion that Mr. Garay failed to exercise reasonable care in respect of where Mr. Urban stood at the time of the accident.</w:t>
      </w:r>
      <w:r>
        <w:rPr>
          <w:rFonts w:ascii="arial" w:eastAsia="arial" w:hAnsi="arial" w:cs="arial"/>
          <w:sz w:val="20"/>
          <w:lang w:val="en-US" w:eastAsia="en-US" w:bidi="ar-SA"/>
        </w:rPr>
        <w:cr/>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Pierce also argued on behalf of Mr. Urban that Mr. Garay failed to exercise reasonable care in selecting and supervising Mr. Haslam, because he failed to ensure that Mr. Haslam had arranged WCB coverage for Mr. Urban.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 homeowner does not have a duty to make such an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Urban testified that he worked for Mr. Haslam as a grounds man on four occasions prior to the day of the accident. There was no suggestion that any of these other homeowners asked about such coverage. In fact, it can be inferred that they did not, since if they had asked, it might have drawn the issue to Mr. Urban's attention and he might have acted differently. It is difficult to see why a homeowner would have a duty to inquire about the arrangements between Mr. Haslam and Mr. Urban without Mr. Urban having a similar duty to look after his own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a result, any occupier's liability claim by Mr. Urban against Mr. Garay was bound to fail. Mr. Murphy did not breach his duty of care by failing to commence a lawsuit against Mr. Garay during the time he was acting for Mr. Urban.</w:t>
      </w:r>
      <w:r>
        <w:rPr>
          <w:rFonts w:ascii="arial" w:eastAsia="arial" w:hAnsi="arial" w:cs="arial"/>
          <w:sz w:val="20"/>
          <w:lang w:val="en-US" w:eastAsia="en-US" w:bidi="ar-SA"/>
        </w:rPr>
        <w:cr/>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Murphy breach the duty of care that he owed to Mr. Urban in failing to commence the action against Mr. Haslam prior to January 2,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Urban alleged that Mr. Murphy was negligent in failing to commence the lawsuit against Mr. Haslam earlier. Again, the court must consider whether, on the basis of the evidence at the legal malpractice trial, Mr. Urban had a reasonable prospect of success in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Mr. Murphy did not breach his duty to Mr. Murphy in respect of the claim against Mr. Haslam. As with Mr. Garay, the evidence at this legal malpractice trial established that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Haslam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is unusual that Mr. Murphy argued that the lawsuit he started against Mr. Haslam was bound to fail, and that it was intended as a tactic to put pressure on Mr. Haslam. The court cannot condone lawyers commencing lawsuits they believe lack merit. However, whether Mr. Murphy acted ethically in starting the lawsuit against Mr. Haslam is a question for the Law Society, not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court must assess the evidence at trial to determine whether there is merit to the claim. The fact that Mr. Murphy started the lawsuit does not establish that there was merit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stated above, the only evidence about what occurred came from Mr. Urban. There was no expert report about what a reasonably competent faller would have done in Mr. Haslam's circumstances. Mr. Urban's speculation about that was not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discussed above concerning the claim against Mr. Garay, on the evidence at this legal malpractice trial, it was reasonable for Mr. Haslam to have permitted Messrs. Urban and Garay to stand where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However, the lawsuit against Mr. Haslam has not been dismissed, and it is possible that it will still proceed. If so, the evidence at that trial may differ from the evidence in this legal malpractice trial, and it is possible that there will be a different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Accordingly, because the claim against Mr. Haslam was bound to fail, Mr. Murphy did not breach his duty of care to Mr. Urban with respect to the timing of the issuance of the writ of summons against Mr. Haslam.</w:t>
      </w:r>
      <w:r>
        <w:rPr>
          <w:rFonts w:ascii="arial" w:eastAsia="arial" w:hAnsi="arial" w:cs="arial"/>
          <w:sz w:val="20"/>
          <w:lang w:val="en-US" w:eastAsia="en-US" w:bidi="ar-SA"/>
        </w:rPr>
        <w:cr/>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light of my finding that Mr. Murphy did not breach his duty of care to Mr. Urban, it is unnecessary to consider issues of causation 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Urban suffered injury in a freak tree-cutting accident. The WCB denied his claim on the basis that he was not a "worker". Unfortunately, Mr. Urban's appeals failed. However, Mr. Murphy's legal assistance regarding those appeals met the standard of a reasonably competent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Urban's possible claims against Messrs. Garay and Haslam were bound to fail, because on the evidence at this legal malpractice trial, they met their duty to take reasonable care with respect to the tree-cutting. Mr. Murphy met the standard of a reasonably competent solicitor with respect to possible claims against Messrs. Garay and Haslam.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Murphy did not breach his duty of care to Mr. Urban, and therefore Mr. Urban's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Both parties sought leave to make submissions on costs after the judgment was released. It may be possible to resolve this on the basis of written submissions without the need to schedule an oral hearing. However, that cannot be determined until the written submissions have been exchanged.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Accordingly, the parties may provide written submissions on the issue of costs on the following schedule. Counsel for the defence is to provide the Court and plaintiff's counsel with written submissions on costs by October 15, 2004. The plaintiffs are to provide their submissions on costs by November 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defendant's reply submissions on costs, if any, are to be provided by November 21,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2"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Watt v. Hicks, 2008 CHFL para. 15,516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Master Donaldson</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January 31,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S051555</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2008</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2008 CHFL para. 15,516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2008 BCSC 117</w:t>
        </w:r>
      </w:hyperlink>
    </w:p>
    <w:p>
      <w:pPr>
        <w:spacing w:before="120" w:line="260" w:lineRule="atLeast"/>
        <w:rPr>
          <w:lang w:val="en-US" w:eastAsia="en-US" w:bidi="ar-SA"/>
        </w:rPr>
      </w:pPr>
      <w:r>
        <w:rPr>
          <w:rFonts w:ascii="arial" w:eastAsia="arial" w:hAnsi="arial" w:cs="arial"/>
          <w:color w:val="000000"/>
          <w:sz w:val="20"/>
          <w:lang w:val="en-US" w:eastAsia="en-US" w:bidi="ar-SA"/>
        </w:rPr>
        <w:t>Watt v. Hicks, Wong, Fraser Health Authority (Langley Memorial Hospital), Doe, and Roe</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3" style="position:absolute;z-index:2516992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61" w:name="Keywords_38"/>
      <w:bookmarkEnd w:id="261"/>
      <w:r>
        <w:rPr>
          <w:rFonts w:ascii="arial" w:eastAsia="arial" w:hAnsi="arial" w:cs="arial"/>
          <w:b/>
          <w:color w:val="000000"/>
          <w:sz w:val="20"/>
          <w:lang w:val="en-US" w:eastAsia="en-US" w:bidi="ar-SA"/>
        </w:rPr>
        <w:t>Practice and procedure — Application by physicians to strike jury notice in patient's action — Application dismissed — Novel issue raised about whether one physician was negligent for not advising patient that she could obtain second opinion and whether that alleged misrepresentation voided the consent obtained by other physician — Trial judge could deal with that issue in jury charge if evidence supported patient's claim.</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62" w:name="Case Summary_37"/>
            <w:bookmarkEnd w:id="262"/>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application by the defendants, Drs. Wong and Hicks, to strike a jury notice in the plaintiff's action. In March 2003, Watt, the plaintiff, broke her leg. She was taken by ambulance to the emergency department at a hospital and was seen by Dr. Wong, who referred Watt to Dr. Hicks, an orthopaedic surgeon. Dr. Hicks performed surgery on her leg. Watt subsequently obtained an opinion from Dr. Meek, who operated on her leg. Watt commenced an action against Dr. Wong for negligent misrepresentation in relation to the consult with Dr. Hicks and against Dr. Hicks for his failure to obtain from her an informed consent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leg surgery and subsequent care he provided. Watt intended to call one medical expert relating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Wong and one medical expert relating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Hicks. Drs. Wong and Hicks intended to call two medical experts relating to the treatment provided by Dr. Hicks and one expert relating to an infection that was suffered by Watt. There would be 17 X-rays to be interpreted. The issue of damages would be complicated as a result of the various physicians involved in Watt's treatment and Watt's pre-existing condition. Drs. Wong and Hicks maintained that the issues in the case were complex and not suitable to be heard by a jury. </w:t>
            </w:r>
            <w:r>
              <w:rPr>
                <w:lang w:val="en-US" w:eastAsia="en-US" w:bidi="ar-SA"/>
              </w:rPr>
              <w:cr/>
            </w:r>
          </w:p>
          <w:p>
            <w:pPr>
              <w:spacing w:before="120" w:line="260" w:lineRule="atLeast"/>
              <w:ind w:left="240"/>
              <w:jc w:val="both"/>
              <w:rPr>
                <w:lang w:val="en-US" w:eastAsia="en-US" w:bidi="ar-SA"/>
              </w:rPr>
            </w:pPr>
            <w:bookmarkStart w:id="263" w:name="Holdings of Court_34"/>
            <w:bookmarkEnd w:id="263"/>
            <w:r>
              <w:rPr>
                <w:rFonts w:ascii="arial" w:eastAsia="arial" w:hAnsi="arial" w:cs="arial"/>
                <w:color w:val="000000"/>
                <w:sz w:val="20"/>
                <w:lang w:val="en-US" w:eastAsia="en-US" w:bidi="ar-SA"/>
              </w:rPr>
              <w:t>HELD: The application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 novel issue was raised about whether Dr. Wong was negligent for not advising Watt that she could obtain a second opinion, and whether that alleged misrepresentation voided the consent obtained by Dr. Hicks. However, the trial judge could deal with that issue in the charge given to the jury if the evidence supported Watt's claim. </w:t>
            </w:r>
            <w:r>
              <w:rPr>
                <w:lang w:val="en-US" w:eastAsia="en-US" w:bidi="ar-SA"/>
              </w:rPr>
              <w:cr/>
            </w:r>
          </w:p>
          <w:p>
            <w:pPr>
              <w:rPr>
                <w:lang w:val="en-US" w:eastAsia="en-US" w:bidi="ar-SA"/>
              </w:rPr>
            </w:pPr>
          </w:p>
        </w:tc>
      </w:tr>
    </w:tbl>
    <w:p>
      <w:pPr>
        <w:jc w:val="both"/>
        <w:rPr>
          <w:lang w:val="en-US" w:eastAsia="en-US" w:bidi="ar-SA"/>
        </w:rPr>
      </w:pPr>
      <w:bookmarkStart w:id="264" w:name="Counsel_39"/>
      <w:bookmarkEnd w:id="26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4" style="position:absolute;z-index:2517504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S.D. Gill for the plaintiff; M.G. Thomas for the defendants.</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016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Weaver v. Pollock, [2018] B.C.J. No. 597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30-31, June 1-3, 6-10, 13-15, 20, 23-24,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M126373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597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531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Douglas Weaver, Plaintiff, and Lindsay Pollock, B.C. Transit, Annie Roy, and Larry Roy,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(204 paras.)</w:t>
      </w:r>
    </w:p>
    <w:p>
      <w:pPr>
        <w:jc w:val="both"/>
        <w:rPr>
          <w:rFonts w:ascii="arial" w:eastAsia="arial" w:hAnsi="arial" w:cs="arial"/>
          <w:sz w:val="20"/>
          <w:lang w:val="en-US" w:eastAsia="en-US" w:bidi="ar-SA"/>
        </w:rPr>
      </w:pPr>
      <w:bookmarkStart w:id="265" w:name="Counsel_40"/>
      <w:bookmarkEnd w:id="2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6"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R.E. McCardell, S.R. Lerner.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Annie Roy and Larry Roy: J.A. Hemmerling, D. Graves.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6" w:name="Judgment_39"/>
      <w:bookmarkEnd w:id="266"/>
      <w:r>
        <w:pict>
          <v:line id="_x0000_s1217" style="position:absolute;z-index:2517514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7" w:name="G.D. BURNYEAT J."/>
            <w:bookmarkEnd w:id="267"/>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Weaver claims for injuries arising out of a November 19, 2010 motor vehicle collision ("Collision") for which liability is admitted by the Defendants, Annie Roy and Larry Roy. At the time of the Collision, Mr. Weaver was 63 years old and was driving his truck which was side-swiped by a vehicle driven by Ms. Roy. As a result of that impact, the vehicle of Mr. Weaver was forced into oncoming traffic and collided with a city bus. Mr. Weaver alleges that he suffered a number of injuries including a traumatic brain injury which has resulted in early neurocognitive disorder (dementia) as well as soft tissue injuries to his right shoulder and to his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PERSONAL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Weaver grew up in Ontario where he obtained his Bachelor of Science (Agriculture) degree in 1970 and a Master's of Business Administration in 1986. After obtaining his Bachelor of Science degree, Mr. Weaver worked as the Assistant Registrar and Associate Registrar at the University of Guelph between 1975 and 1989 and as the Registrar at McMaster University between 1989 and 1992. In 1992, Mr. Weaver completed his Canadian Securities course and, between 1992 and 1997, worked as an Investment Advisor for Nesbitt Burns. Mr. Weave moved to British Columbia in 1997. Since 2006, Mr. Weaver has been in a common-law relationship with Francine Collette.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Weaver is the President, sole Director and owner of 100% of the shares of Gryphon Enterprises Ltd. ("Gryphon"). Gryphon holds the "master franchise" for the Southern British Columbia region of Jani-King of Canada ("Jani-King Canada"). Since 2004, Gryphon has also held the master franchise for the South Eastern British Columbia region of Jani-King Canada. The head office of Gryphon is in Kelowna where Mr. Weaver and Ms. Collette reside. Gryphon provides cleaning services for businesses and financial institutions. Ms. Collette works with Mr. Weaver at Gryphon.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AND FAMILY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parents of Mr. Weaver remain alive in their 90's and continue to live independently. At Trial, Mr. Weaver stated that neither of his parents has a history of brain disease or have been diagnosed with Alzheimer's disease or dementia. Mr. Weaver has two younger siblings who are both in good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Weaver had a history of migraines that appeared to have resolved in his late 20's. Mr. Weaver was seen by a cardiologist on June 2, 2009 at the request of his family doctor, Dr. Louise Graham. At that time, Mr. Weaver was 62 years old. The problems being experienced by Mr. Weaver at the time were described by the cardiologist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recently, he has had some problems with intermittent lightheadedness. These symptoms were more prominent a few months ago. He described a lightheaded feeling but not actual presyncope. He felt more unsteady. This was worse with sudden movements of his head or rolling over in bed. At one point, his symptoms became persistent and he was seen in the Emergency Department. It was felt that he likely had vertigo although a Holter monitor was requested because he had a fair amount of heart rate variability when he was in the hospital as well. There was no significant bradycardia or pauses and no tachy arrhythmias while in the Emergency Department.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continues to have occasional bouts of lightheadedness which he notices particularly if he gets up quickly out of bed. He has had no actual presyncope. He has had no syncope. He denies palpitations. He denies chest pain or shortness of breath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SUMMARY: This gentleman has had intermittent lightheaded spells which sound fairly classic for vertigo. He has actually had no presyncope or syncope. His Holter monitor did show a restricted heart rate range which may be a sign of early sick sinus rhythm but no significant </w:t>
      </w:r>
      <w:r>
        <w:rPr>
          <w:rFonts w:ascii="arial" w:eastAsia="arial" w:hAnsi="arial" w:cs="arial"/>
          <w:i/>
          <w:color w:val="000000"/>
          <w:sz w:val="20"/>
          <w:lang w:val="en-US" w:eastAsia="en-US" w:bidi="ar-SA"/>
        </w:rPr>
        <w:t>pauses</w:t>
      </w:r>
      <w:r>
        <w:rPr>
          <w:rFonts w:ascii="arial" w:eastAsia="arial" w:hAnsi="arial" w:cs="arial"/>
          <w:color w:val="000000"/>
          <w:sz w:val="20"/>
          <w:lang w:val="en-US" w:eastAsia="en-US" w:bidi="ar-SA"/>
        </w:rPr>
        <w:t xml:space="preserve"> and no symptomatic bradycardia. I have reassured Mr. Weaver that we do not need to do anything further at this point. He may be at risk of developing sick sinus rhythm down the road. If there are any further concerns in this regard, we would be happy to see him back for reassessment.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the Collision, Mr. Weaver used a gym at his residence two or three times a week for a 30 to 40 minute routine which included sit-ups, push-ups, and weight training. Mr. Weaver states that he was playing in two weekly "over 50" hockey leagues prior to the Collision. As well, Mr. Weaver enjoyed golf and undertook some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Weaver was in his truck driving from Kelowna to Vernon when the Collision occurred. Mr. Weaver was alone in his truck and I find that his seatbelt was fastened at the time of the Collison.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Katalina Cotton testified that she was in the back of the bus that was struck by the vehicle of Mr. Weaver. She estimated that the bus was travelling between 60 and 90 km per hour just before the Collision. She testified to a "heavy" impact with the truck. The photographs in evidence show extensive damage to the vehicle of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Cotton testified that she was the first person to tend to Mr. Weaver before the ambulance crew arrived. Though cross-examination regarding her time estimates about when she approached his vehicle after the Collision was effective, I find that it was more than a few minutes that passed before Ms. Cotton went to the vehicle of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Ms. Cotton first approached Mr. Weaver, she observed that Mr. Weaver was "out of it - kind of like waking", he had a head wound, his seatbelt was still fastened, and he could not undo the seatbelt. She stated that Mr. Weaver tried to get out of his truck but she was able to prevent that by pushing against the driver side door. She stated that Mr. Weaver seemed unaware that she was trying to stop him from getting out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Cotton described Mr. Weaver as confused and disoriented. He was saying something but not to her, his speech was slurred, he was mumbling and his voice was very quiet.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Weaver eventually got out of the truck and the paramedics arrived very shortly thereafter. Ms. Cotton testified that the paramedics did not speak with her about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Patient Care Report of the British Columbia Ambulance Service indicated that the ambulance was on route to the scene at 10:12 a.m., arrived at the scene at 10:17 a.m., was at the side of Mr. Weaver at 10:20 a.m., left for the Vernon Hospital at 10:40 a.m., and arrived at the Hospital at 10:43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Attending paramedic Joanne Hubbard got to Mr. Weaver approximately 11 minutes after the Collision and found Mr. Weaver conscious but generally confused and disoriented. He had an obvious bump on his head. He was not oriented to location or time. Her Glasgow Coma Scale assessment of Mr. Weaver was 14 out of 15 likely some minutes after she arrived at the scene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Hubbard noted in her report that there was no loss of consciousness. However, she confirmed that this reference in her report was a compilation of information from a number of sources at the scene and she could not say who told her that. There is a notation in the Patient Care Report that Mr. Weaver was "Assisted/walked" to the ambulance and that the "Condition...at destination" [the Hospital] was indicated as being "Improved". The CTAS (Canadian Triage Acuity Score) was noted as being "3" which means "requires urgent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Bhatt was the emergency room physician at the Vernon Hospital on the day of the Collision. He assessed Mr. Weaver around 12:00 p.m. His records indicate that Mr. Weaver had limited recall of events and was complaining of a headache. Dr. Bhatt confirmed that the presentation of Mr. Weaver was consistent with someone who had sustained a mild traumatic brain injury. Dr. Bhatt confirmed that the reference in his notes indicating no loss of consciousness could have been taken from ambulance notes or the notes of a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Weaver testified that he does not have any memory of talking to the paramedics at the scene or at any time and that his first real memory after the Collision was when he was in the ambulance and was looking out of the back of the ambulance and saw his truck. Mr. Weaver could not recall how he got into the ambulance. Mr. Weaver does not now recall being at the Hospital but recalls feeling "pretty rough" with a headache and chest pain. He does not recall undergoing an x-ray or CT scan. He does not recall the discharge instructions he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recalls hearing a conversation of someone in the bed next to him, realizing it was someone involved in the Collision, and making some notes about it. It is apparently the case that Mr. Weaver had enough presence of mind to make the notes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Weaver testified at Trial that he was not sure who picked him up from the Hospital and drove back to Kelowna. In fact, his friend Don Gauvin went to the Hospital and took Mr. Weaver back from Vernon to Kelowna after his discharge from the Hospital. Mr. Weaver was not able to tell Mr. Gauvin anything about the Collision other than he had crashed his truck. On the drive back to Kelowna, Mr. Weaver was described by Mr. Gavin as being "quiet and shook up" and not his "normal 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STATEMENT TO INSURANCE CORPORATION OF BRITISH COLUMBIA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December 1, 2010, Mr. Weaver gave a statement to ICBC and signed what had been typed up for him. That statement set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date of the accident I was working as I was going to Vernon for a business appointment to give a quote to a new business. I was alone and seat belted. It was approximately 10:00 a.m. and I do not remember alot [sic] of the details as I hit my head on the inside of the vehicle and am missing some time. I was unconscious for some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Essentially I remember driving northbound on Highway 97 toward Vernon. I remember on my left the military fields and I was approaching the tourist bureau. All of a sudden I felt a bang in my head. I vaguely remember my car getting hit. That is all and my next memory was being in an ambulance and the attendant saying to me something about me being unconcious [sic]. Also I looked out the two back doors of the ambulance and saw my truck in the ditch. At that point I remember going by ambulance to Vernon Jubilee Hospital. I was there for 4 or 5 hours. They took x rays and a cat scan of my head. My wife Francine came to the hospital and the emergency doctor told me to watch for concussion symptoms. I was released and went home. I had a large welt in the back of my head. It is mostly recovered.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 rays showed no fractures but they thought I had cracked ribs as today I feel sore in the rib area. I cannot lie on my back or my side as they are still sore. I have been to my family doctor Dr Louise Graham and she has reccomended [sic] that I do not do any exercise and just walking. If anything gets worse get back to her. I have a dull headache still I also have a bit of dizziness. As a child I used to have debilitating headaches and about 25-30 years ago they stopped. On occasion I get an aura of images that make it difficult to see. It resolves as soon as I lie down it goes away. This dull headache is something new and it is consistent Dr. Graham didnt [sic] give any medicine and is just waiting for time to heal. There is no treatment for the ribs and the headaches should resolve. I have continued to work and although I am having difficulty concentrating as much as before. I had not consumed any alcohol or drugs that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was in the hospital, I was in the emergency ward and the police officer came in and spoke to me and afterward went to the next bed which was seperated [sic] by a curtain. I could hear what was being discussed and it appeared to me from the discussion they were having that it was the person involved in the accident with me. It was a lady and I wrote down what she said. She said to the policeman that she skidded and ran into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AFTERMATH OF THE COLLISION</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Injuries to His Shoulder and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Weaver complained of right shoulder pain which appears to have settled fairly quickly. He also had initial chest discomfort that settled down in the first six to twelve months. This appears to have been associated with a shortness of breath on exertion.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O.M. Sovio is an orthopaedic surgeon who provided a March 26, 2014 opinion to counsel for the Defendants. In the opinion, Dr. Sovio noted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states that his neck bothers him in the back at times and it radiates into the left shoulder. This is occasional and not constant. It seems to come and go. The patient states that he had this discomfort a few weeks ago and it lasted a few days. He has not noted any limitation in the range of motion to any significant degree although he states that he has some discomfort with rotation to the right and left. He states that he occasionally has some discomfort in the left lower anterior ribs but he does not have any shortness of breath except when he plays hockey which he does once a week on a regular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his shoulder was concerned he stated that it bothered him off and on with some discomfort present. The discomfort was in the left scapular region laterally and to some degree in the anterior aspect of the shoulder as well. There was no complaint as far as the right shoulder was concerned. He had not noticed any loss of range of motion but stated that sometimes it hurt to move his arm through a full range and he felt that "certainly was not as flexible as before the accident".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his back was concerned he had a little discomfort in the periscapular region in the thoracic region but he did not complain of any low back pain. No limitation in the low back as far as range of motion was concerned. The patient states that he recently saw his doctor because he was having discomfort in the lateral aspect of the left hip. This apparently started a few months ago. He states that he was trying to think back to the accident and whether he may have injured his hip in the accident and he thinks there may have been something there but he did not note any pain until a few months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Medvedev is a neurologist who assessed Mr. Weaver on July 16, 2015 at the request of counsel for the Defendants. In his July 16, 2015 assessment and opinion, Dr. Medvedev stated that his shoulder pain "was present in both the right and left shoulders. The pain in the right shoulder virtually resolved. He remains with some discomfort in the left shoulder." As to "Chest pain", Dr. Medvedev noted that pain developed in his chest but that "...the pain the chest gradually subsided over days and has not been bothering him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Mr. Weaver experienced soft tissue injuries to his right shoulder and chest which settled in the first six to twelve months after the Collision but that, as late as 2015, Mr. Weaver continued to suffer some discomfort in his left shoulder and some pain in his chest. I also find that Mr. Weaver received a "large welt" to the back of his head but recovery from that injury settled within several months.</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Head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clinical records of Dr. Graham, there is a November 30, 2010 notation that Mr. Weaver presented as being "light headed" and that he was "forgetful. difficulty concentrating."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By January 25, 2011, Mr. Weaver was continuing to experience headaches although they were no longer constant. In June 2011, Mr. Weaver experienced what he described as a migraine headache for the first time in about 30 years. Mr. Weaver noted the return of migraine type headaches on September 23 and November 30, 2011 and on January 4, February 7, February 22 and July 30,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notes that Mr. Weaver made contemporaneously indicate that, by January of 2011, he was forgetting names of people he knew well and street locations. He was having difficulty sleeping and having daytime fatigue. He was having trouble making decisions and trouble getting motivated to get work started and completed. On June 6, 2011, Mr. Weaver noted that he had forgotten the address and phone number of his Kamloops office. The next day, Mr. Weaver could not remember the name of a friend even though he had known him for almost 30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the second half of 2011, those around Mr. Weaver began to notice that he was having memory and other problems. Ms. Collette recalls that, during Christmas of 2011, Mr. Weaver became lost while driving to his cousin's house in Toronto. In August 2012, Ms. Collette recalls Mr. Weaver obviously struggling with his memory while attempting to give a speech at the funeral of a friend he hesitated repeatedly and repeated one story three times. Ms. Collette testified that customers started to notice his memory problems by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By 2013, his memory and cognitive functions were getting worse. Mr. Weaver was going over a new contract for a potential Kamloops client shortly after doing a walkthrough of their site. Fifteen minutes after going through the document, Mr. Weaver went through it again as if for the first time. Mr. Weaver also attended a Papa John's Pizza location to arrange a quote for cleaning services but forgot why he was there and phoned the office to ask Ms. Collette if it was to pick up a pizza. Mr. Weaver thought he got a lead on a new large client whereas it was a former client. He attended their premises to prepare the quote but had no memory the company having previously been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Along with memory problems Mr. Weaver began to experience significant problems returning to tasks after being interrupted. As Ms. Collette testified, Mr. Weaver attempted to cope with his memory problems by increased efforts to write everything down but that this organizational strategy often failed as Ms. Collette testified that the increase in note-taking coincided with his increasingly cluttered desk. She testified that, prior to the Collision, the files on his desk were well-organized so that information could be easily accessed and identified. By 2012, sticky notes multiplied and documents were strewn about throughout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Carolyn Kennedy is an occupational therapist who provided a number of reports at the request of counsel for Mr. Weaver. In September of 2013, Ms. Kennedy visited the Gryphon offices and noted multiple piles of paper randomly placed throughout the office and that Mr. Weaver was struggling to locate documents as they were needed. Ms. Kennedy observed his increased note-taking practices and his trouble later locating those notes. Given her observations, Ms. Kennedy recommended a Rehabilitation Assistant to teach Mr. Weaver organization and memory compensation strategies. A number of approaches were attempted including the use of a smart phone to try to schedule and plan better, a coloured file system to help prioritize work flow on his desk, and a computerized system to track important tasks such as quotes, customer visits and re-prioritizing overdue tasks. Mr. Weaver did not get past basic training on the apps for the phone and would forget the instructions within the same session. He was equally unsuccessful practicing with the apps on his own. The observations detailed in the September 15, 2013 and July 31, 2104 reports of Ms. Kennedy demonstrate the extent of his difficulties organizing himself at work and learning new ways to cope with his new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increased problems of Mr. Weaver are also reflected in the medical records of Dr. Graham which include the following notations: (a) the August 25, 2011 notations indicate "not remember the accident", "awoke in the ambulance", "concussion, "rib contusion", "not miss any work", "confused and fuzzy until May 9", "advised to strictly avoid activities with risk of head injury"; (b) the November 29, 2011 notations indicate "problems with memory", "fatigue", "one wk ago not recall anything about it 1 wk later". "not worsening", "disorganized at work" and "Started working out on regular basis"; (c) the December 19, 2011 notations indicate "unchanged", "forgetful", "forgetting names st[street] names etc.", "problems with motivation? making decisions on quotes"; and (d) the February 20, 2012 notations indicate: "Difficulty remembering improving", "decrease energy level", "head foggy", "back to playing hockey", hand written reminders wife notices forgetful", "LOC 30-60 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DOCTORS WHO PROVIDED OPINIONS REGARDING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Weaver has received the benefit of a number of medical consultations regarding his injuries and the results and anticipated further results relating to those injuries. All of the doctors reached the conclusion that Mr. Weaver had suffered a traumatic brain injury and some of the doctors were of the opinion that the Collision and the traumatic brain injury have resulted in early neurocognitive disorder (dementia).</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Ann Pirolli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Ann Pirolli is a neuropsychologist. At the request of counsel for Mr. Weaver, Dr. Pirolli provided assessments of Mr. Weaver on December 7 and 12, 2012, January 8, 2013, and January 7 and 13, 2016. Dr. Pirolli conducted neuropsychological testing of Mr. Weaver and interviews of both Mr. Weaver and Ms. Collette. Dr. Pirolli described the "Complaints" of Mr. Weaver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Weaver said he has been having difficulties with his memory since the accident. For example, he has problems remembering names and places. If someone will tells him the name of a familiar street, he can not place where it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at times, needed to look up the location of main streets he has driven many times. He reported he needs to write "tons of notes" and relies on his daytimer more. He reported word finding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Weaver said he has problems making decisions since the accident. For example, with his job he is asked to estimate costs for specific jobs. He said he finds himself continually questioning his decisions. Because of this, he feels so uncertain that he just bids high in order to not lose any money. This, however, leads to not getting the contracts. He also noted that he is not as confident as he usually is in customer relations. He is unsure he will handle interpersonal communications well. He reported his customer service is poorer. He said he used to regularly visit repeat customers and do follow-ups. He now has difficulty motivating himself to do this. He feels his motivation is down in general.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Weaver said he can get sidetracked at work. For example, he will go to a job site to do a quote and then return to the office only to realize that he cannot remember the job site well enough to complete the paperwork. When visiting the site, if someone interrupts him, he has to redo whatever measurements he was doing at the time. He said he has to make a lot more notes when he is on a job site. He may measure one part of the facility and then forget whether he actually did it and then remeasures it. This leads to inaccurate quotes. He noted he was recently so unsure of his measurements that he went back to the facility and remeasured it all again. If he is working on paperwork in the office and receives a phone call, it takes him a while to refocus on what he was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Pirolli concluded that, in the course of this neuropsychological testing, Mr. Weaver demonstrated significant impairment with auditory and visual memorization of information particularly when time passed ("even as little as a few minutes") and when the information was not repeated during the learning process. Dr. Pirolli concluded in her December of 2012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Mr. Weaver's intellectual scores, his memory performances were significantly lower than expected (statistically significant at the .01 level). Using indices of Mr. Weaver's intellectual functioning, his auditory memory Index and visual memory Index scores would only be found in approximately 5[%] and 3% of the population, respectively. In other words, it would be extremely rare for a person with Mr. Weaver's intellectual level to achieve memory scores as low as he did on the testing.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example, Mr. Weaver could retain virtually none of the plots of two short stories read to him after a 30-minute delay. Additionally, Mr. Weaver demonstrated significant forgetfulness during conversations and interactions with Dr. Pirolli, including having to be reminded twice of the correct date, have questions repeated frequently, and having to be reminded several times of the meaning of the 0-10 scale.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struggled to memorize lists of words after short and long delays and the inability to hold information is so drastic that even cueing is of very limited assistance. When tested on his memory for lists of words, he repeats the same words repeatedly, forgetting that he'd already given that particular answer ("repetition errors"). Mr. Weaver performed at a mildly impaired level in recalling a complex line drawing after 3 and 30 minutes respectively, and performed at a severely impaired range in recalling less complex drawings following long delays.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her January 10, 2013 Assessment Report, Dr. Pirolli made these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the review of the pre-accident documentation, I do not have any information to suggest Mr. Weaver was having cognitive difficulties prior to the car accident in question. I also do not have any information to suggest Mr. Weaver has had any psychological difficulties prior to the car accident. Thus, it is my opinion his ongoing cognitive and psychological problems, as described in the </w:t>
      </w:r>
      <w:r>
        <w:rPr>
          <w:rFonts w:ascii="arial" w:eastAsia="arial" w:hAnsi="arial" w:cs="arial"/>
          <w:b/>
          <w:color w:val="000000"/>
          <w:sz w:val="20"/>
          <w:lang w:val="en-US" w:eastAsia="en-US" w:bidi="ar-SA"/>
        </w:rPr>
        <w:t>Conclusions/Recommendations</w:t>
      </w:r>
      <w:r>
        <w:rPr>
          <w:rFonts w:ascii="arial" w:eastAsia="arial" w:hAnsi="arial" w:cs="arial"/>
          <w:color w:val="000000"/>
          <w:sz w:val="20"/>
          <w:lang w:val="en-US" w:eastAsia="en-US" w:bidi="ar-SA"/>
        </w:rPr>
        <w:t xml:space="preserve"> section, are directly' attributable to the accident in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majority of individuals with a mild traumatic brain injury have complete resolution of their symptoms over a matter of weeks and months. A smaller percentage, however, go on to have lasting problems. It is hoped that, with assistance from the occupational therapist and psychologist, there will be some improvement in Mr. Weaver's mood and performance at work (i.e., through the use of assistive strategies). With improved mood, self-confidence, and sleep, it is hoped there will be some improvement in his overall functional cognitive abilities. The degree of improvement, however, is difficult to predict. A neuropsychological reassessment is justified in Mr. Weaver's case in order to document any changes and gel a greater sense of his 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Currently, given the degree of Mr. Weaver's memory and executive dysfunction, he would not likely be competitively employable. He requires more effort on his part and assistance from others at work, compared to his preaccident capabilities. He is the boss of his company and likely has more leeway to deal with his cognitive difficulties compared to if he was simply an employee: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Mr. Weaver does not get the above noted assistance for his mood and functional capabilities, his prognosis for further improvement is poor and he will be at risk for increasing depression. If he does get the assistance for his mood and functional capabilities, as outlined in my </w:t>
      </w:r>
      <w:r>
        <w:rPr>
          <w:rFonts w:ascii="arial" w:eastAsia="arial" w:hAnsi="arial" w:cs="arial"/>
          <w:b/>
          <w:color w:val="000000"/>
          <w:sz w:val="20"/>
          <w:lang w:val="en-US" w:eastAsia="en-US" w:bidi="ar-SA"/>
        </w:rPr>
        <w:t>Conclusions/Recommendation</w:t>
      </w:r>
      <w:r>
        <w:rPr>
          <w:rFonts w:ascii="arial" w:eastAsia="arial" w:hAnsi="arial" w:cs="arial"/>
          <w:color w:val="000000"/>
          <w:sz w:val="20"/>
          <w:lang w:val="en-US" w:eastAsia="en-US" w:bidi="ar-SA"/>
        </w:rPr>
        <w:t xml:space="preserve"> section of the report, but the treatment does not result in significant betterment, his prognosis for further improvement is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her May 15, 2013 Assessment Report Addendum, Dr. Pirolli made these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indicated in my neuropsychological assessment report that Mr. Weaver underwent a CT scan of his head following the accident. The results of his CT scan were described as normal. Such a finding is not inconsistent with a mild traumatic brain injury. Structural imaging techniques, such as CT scans or MRls, are unable to detect the microscopic changes as a result of a mild traumatic brain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Mr. Weaver's prognosis, any improvements (with the help of the rehabilitation recommendations noted in my report) are not likely to be seen for months or years, given the extent and persistence of his problems over the years since his motor vehicle accident. Given the length of time since his accident and the ongoing problems he continues to demonstrate (both in real life and on the testing conducted in my neuropsychological assessment), a full return to pre-accident levels of capabilities is less likely;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noted in my neuropsychological assessment report that Mr. Weaver demonstrated impairment in auditory and visual memory. I would like to further clarify that, based on Mr. Weaver's intellectual scores, his memory performances were significantly lower than expected (statistically significant at the .01 level). Using indices of Mr. Weaver's intellectual functioning, his auditory memory Index and visual memory Index scores would only be found in approximately 5 and 3% of the population, respectively. In other words, it would be extremely rare for a person with Mr. Weaver's intellectual level to achieve memory scores as low as he did on the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her January 18, 2016 Re-Assessment Report, Dr. Pirolli provided the following "Conclusions/Recommendations":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current assessment, Mr. Weaver was observed to be extremely forgetful within a short period of time; disorganized; confused at times; displayed a sense of uncertainty with respect to the information he was trying to recall; distractible; needed information repeated often; slow in verbal responding; poor sense of time; difficulty estimating; increased fatigue with cognitive effort; and had a flat affect, He also described experiencing a visual aura for approximately an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current neuropsychological test results (compared to the previous neuropsychological assessment) demonstrated the following: no substantial change with respect to simple attention and speed of processing; improvement in working memory; substantially poorer and severely impaired memory for both visual and verbal information; poorer, but not into impaired ranges, for visual constructive skills; poorer and impaired verbal fluency; generally unimpaired and good problem-solving and verbal abstract reasoning; and poorer perceptual reasoning (not into impaired ranges). In addition, Mr. Weaver and his wife [sic] noted on questionnaires that Mr. Weaver was experiencing clinically significant problems with executive functioning in his day-to-day life including: reduced initiation/ motivation/interest; failure to complete tasks; poor energy; reduced spontaneity; repetitiveness; problems with sequences; confusion; repeatedly making the same mistake; reduced insight into problems; disorganization; poor problem-solving/judgment; forgetfulness without prompting; distractibility; not using strategies effectively; less able to benefit from feedback; reduced planning capabilities; and flat affect;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current neuropsychological results also showed Mr. Weaver is likely experiencing mild to moderate emotional distress in relation to lack of enjoyment and worrying. He no longer experiences anxiety with driving. Both he and his wife described his mood as improved compared to the last testing. His mood is likely best described as an Adjustment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current neuropsychological test results, in comparison to his previous neuropsychological assessment, show a significant decline in Mr. Weaver's memory and many of his executive functions. It is my opinion this decline may be representative of a dementia, although I will defer to a specialist in gerontology (e.g., geriatric psychiatrist) for further clarification of the diagnosis;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my opinion Mr. Weaver is not employable;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Mr. Weaver's prognosis with respect to cognitive improvement is poor and he is at risk for further decline in his cognitive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By January 2016, Dr. Pirolli noted that the learning and memory abilities of Mr. Weaver had changed drastically compared to December 2012. Of 22 standardized memory and learning tests that were performed in December 2012 and repeated in January 2013, Mr. Weaver's results were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8" type="#_x0000_t75" style="width:414.75pt;height:191.25pt">
            <v:imagedata r:id="rId56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Pirolli was of the opinion that Mr. Weaver fit within the expected profile of a person who had experienced a mild traumatic brain injury in that he performed well on some tests but poorly on others. Dr. Pirolli was also of the opinion that the self-reports of Mr. Weaver were not reliable and that he lacked insight into the extent of his cognitive deficits. In summary, Dr. Pirolli was of the opinion that Mr. Weaver presented with lingering symptoms of a mild traumatic brain injury in December of 2012 and a worsening of these symptoms by January of 2016.</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Roy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O'Shaughnessy conducted an independent psychiatric assessment of Mr. Weaver on June 18, 2013 at the request of counsel for Mr. Weaver. In his August 13, 2013 opinion, Dr. O'Shaughnessy set out the following complaints of Mr. Weaver: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 history was given by Mr. Weaver in my interview. He describes difficulties with focus and short-term memory and in particular problems with calculation, especially as part of his business dealings where he would have to estimate costs of cleaning based on square footage etc. He noted some improvement in his memory over time but continued to experience difficulties that are frankly consistent with the data produced by Dr. Pirolli.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problems with concentration and memory, he also noted some problems with fatigue initially that have gradually improved. Initially he also had some difficulties with sleep characterized primarily as frequent mid-stage insomnia that has also improved with time. By the time I saw him, his sleep patterns had improved but he continued to experience problems with restoration and felt frequently fatigued in the mornings and non-restored and remained quite fatigued through the course of the day. By his account, he was pushing himself to continue a very active work day, primarily because of financial necessity, but lost his general sense of vitality and capacity to experience pleasure.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review of the material, it is clear this man did indeed suffer a concussion at the time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Mild Neurocognitive Disorder is one of the neurocognitive disorders demonstrating significant decline from previous degree of functioning in either attention, memory, learning, or executive functioning. The term "mild" does not refer to severity but rather is a diagnostic term. It does, however, indicate that the deficits themselves do not interfere with the person's capacity for independence but rather cause impairment in day-to-day functioning in the areas of attention, memory, executive functioning, etc. As a result, they require greater effort and in times compensatory strategies for their cognitive impairments are required as is evidence in this instance.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ongoing cognitive impairment is a direct result of his concussion and would not have occurred otherwise. He certainly reports that it is causing him ongoing difficulties, as one would anticipate, especially in cognitively driven tasks such as calculating estimates, etc. He also notes the subjective complaints of fatigue and low energy with loss of vitality which again are commonly seen in individuals with these types of complaints. There Is no way of determining whether these are specifically related to the head injury or not save for the fact that it is a common complaint and in the absence of any other factors I would conclude that more likely than not these symptoms are direct consequences of the concussion There is impact upon his abilities to work, in that he has had to work longer and harder to maintain the same income as pre accident.</w:t>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George Medvedev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Medvedev is a neurologist who provided July 16, 2015 and April 18, 2016 opinions at the request of counsel for the Defendants. Dr. Medvedev saw Mr. Weaver on July 16,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Under the heading "Active Complaints" in his July 16, 2015 opinion, Dr. Medvedev set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Changes in memory: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changes in memory are considered by the plaintiff to be the most significant complication of the accident. He describes difficulty recalling names, recalling dates, and remembering details of conversations which occurred recently. He admits, however, that with time he is usually able to recall this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Memory deficit has been noticeable in his work, however it has not lead to significant disability. He was able to return back to work immediately after the accident with no time taken for temporary disability. He feels that over time his memory function has worsened and not improved.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developed headaches immediately after the accident, The headaches were frequent initially but the frequency of his headaches gradually subsided. He describes them as dull, non-throbbing bifrontal headaches. They do not occur more frequently than once every two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has been substantial improvement in the intensity and frequency of the headaches over lime. They do not affect his ability to work and they do not: restrict his recreational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Insomnia: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accident, the plaintiff developed difficulty falling asleep and this persists to the current time. He does not perceive significant improvement.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Irritability: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accident, the plaintiff has been noticing some greater difficulty in managing people. He has difficulty with communication as well as increased irritability. This symptom has not improved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Medvedev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observing the plaintiff during the interview and it appeared that he had some difficulty finding words. He was very deliberate and slow in making his sentences. However, some findings were quite unusual. He told me that he enjoys watching movies and reading books, however was unable to give me any of the titles. He also declined to elaborate even on a plot description of one of the more recent TV shows that he said he had watched. he admitted to being a big hockey fan and told me that he prefers Toronto Maple Leafs over the Vancouver Canucks. He told me, however, that he was not watching the recent draft and is not aware of any changes that occurred to the Toronto Maple Leafs roster this year. He declined to elaborate on the names of the players or the nature of the changes.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process of cognitive evaluation, he had no difficulties with clock drawing, a process which would involve significant integration of construction praxis and executive function. He was smooth and efficient.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serial 7s testing, which certainly involves active integration of functions of frontal lobe convexities and dominant parietal region, he performed very well, demonstrating virtually no hesitation with calculations.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did surprisingly poorly in the four-word recall, having no difficulties with immediate registration but unable to recover any of the words within five minutes. This is very unusual. Patients with this degree of memory deficit will certainly not be able to maintain steady employment and lack of ability to recover this information with queuing and multiple choice suggests a non-neurological nature of demonstrated memory disturbance.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I believe that the degree of memory impairment that he demonstrated today is certainly out of proportion to what his true potential deficit is, unless he has recently started to develop a new memory disorder, independent of the accident-related neuro-degenerative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reviewed the results of a neuropsychological assessment performed by Dr. M. Pirolli and I would like to note that Mr. Weaver performed better than expected in terms of attention, speed of processing and working memory as well as visual constructive skills and most formal tasks of executive functioning. He did, however, demonstrate impairment in both auditory and visual memory. Such isolated memory dysfunction is unlikely to be of a primarily traumatic nature, because a structural or micro-structural disruption caused by traumatic brain injury is likely to affect functions of all cognitive domains albeit possibly to varying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Medvedev provided the following opinions in answer to the questions that have been posed by counsel in his request for an opinion from Dr. Medvedev:</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Within your expertise, what injuries did the plaintiff suffer as a result of the accident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accident of November 19, 2010, Mr. Weaver suffered a mild traumatic brain injury, He certainly did hit his head in this accident as was confirmed by the presence of a bruise on the occipital posterior region. Lack of recollection of the events of the accident could also suggest traumatic brain injury. However, his symptoms did largely resolve considering his return back to full time employment and normal recreational activities practically immediately after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also suffered soft tissue injury of the chest and shoulder, both of which resolved completely.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To what extent has he recovered from any such injuries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Weaver has virtually no signs of the soft tissue injuries that he suffered. The chest pain resolved fully. He has minimal discomfort in his left shoulder present intermittently.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also had substantial improvement of his mild traumatic brain injury symptoms, such as headaches. The headaches have resolved or at least significantly diminished in frequency and intensity. He remains only with persistent cognitive complaints. These, however, did not prevent him from returning back to work immediately after the accident and did not affect his ability to enjoy his bobbies.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What is your prognosis for his future recovery from any such injuries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believe that Mr. Weaver still has a good potential for a complete recovery from all of the cognitive complaints that he supposedly experiences, despite the duration of the symptoms since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To what extent have his symptoms and disabilities been related to conditions or factors unrelated to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he had perfect health and I did not find any evidence of significant other conditions which could be attributed to his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Would he have suffered those symptoms and disabilities in any event, absent the accident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no reason to believe that he would have suffered any other symptoms absent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To what extent have the injuries arising from the accident interfered with his ability to perform his regular job duties, or to operate his business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reason </w:t>
      </w:r>
      <w:r>
        <w:rPr>
          <w:rFonts w:ascii="arial" w:eastAsia="arial" w:hAnsi="arial" w:cs="arial"/>
          <w:i/>
          <w:color w:val="000000"/>
          <w:sz w:val="20"/>
          <w:lang w:val="en-US" w:eastAsia="en-US" w:bidi="ar-SA"/>
        </w:rPr>
        <w:t>to</w:t>
      </w:r>
      <w:r>
        <w:rPr>
          <w:rFonts w:ascii="arial" w:eastAsia="arial" w:hAnsi="arial" w:cs="arial"/>
          <w:color w:val="000000"/>
          <w:sz w:val="20"/>
          <w:lang w:val="en-US" w:eastAsia="en-US" w:bidi="ar-SA"/>
        </w:rPr>
        <w:t xml:space="preserve"> suggest that his injuries interfered with his ability to perform his regular job duties and to operate his business. He was able to return back to work and successfully maintain his employment tor five years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Has he received sufficient and appropriate treatment to date for his injuries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tend to interpret the lack of significant appropriate treatment as a lack of need for appropriate treatment, as Mr. Weaver was able, to maintain his employment as well as his recreational activities without limitations immediately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What future care, if any, does he require with respect to any injuries that he likely suffered in the 2010 accident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think that any additional care will be needed in the future regarding any relationship to the injuries suffered from the accident in November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Should any impairment or disability of the plaintiff's future activities be expected to result from his injuries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Patients with a history of concussions/mild traumatic brain injuries can be exposed to increased intensity of post-concussive symptoms in the event of repetitive head injuries.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To what extent should the injuries arising from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accident be expected to interfere with the plaintiff's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ability to perform his job duties in the future?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Based on his performance over the past five years, I do not expect that in the future Mr. Weaver will experience more difficulties managing his business due to symptoms which arose as a result of the motor vehicle accident of November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To what extent have the injuries arising from the accident interfered with his ability to participate in recreational activities and household responsibilities?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Based on the information provided by Mr. Weaver, I would tend to suggest that his injuries did not significantly affect his ability to perform recreational activities and his function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 April 18, 2016 "Updated Rebuttal Report", Dr. Medvedev commented on the reports of Dr. O'Shaughnessy, Dr. Kilray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and Dr. Pirolli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practice physicians rarely if at all make a definitive clinical diagnosis of a chronic illness during a single encounter. Only through repeat evaluations gradual changes the true nature of observe deficits can be fully revealed and understood allowing to make an accurate diagnosis. Therefore I found the report of Dr. Pirolli particularly important because it provides an objective, detailed, validated information about the plaintiff's neurocognitive function and compares it to previous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Medvedev then provided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remains my opinion that Mr. Weaver did suffer a mild traumatic brain injury. It is likely, however, that he substantially recovered from consequences of this trauma. This can be inferred from observed improvements on some parameters during his repeat neuropsychological testing for example, in his working memory and attention, which are frequently affected by traumatic brain injury. His recovery is certainly incomplete and based on my original observation could have been a consequence of a non-neurological process possibly of a behavioural or psychological nature with a good potential for future significant improvement. However, based on the new information that became available after my previous assessment I can now agree with Dr, O'Shaughnessey and Dr. Kiraly regarding the low probability of the plaintiffs complete recover. I remain of the opinion, however, that plaintiff's cognitive state is a result of an independent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illustrate existing uncertainties in interpretation of a relationship between head trauma and neurological and psychiatric illness and Alzheimer's disease specifically I would like to provide some examples from a recent meta-analysis of studies into a role of mild traumatic brain injury published in 2016 in Journal of Neurosurgery. Meta-analysis or statistical evaluation of 57 studies from 1995 to 2012 demonstrated connection of head trauma and subsequent neurological illness with odds ratio of approximately 1.4. However, the unusual nature of some of the findings demonstrates complexity of such a link. The meta-analysis showed, for example, that number of head injuries experienced by a subject in their life did not matter. A single mild head trauma was as significant as repetitive head injuries. This finding is in contradiction to the well-studied impact of a repetitive head injury on neurological function. Uncertainty of some conclusions could also be highlighted by the fact that one of the more recent cohort studies (performed by Fischer in 2008) that is included in the meta-analysis itself did not reveal any links between a history of MTBI (mild traumatic head injury) and dementia.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also has to be noted that limitations of study design itself (observational, retrospective, and cohort studies) that are used for the evaluation of various risk factors do not allow for establishment of cause effect relationships, it can only demonstrate an existence of an association. One of the possible explanations of such associations for example could be presence of a subclinical/undetectable process preceding injury and directly or indirectly triggering it and not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Pattern of primarily amnestic/memory related manifestations observed in the Plaintiffs cognitive functions is highly consistent with Alzheimer's disease. 60% of patients with Alzheimer's disease with an onset before 65 years of age (can be classified as early onset by ICD 10 definition) have some family history of dementia, However 40% will not have such history (both parents of the Plaintiff are apparently alive and well). Therefore lack of a family history does not exclude a sporadic form of dementia of Alzheimer type. Alzheimer's disease in this age group is not rare and affects 15% of Canadians 65 years of age and older. Most of these cases are sporadic (without definitive genetic associations). Incidence of the disease (number of new cases per 1000 people in a year) is approximately 19 in the group of 65 year olds and older with the majority of these new cases having no history of a traumatic brain injury. Cases of a progressive cognitive decline/dementia with a close association with a single mild traumatic brain injury are exceedingly rare in clinical practice. Vast majority of dementia patients has no history of head trauma.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on the sum of probabilities it is more likely than not that Plaintiff's condition is a result of a neuro-degenerative process that would have developed regardless of the accident of 2010. Causal relationship of the accident and progressive decline in memory is likely significantly less than 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unreasonable to suppose, however, that brain trauma of the accident could have accelerated development of otherwise inevitable cognitive decline. If it did accelerate such a process it is unlikely that it accelerated progress by more than 1-2 years as it is suggested in one of the most recent publications from Journal of Neurology from March 2016'.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plaintiffs symptoms are indeed progressive 6 years after the accident as it is suggested by additional information provided, and it is likely that he is suffering from a form of dementia, recognition of which after the accident, is more likely to be explained based on chance association.</w:t>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Stephen Kiraly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Stephen Kiraly provided an opinion to counsel for Mr. Weaver in the area of geriatric psychiatry. In his February 26, 2016 opinion, the Diagnosis of Dr. Kiraly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patient suffered a </w:t>
      </w:r>
      <w:r>
        <w:rPr>
          <w:rFonts w:ascii="arial" w:eastAsia="arial" w:hAnsi="arial" w:cs="arial"/>
          <w:b/>
          <w:color w:val="000000"/>
          <w:sz w:val="20"/>
          <w:lang w:val="en-US" w:eastAsia="en-US" w:bidi="ar-SA"/>
        </w:rPr>
        <w:t>traumatic brain injury (TBI)</w:t>
      </w:r>
      <w:r>
        <w:rPr>
          <w:rFonts w:ascii="arial" w:eastAsia="arial" w:hAnsi="arial" w:cs="arial"/>
          <w:color w:val="000000"/>
          <w:sz w:val="20"/>
          <w:lang w:val="en-US" w:eastAsia="en-US" w:bidi="ar-SA"/>
        </w:rPr>
        <w:t xml:space="preserve"> which by definition is a traumatically induced physiological disruption of brain function manifested by at least one of the following:</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period of loss of consciousness (LOC)</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loss of memory for events immediately before or after the accident</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alteration in mental state at the time of the accident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focal neurological deficits that may or may not be transient.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where the severity of the injury does not exceed the following:</w:t>
      </w:r>
    </w:p>
    <w:p>
      <w:pPr>
        <w:numPr>
          <w:numId w:val="1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consciousness of approximately 20 minutes or less</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30 minutes, an initial Glasgow Coma Scale of 13-15 and post-traumatic amnesia not greater than 24 hours.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Weaver's head injury meets the criteria for TBI. GCS was 14 about 10-15 minutes after the Collision. Extended Glasgow Coma Scale (GCS-E) equaled 4/7, given that he had not established clear continuity of memory for days. Post traumatic, postconcussion confusion (patchy memory) certainly lasted for much longer than a day. It is clear that he also had a classic postconcussion syndrome (PCS). He still has residual symptoms (persistent postconcussion Syndrome (PPCS) now blending into early Neurocognitive Disorder (dementia).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Psychiatric DSM-V Diagnosis: Axis-I: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Major Neurocognitive Disorder due to Traumatic Brain Injury (294.11) with anxiety disorder, subclinical depression and sleep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Personality Change due to a Medical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Differential should include Posttraumatic Stress Disorder (PTSD), which is an Anxiety Disorder. </w:t>
      </w:r>
      <w:r>
        <w:rPr>
          <w:rFonts w:ascii="arial" w:eastAsia="arial" w:hAnsi="arial" w:cs="arial"/>
          <w:b/>
          <w:color w:val="000000"/>
          <w:sz w:val="20"/>
          <w:lang w:val="en-US" w:eastAsia="en-US" w:bidi="ar-SA"/>
        </w:rPr>
        <w:t>Personality Disorder: Axis-II:</w:t>
      </w:r>
      <w:r>
        <w:rPr>
          <w:rFonts w:ascii="arial" w:eastAsia="arial" w:hAnsi="arial" w:cs="arial"/>
          <w:color w:val="000000"/>
          <w:sz w:val="20"/>
          <w:lang w:val="en-US" w:eastAsia="en-US" w:bidi="ar-SA"/>
        </w:rPr>
        <w:t xml:space="preserve"> None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Axis-Ill (Medical Disorder contributing to Axis-I):</w:t>
      </w:r>
      <w:r>
        <w:rPr>
          <w:rFonts w:ascii="arial" w:eastAsia="arial" w:hAnsi="arial" w:cs="arial"/>
          <w:color w:val="000000"/>
          <w:sz w:val="20"/>
          <w:lang w:val="en-US" w:eastAsia="en-US" w:bidi="ar-SA"/>
        </w:rPr>
        <w:t xml:space="preserve"> Traumatic Brain Injury - moderate. Headaches. Soft tissue damage (shoulder and neck).</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Axis-IV: Recent Psychosocial Stressors:</w:t>
      </w:r>
      <w:r>
        <w:rPr>
          <w:rFonts w:ascii="arial" w:eastAsia="arial" w:hAnsi="arial" w:cs="arial"/>
          <w:color w:val="000000"/>
          <w:sz w:val="20"/>
          <w:lang w:val="en-US" w:eastAsia="en-US" w:bidi="ar-SA"/>
        </w:rPr>
        <w:t xml:space="preserve"> Business demands, legal process, clinical interview, chronic somatic pain and headaches.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Axis-V: Global Assessment of Functioning (GAF): 41-50/ 100</w:t>
      </w:r>
      <w:r>
        <w:rPr>
          <w:rFonts w:ascii="arial" w:eastAsia="arial" w:hAnsi="arial" w:cs="arial"/>
          <w:color w:val="000000"/>
          <w:sz w:val="20"/>
          <w:lang w:val="en-US" w:eastAsia="en-US" w:bidi="ar-SA"/>
        </w:rPr>
        <w:t xml:space="preserve"> - Definite impairments in cognitive functions and coping. Definite and significant impairments in social, occupational and recreational functioning.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Clinical Global Impression (How mentally ill is the patient?)</w:t>
      </w:r>
      <w:r>
        <w:rPr>
          <w:rFonts w:ascii="arial" w:eastAsia="arial" w:hAnsi="arial" w:cs="arial"/>
          <w:color w:val="000000"/>
          <w:sz w:val="20"/>
          <w:lang w:val="en-US" w:eastAsia="en-US" w:bidi="ar-SA"/>
        </w:rPr>
        <w:t>: Moderately ill = 4/7 (7/7 being reserved for patients with severe psychosis and total disability and would include comatose patients.)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Clinical Global Impression (Compared to his condition before admission to hospital how much has the patient changed?) Much worse = 6/7.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On the Global Deterioration Scale (GDS)</w:t>
      </w:r>
      <w:r>
        <w:rPr>
          <w:rFonts w:ascii="arial" w:eastAsia="arial" w:hAnsi="arial" w:cs="arial"/>
          <w:color w:val="000000"/>
          <w:sz w:val="20"/>
          <w:lang w:val="en-US" w:eastAsia="en-US" w:bidi="ar-SA"/>
        </w:rPr>
        <w:t xml:space="preserve"> Mr. Weaver's condition would fit into early dementia, Stage 4, category because he has clear-cut deficits on careful clinical interview. It is characteristic in this stage to have difficulty performing complex tasks. Denial is common as is withdrawal from challenging situations. Usual care setting indicates that he have some assistance with family or caregivers although, with such help he may live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Kiraly is of the view that there had been a "definite progression and deterioration in the level of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Kiraly is of the opinion that there are some reactions which are delayed even years and decades after post-mild traumatic brain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know from studies that traumatic brain injury increases the likelihood of dementing illness as is starting to occur with Mr. Weaver, neurodegenerative changes (Alzheimer's disease being an example) which is starting to occur with Mr. Weaver, amyotrophic lateral sclerosis, Parkinson's disease, depressive illness (including suicidality) as is starting to occur with Mr. Weaver, and other psychiatric syndromes including paranoid illness and psychoses. Frontal lobe involvement, which Mr. Weaver has already, may result in behavioral changes such as disinhibition and in some people severe apathy and lack of appreciation for the consequences of their actions as is already starting to occur with Mr. Weaver at times in his work and his daily activities. Mood disorders are most common. Endocrine (hormonal) disorders, related to pituitary function, which affect sexual function, energy levels, stress tolerance, thyroid function and so forth, are also well documented in the literature as a future risk for patients with Mr. Weaver's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Kiraly was of the opinion that the condition of Mr. Weaver would fit into "early dementia", Stage Four category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clear-cut deficits on careful clinical interview. It is characteristic in this stage to have difficulty performing complex tasks. Denial is common as is with withdrawal from challenging situations. Usual care setting indicates that he have some assistance with family or caregivers although, with such help he may live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Kiraly provided the following opinion regarding the casual connection between the Collision in the "present psychiatric deficits" exhibited by Mr. Weaver: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Collision:</w:t>
      </w:r>
      <w:r>
        <w:rPr>
          <w:rFonts w:ascii="arial" w:eastAsia="arial" w:hAnsi="arial" w:cs="arial"/>
          <w:color w:val="000000"/>
          <w:sz w:val="20"/>
          <w:lang w:val="en-US" w:eastAsia="en-US" w:bidi="ar-SA"/>
        </w:rPr>
        <w:t xml:space="preserve"> As I pointed out, Mr. Weaver had no risk factors for brain disease. It is my opinion that the accident and the traumatic brain injury (TBI) suffered, are causing his impairment. Generally, about 80% of TBI's are classified as "mild" but 10 to 20% progress to a postconcussion disorder (PCD) referred to as postconcussion syndrome (PCS). Mild traumatic brain injury (MTB 1/concussion) is very common affecting about 100,000 Canadians a year. In the simple concussion recovery is rapid, within 7 to 10 days. However, in a complex concussion victims suffer persistent symptoms including symptom recurrence with exertion and exacerbations related to physical and emotional stress. About 20% of people with traumatic brain injury (TBI) remain permanently symptomatic (Please note that Mr. Weaver had more than a MTBl/concussion as judging from his GCS and length of posttraumatic amnesia and progression of symptoms without clear remission). At this time he has more than Mild Neurocognitive Disorder. In fact he has Early Dementia Syndrome - Stage 4 on the GDS). Also we know from studies that a history of concussion, even one concussion, is associated with increased risk of dementia, suicidality and other neurodegenerative conditions and psychoses. Given that Mr. Weaver is highly symptomatic showing cognitive and frontal lobe deficits and given that he has had no risk factors for the same, it is more likely than not that the Accident causing TBI was the primary cause of his diffuse cerebral injury and thus his Early Dementia Syndrome (Neurocognitive Disorder), which is not a stable condition but a progressive disorder multiplied by age and the acquisition of risk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REPORT OF THE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noted, Carolyn Kennedy is an occupational therapist who provided September 15, 2013, July 31, 2014, July 11, 2015, and March 8, 2016 reports at the request of counsel for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her September 15, 2013 report, Ms. Kennedy made a number of recommendations including Occupational Therapy Intervention, the use of a Smart Phone, a day timer and counselling services. In her July 31, 2014 report, Ms. Kennedy reported that a rehabilitation assistant started working with Mr. Weaver on March 18, 2014 "with the goal of developing and reinforcing cognitive strategies at work" but, when it appeared that Mr. Weaver was not making progress, he was "weaned off the program as of July 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problems "Identified" by Ms. Kennedy in her July 31, 2014 report included the following: (a) he did not follow through with organizing the daily tasks that he indicated were a priority; (b) he had difficulty prioritizing things he needed to do - i.e. taxes had not been done, bills had not been paid; (c) he became mixed up at times regarding what action he had to take; (d) he had difficulty recalling the strategies such as the colour coding for prioritizing tasks even when the information was posted on his monitor; (e) he did not seem to accomplish tasks from printed lists that he designated as high priority. From day-to-day, the same tasks show up on his list and get rescheduled for another time, but remain as "high priority" even though he states he is working 10 hours per day, 7 days per week; (f) he does not seem to remember or use a folder system of urgent/two weeks/one month; (g) he has difficulty making decisions and puts off tasks; (h) he does not consistently remember how to print selected portion of tasks; (i) his short-term memory seems to make it difficult for him to schedule tasks, as he does not remember from one moment to the next when he has scheduled himself to go out of town; (j) he does not always remember to refer to his agenda; (k) he seems vague when answering questions about jobs done, often saying he is so busy, but seems unable to articulate what he has worked on or what he has accomplished; (l) he indicates that he is responding to calls or problems and then does not have time to get to his list; (m) he seems to mix up information about new quotes; (n) he is not completing bids that he has done the site visits for; (o) he appears to lack insight into the extent of his memory impairment and other difficulties; (p) in leaving phone messages at times the messages were not very clear; and (q) he reports having more problems with headaches and 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All doctors are of the opinion that Mr. Weaver had suffered a mild traumatic brain injury as a result of the Collision. The differences in the opinions relate to whether there is a possibility of recovery, whether the cognitive state of Mr. Weaver was a result of an independent process or as a result of the Collision, and whether the trauma of the Collision could have accelerated development of an otherwise inevitable cognitive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satisfied that the medical evidence demonstrates that the neurocognitive disorder of Mr. Weaver is progressive. The only unknown is the rate of progression.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note the consistency between the test results obtained by Dr. Pirolli and the results obtained by Dr. O'Shaughnessy, Dr. Medvedev, and Dr. Kiraly as well as the screening tests undertaken by Ms. Kennedy. In this regard, Dr. O'Shaughnessy, Dr. Pirolli and Ms. Kennedy used the Montreal Cognitive Assessment tool which, I am satisfied, is the most universally accepted cognitive screening test for the detection of cognitive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reviewing the opinions provided, I prefer and give greater weight to the opinion and the evidence of Dr. Kiraly in light of his greater training and expertise with elderly patients who have suffered head trauma leading to dementia or Alzheimer's symptoms. Dr. Kiraly has 45 years experience as a medical doctor, 50 years experience as a psychiatrist, and 30 years experience as a specialist in geriatric psychiatry focusing on cognitive impairments such as dementing neurocognitive disorders and diseases predominately affecting the aging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Not only does Dr. Kiraly bring his experience to the medical analysis of cognitive impairments of Mr. Weaver, he also brings up-to-date knowledge given his introduction of the innovative Healthy Brain program in 1999 and his work keeping up to date on the latest medical science and neuroscience of brain injury, particularly in an older populations in order to keep his Health Brain program relevant. In his clinical practice, Dr. Kiraly has seen 10,000 cases of older individuals suffering from dementia or neurocognitive disorders or both, with about half of those cases being patients diagnosed with Alzheimer's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respect to the methodology, Dr. Kiraly spent approximately four hours on the assessment of Mr. Weaver and performed a complete mental status examination, administered approximately sixteen standardized questionnaires and screening tests including a Montreal Cognitive Assessment screen, interviewed Ms. Collette in some depth including seeking her input by way of screening questionnaires, and performed a thorough review of documents and medical reports before presenting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Kiraly also saw Mr. Weaver more recently than Dr. Medvedev. In his report of February 26, 2016, Dr. Kiraly provided the opinion that Mr. Weaver "still has residual symptoms (persistent post-concussion Syndrome (PPCS) now blending into early Neurocognitive Disorder (dementia)". Dr. Kiraly noted "definite progression and deterioration in the level of functioning" following a period of stability. Dr. Kiraly also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traumatic brain injury is usually the beginning of a series of neurodegenerative changes which alter brain function usually affecting mood, cognition and a endocrine function. Motor function may also be involved. In my opinion, this process has already begun and has assumed clinical proportions already in Mr. Weaver's case. It is very difficult to predict the rate and degree of progression. Traumatic brain injury is not a fixed stable disease but a progression of pathologic events (Masel BE, et. al. 2010). One may expect, indeed one must expect, further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Kiraly diagnosed Mr. Weaver as being at Stage Four or early dementia on the Global Deterioration Scale. Dr. Kiraly explained that Stage Five, (the very next Stage in the progression), would mean probably requiring assistance in functioning even at home. As explained by Dr. Kiraly, Stage Six is a progression to the point where Mr. Weaver could no longer live independently and would require assisted living support and, as he progresses, residential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Kiraly was of the opinion that, from a neuropsychiatric point of view, Mr. Weaver will be at a "much higher risk" for repeat head injury with added vulnerability to further damage, development of neurodegenerative disorders such as Alzheimer's disease or other dementing syndromes including cognitive deficits and loss of language, development of frontal lobe syndrome, neuromuscular disorders such as tremor, Parkinson's disease, chronic sleep disorder with possible underlying central sleep apnea rather than obstructive sleep apnea, severe fatigue, low stress tolerance, and doctrine disorders affecting energy level and stamina, sleep, sexual function, thyroid function, parathyroid function, antidiuretic hormone function, behavioural features such as disinhibition and/or apathy (a frontal lobe disorder which would put him at greater risk for diseases such as diabetes, obesity from overeating, law breaking, driving risk, etc., depression and high risk of suicidality (300% increase in likelihood compared to the general population), headaches, and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Even if his self-reports of improvement between 2011 and August 2013 are accepted as entirely accurate, Dr. Kiraly explained that the degenerative process is not linear and there can be periods of stability and improvements as a patient goes "downhill". This concept is again considered in the excerpts from the Bigler article endorsed by Dr. Medvedev. I accept this explanation as to why some of the self-reports of Mr. Weaver show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Much weight was placed in the course of the cross-examination of Dr. Kiraly on the fact that Mr. Weaver had reported periods of stability or even improvement during various visits to his family doctor and to Dr. O'Shaughnessy. While there is evidence consistent with Mr. Weaver having at least reported some improvements, the vast majority of that improvement occurred, as would be expected, in the first six-to-twelve months following the Collision. As well, I am satisfied that Mr. Weaver has shown on a number of occasions that he lacks insight regarding the deterioration of his faculties even though that deterioration is evident to the doctors who have seen him and others who deal with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Medvedev states that even mild traumatic brain injury is associated with higher odds of Alzheimer's disease, Parkinson's disease, depression, mixed affective disorders, and bipolar disorders. In his Spring 2006 opinions answering the question as to the extent to which Mr. Weaver's memory is likely to degrade over the next two years, Dr. Medvedev stated: "...I believe that in two years his ability to testify is likely to be severely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Regarding the opinion of Dr. Kiraly, Dr. Medvedev agreed that his opinion was medically plausible, there was considerable medical support for an association between mild traumatic brain injury and degenerative neurocognitive disorder in a person who suffered a mild traumatic brain injury at an advanced age, and there was a real possibility that Mr. Weaver's progressive neurocognitive deficits were related to the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Medvedev also acknowledged that: (a) there was a plausible association or connection between mild traumatic brain injury and the subsequent triggering of a process that can cause future dementia; (b) one of the most feared consequences of traumatic bring injury is dementia and a growing body of evidence suggests that a subset of individuals exhibit gradual declines in cognitive function after a brain injury, with older patients showing a greater decline over the first five years than younger patients; (c) there was a mechanism for long-term progressive brain damage, particularly to the corpus callosum, even in mild traumatic brain injury and progressive changes long after injury implicate active degenerative effects that are probably more than just age-related degenerative changes; and (d) having a brain injury shortens the time from when the dementia threshold would be achieved, regardless of the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Pirolli was able to test and gauge the progression between December of 2012 and January of 2016. In his April 18, 2016 "Updated Rebuttal Report", Dr. Medvedev found that the report of Dr. Pirolli was "particularly important" because it provided an "objective, detailed, validated information about the plaintiff's neurocognitive function and compares it to previous findings". Accordingly, I give greater weight to the opinion of Dr. Pirolli.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Pirolli was of the opinion that the prognosis for improvement for the "mood and functional capabilities" of Mr. Weaver was "poor" that a "full return to pre-accident levels of capabilities" was "less likely", that there was a "significant decline" in his "memory and many of his executive functions", and that the decline "may be representative of a dementia" although Dr. Pirolli deferred to a specialist in gerontology for further clarification of that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set out in the opinion of Dr. Pirolli, a small percentage of those who have suffered a mild traumatic brain injury "go on to have lasting problems". In reviewing the opinions of Dr. Pirolli, it is clear to me that there has been a steady deterioration between 2012 and 2016. I place heavy reliance on the opinions of Dr. Pirolli regarding the steady deterioration of Mr. Weaver as she has had the advantage of observing first hand the deterioration. While I do not accept the opinion of Dr. Medvedev that there is a probability albeit low of complete recovery, even Dr. Medvedev agrees that "steady employment" is not possible. Only Dr. Medvedev suggests that the current problems experienced by Mr. Weaver are as a result of "an independent process". All other doctors agree that what Mr. Webster is experiencing was caused by the mild traumatic brain injury that he suffered in the Collision and that the dementia was caused by the mild traumatic brain injury that he suffered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these regards, I also rely on my own observation at Trial. I found Mr. Weaver to be slow in making his responses and confused from time to time about what question was asked and what response he should give.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that Mr. Weaver is in "early dementia Stage Four" and that he is in the small percentage of individuals who suffer a mild brain injury and who later progresses to not only the "much higher" risks outlined by Dr. Kiraly but also to neurodegenerative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 RELATING TO THE NEUROCOGNITIVE DISORDER OF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If the opinion of Dr. Kiraly respecting causation is established, then Mr. Weaver is entitled to full compensation for all of his losses flowing from his degenerative neurocognitive disorder. If the opinion of Dr. Medvedev is accepted, then Dr. Medvedev's concession that the mild traumatic brain injury and the effects of the dementia create an indivisible injury as it pertains to the cognitive abilities of Mr. Weaver now and into the future which must be considered in the context of the discussion in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the discussion of the difference between the "crumbling skull" and the "thin skull" of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Where the non-tortious event, (dementia) is found to be a product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more specifically a mild traumatic brain injury, the non-tortious event does not affect the assessment of the "original position" and thereby reduce the net loss experienced. The "thin skull" rule makes the tortfeasor liable for the injuries even if the injuries are unexpectedly severe owing to a pre-existing condition. A tortfeasor takes a victim as he or she finds a plaintiff. Apportionment between tortious and non-tortious causes is contrary to the principles of tort law, because the defendant would escape full liability even though he or she caused or contributed to the entire injuries and the plaintiff would not be placed in the position he would have been in the absence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the other hand, the "crumbling skull" rule recognizes that, if a pre-existing condition was inherent in the "original position", a defendant need not put the plaintiff in a position better than his or her original position. Likewise, if there is a measurable risk that the pre-existing condition would have detrimentally affected the plaintiff in the future regardless of the tortious act then this can be taken into account in reducing the overall award. Here, there must first be a finding of a measurable risk that dementia would have occurred without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Weaver need only demonstrate on a balance of probabilities that, "but for" the negligent conduct of the Defendants, the particular injury would not have occurred, in this case the progressive cognitive disorder suffered by Mr. Weaver as well as the physical injuries to his head, shoulder, and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Causation is established by the "but for" test: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paras. 21, 24-25 and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13. On behalf of the majority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McLachlin C.J. made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'but for' causation test must be applied in a robust common sense fashion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'but for' causation is established by inference only, it is open to the defendant to argue or call evidence that the accident would have happened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 necessary cause of the injury, which was, in any event, inevitable...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8, 9 and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Defendants submit that, even if Mr. Weaver is found to have shown that one incident of mild traumatic brain injury caused an increased risk of developing a dementing illness, that alone would be insufficient to have proven causation on the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test. While accepting that "scientific proof" is not required under the 'but for' test and that a robust and pragmatic approach to determining causation is required, the Defendants submit the 'but for' test should not be so relaxed or expanded to permit nothing more than a 'common sense' or anecdotal analysis of the issue: </w:t>
      </w:r>
      <w:r>
        <w:rPr>
          <w:rFonts w:ascii="arial" w:eastAsia="arial" w:hAnsi="arial" w:cs="arial"/>
          <w:i/>
          <w:color w:val="000000"/>
          <w:sz w:val="20"/>
          <w:lang w:val="en-US" w:eastAsia="en-US" w:bidi="ar-SA"/>
        </w:rPr>
        <w:t>Boon v. Mann</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2016 BCCA 242</w:t>
        </w:r>
      </w:hyperlink>
      <w:r>
        <w:rPr>
          <w:rFonts w:ascii="arial" w:eastAsia="arial" w:hAnsi="arial" w:cs="arial"/>
          <w:color w:val="000000"/>
          <w:sz w:val="20"/>
          <w:lang w:val="en-US" w:eastAsia="en-US" w:bidi="ar-SA"/>
        </w:rPr>
        <w:t xml:space="preserve"> where Garson J.A.,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rule, a plaintiff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cannot succeed unless he shows as a matter of fact he would not have suffered the loss "but for" the defendant's negligent act. As noted, the appellants say that a trial judge should take a robust, pragmatic approach to determining causation, and that "scientific proof" is not always required: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the importance of establishing a substantial connection between the injury in question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Summarizing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said the following (at para. 21): "...The usual requirement of proof of "but for" causation should not be relaxed where the result would be to permit plaintiffs to recover in the absence of evidence connecting the defendant's fault to the plaintiff's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16-17)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that Mr. Weaver did not have any risk factors for the independent development of dementia. Mr. Weaver has no direct family history of dementia and his parents still live independently in their 90's. Mr. Weaver does not smoke and there is no evidence of high blood pressure. There is no obesity, there is no evidence of unusual brain lesions. Mr. Weaver holds a Masters Degree in Business Administration, he had challenging jobs as Registrars of well known institutions, he was mentally stimulated by being the controlling mind of Gryphon, and he was physically active with hockey and occasional workouts. I find that the odds of Mr. Weaver developing dementia at any age let alone as young as age 68 were so low after accounting for his medical history and the real epidemiology of dementia or Alzheimer's disease, that it ought not even be considered a real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satisfied and find that there no evidence that Mr. Weaver was suffering from any type of early onset dementia at the time of the Collision. Even Dr. Medvedev opined that, prior to the Collision, Mr. Weaver was of perfect health, presented with no evidence of significant other conditions that could be attributed to his complaints, and provided him with no reason at July of 2015 to believe that he would have suffered any other symptoms absent the Collision. The other doctors who diagnosed Mr. Weaver were of a similar opinion regarding the health of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While Dr. Medvedev opines that Mr. Weaver's dementia would have developed regardless of the Collision, I find that the evidence is insufficient to demonstrate that Mr. Weaver was a "crumbling skull" with a measurable risk of acquiring dementia at any time in the natural course of events. The only evidence which Dr. Medvedev presents with respect to this measurable risk is statistics. The only rationale presented by Dr. Medvedev is a "subclinical/undetectable process preceding injury and directly or indirectly triggering it and not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Even if I could make the finding that Mr. Weaver would have suffered from dementia eventually, I would find that the Collision lessened the time before Mr. Weaver would suffer from dementia, would conclude that Mr. Weaver could be described as having had a thin skull, and would find that the mild traumatic brain injury produced the rapid deterioration and dementia experienced by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After a review of the testimony at Trial and the medical opinions, I find that the memory lapses, the lack of concentration, the difficulties with sustaining attention, the disorganization after any disruption in his routine, and the other cognitive complaints of Mr. Weaver showed some improvement in the six to twelve months following the Collision but there has been a steady deterioration after that. I find that Mr. Weaver continues to struggle with basic memory functions. Even if the self-reports by Mr. Weaver of improvement between 2011 and August of 2013 are accepted as entirely accurate, I am satisfied that the degenerative process is not linear and there can be periods of stability and improvements as well as steady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a result of the injuries suffered in the Collision, I find that Mr. Weaver cannot retain information if it is not written down within seconds and cannot resume his focus on a task after there has been a delay or a distraction. I am also satisfied that his confidence has been eroded, that he is no longer effective or involved at work, and that his financial security is at risk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a result of the injuries suffered in the Collision, I find that Mr. Weaver is no longer in a position to effectively manage the business affairs of Gryphon. By 2013, I find that it was necessary for Ms. Collette to take over most of the banking responsibilities of Gryphon. In the preceding six months, Ms. Collette noticed that deposits that were meant to go into the revenues trust account were being deposited into the operational account and that Mr. Weaver was also depositing funds designated for the operational account into the revenues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also find that, since 2014, Ms. Collette has found it necessary to take over all of the non-cleaning components of the training of personnel. In this regard, Ms. Collette recalls the training of one franchisee in 2014 where the trainee had to operate the computer for the video and PowerPoint portions of the training because Mr. Weaver had forgotten how to operate the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also find that Mr. Weaver has suffered from a significantly reduced ability to motivate himself and an equally increased tendency to procrastinate. As a result, master franchiser work is not being completed in any reasonably timely manner. In this regard, Mr. Weaver delayed in complying with showing audit deficiencies so that Gryphon reached a stage where fines from Jani-King Canada could have been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also find that Mr. Weaver has been plagued by fatigue even though fatigue was not a problem prior to the Collision. In this regard, Ms. Collette testified that she began to hear Mr. Weaver occasionally snoring at his desk in the afternoon and that this was not the case prior to the Collision. In May of 2014, the 90 minute sessions of Mr. Weaver with the rehabilitation assistant were cut down to shorter sessions because it was observed that Mr. Weaver "would become very fatigued as the session progressed".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a result of the Collision, I find that Mr. Weaver is at a much higher risk for those problems set out by Dr. Kiraly in his opinion and that there has been a steady and definite progression and deterioration in the level of his functioning so that there will be a continuing degradation of his condition and higher odds of Alzheimer's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find that the Collision caused the traumatic brain injury and that the traumatic brain injury has led Mr. Weaver into dementia so that he is entitled to damages flowing from the negligent act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factors cited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as influencing an award for non-pecuniary damages are the following: (a) age of the plaintiff; (b) nature of the injury; (c) severity and duration of pain; (d) disability; (e) emotional suffering; (f) impairment of life; (g) impairment of family, marital and social relationships; (h) impairment of physical and mental abilities; (i) loss of lifestyle; (j) and 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Weaver was approaching his 64th birthday at the time of the Collision and, after putting in a working life of more than 40 years including 15 years building his business with Gryphon, he was closing in on his retirement years. In addition to the severity and duration of the pain associated with the physical complaints of Mr. Weaver, I am satisfied that it is necessary to emphasize the impairment of life, the impairment of his mental abilities, his loss of lifestyle, and the fact that his ability to earn income through Gryphon has been diminished. I also take into account the fact that the impairment of his mental abilities has led to a diminishing ability for self-reporting and self-analysis and that this is not a factor which should penalize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Regarding the factor of the age of a plaintiff, the following statement of Lord Justice Sachs in </w:t>
      </w:r>
      <w:r>
        <w:rPr>
          <w:rFonts w:ascii="arial" w:eastAsia="arial" w:hAnsi="arial" w:cs="arial"/>
          <w:i/>
          <w:color w:val="000000"/>
          <w:sz w:val="20"/>
          <w:lang w:val="en-US" w:eastAsia="en-US" w:bidi="ar-SA"/>
        </w:rPr>
        <w:t>Frank v. Cox</w:t>
      </w:r>
      <w:r>
        <w:rPr>
          <w:rFonts w:ascii="arial" w:eastAsia="arial" w:hAnsi="arial" w:cs="arial"/>
          <w:color w:val="000000"/>
          <w:sz w:val="20"/>
          <w:lang w:val="en-US" w:eastAsia="en-US" w:bidi="ar-SA"/>
        </w:rPr>
        <w:t xml:space="preserve"> was cited with approval by Justice Fraser in </w:t>
      </w:r>
      <w:r>
        <w:rPr>
          <w:rFonts w:ascii="arial" w:eastAsia="arial" w:hAnsi="arial" w:cs="arial"/>
          <w:i/>
          <w:color w:val="000000"/>
          <w:sz w:val="20"/>
          <w:lang w:val="en-US" w:eastAsia="en-US" w:bidi="ar-SA"/>
        </w:rPr>
        <w:t>Giles v. Canada (Attorney General)</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[1994] B.C.J. No. 3212</w:t>
        </w:r>
      </w:hyperlink>
      <w:r>
        <w:rPr>
          <w:rFonts w:ascii="arial" w:eastAsia="arial" w:hAnsi="arial" w:cs="arial"/>
          <w:color w:val="000000"/>
          <w:sz w:val="20"/>
          <w:lang w:val="en-US" w:eastAsia="en-US" w:bidi="ar-SA"/>
        </w:rPr>
        <w:t xml:space="preserve"> (S.C.), rev'd on other grounds </w:t>
      </w:r>
      <w:hyperlink r:id="rId569" w:history="1">
        <w:r>
          <w:rPr>
            <w:rFonts w:ascii="arial" w:eastAsia="arial" w:hAnsi="arial" w:cs="arial"/>
            <w:i/>
            <w:color w:val="0077CC"/>
            <w:sz w:val="20"/>
            <w:u w:val="single"/>
            <w:shd w:val="clear" w:color="auto" w:fill="FFFFFF"/>
            <w:lang w:val="en-US" w:eastAsia="en-US" w:bidi="ar-SA"/>
          </w:rPr>
          <w:t>(1996), 21 B.C.L.R. (3d) 190</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take the view myself that when one has a person in advancing years, in some respects an impairment of movement may perhaps be more serious than it is with a younger person. It is true, as Mr. Chedlow has stressed, that he has not got as many years before him through which he has to live with this discomfort, pain and impairment of movement. But it is important to bear in mind that as one advances in life one's pleasures and activities particularly do become more limited, and any substantial impairment in the limited amount of activity and movement which a person can undertake, in my view, becomes all the more serious on that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this regard, Justice Griffin (as she then was) noted the following in </w:t>
      </w:r>
      <w:r>
        <w:rPr>
          <w:rFonts w:ascii="arial" w:eastAsia="arial" w:hAnsi="arial" w:cs="arial"/>
          <w:i/>
          <w:color w:val="000000"/>
          <w:sz w:val="20"/>
          <w:lang w:val="en-US" w:eastAsia="en-US" w:bidi="ar-SA"/>
        </w:rPr>
        <w:t>Fata v. Heinonen</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2010 BCSC 385</w:t>
        </w:r>
      </w:hyperlink>
      <w:r>
        <w:rPr>
          <w:rFonts w:ascii="arial" w:eastAsia="arial" w:hAnsi="arial" w:cs="arial"/>
          <w:color w:val="000000"/>
          <w:sz w:val="20"/>
          <w:lang w:val="en-US" w:eastAsia="en-US" w:bidi="ar-SA"/>
        </w:rPr>
        <w:t xml:space="preserve"> in the context of a 59 year-old electronics technician who suffered a neck and back injury in a motor vehicle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retirement years are special years for they are at a time in a person's life when he realizes his own mortality. When someone who has always been physically active loses his physical function in these years, the enjoyment of retirement can be severely diminished, with less opportunity to replace these activities with other interests in life. Further, what may be a small loss of function to a younger person who is active in many other ways may be a larger loss to an older person whose activities are already constrained by 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88)</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Submissions on behalf of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is submitted on behalf of Mr. Weaver that the loss of cognitive functioning at his age would have a more dramatically negative effect on his "golden years" as a younger person has time to adapt to the privileged effects of a mild traumatic brain injury and to maintain an active lifestyle. It is submitted that the next ten years will come with a diminishment and then elimination of his physical capabilities to engage in work and to keep up with work around the home and the yard, to perform activities of daily living, and to the ultimate loss of the ability to remain 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consideration of all of the above along with consideration of the fact that the parents of Mr. Weaver remain in good physical and mental health, the sum of $200,000 is said to be the most appropriate assessment of non-pecuniary damages. In support of this assessment, Mr. Weaver relies on the following decisions:</w:t>
      </w:r>
      <w:r>
        <w:rPr>
          <w:rFonts w:ascii="arial" w:eastAsia="arial" w:hAnsi="arial" w:cs="arial"/>
          <w:sz w:val="20"/>
          <w:lang w:val="en-US" w:eastAsia="en-US" w:bidi="ar-SA"/>
        </w:rPr>
        <w:cr/>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Wong (Litigation Guardian of) v. Towns</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2015 BCSC 1333</w:t>
        </w:r>
      </w:hyperlink>
      <w:r>
        <w:rPr>
          <w:rFonts w:ascii="arial" w:eastAsia="arial" w:hAnsi="arial" w:cs="arial"/>
          <w:color w:val="000000"/>
          <w:sz w:val="20"/>
          <w:lang w:val="en-US" w:eastAsia="en-US" w:bidi="ar-SA"/>
        </w:rPr>
        <w:t xml:space="preserve"> where non-pecuniary damages of $180,000 were awarded to a woman who was 80 and retired. Ms. Wong suffered soft tissue injuries, and a mild traumatic brain injury with later persistent symptoms of concussion including anxiety and depression, cognitive changes, sleep difficulties and significant personality change. Bruce J. found Ms. Wong to have a "thin skull" and found that the mild traumatic brain injury triggered dementia-related symptoms and persistent post-concussion syndrome.</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Watkins v. Dormuth</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2014 BCSC 543</w:t>
        </w:r>
      </w:hyperlink>
      <w:r>
        <w:rPr>
          <w:rFonts w:ascii="arial" w:eastAsia="arial" w:hAnsi="arial" w:cs="arial"/>
          <w:color w:val="000000"/>
          <w:sz w:val="20"/>
          <w:lang w:val="en-US" w:eastAsia="en-US" w:bidi="ar-SA"/>
        </w:rPr>
        <w:t>, where non-pecuniary damages of $175,000 were awarded to a 32 year-old pulp mill worker whose vehicle was struck by a police car. The plaintiff was amnesic until she was at the hospital and suffered a wound to her head requiring stitches. Ms. Watkins described her initial cognitive symptoms as a sense of confusion and impairment and suffered lingering cognitive problems included difficulty with memory, poor concentration, fatigue, irritability and noise intolerance and problems with low mood. Ms. Watkins was left entirely reliant on a day planner and had to write everything down to remember. Though Ms. Watkins also suffered soft tissue injuries to her low back which had settled into a nuisance pain, to her neck and shoulders which lingered periodically, and to headaches, she was able to continue taking university courses, play hockey, soccer, and golf following the collision. No evidence was presented nor was any suggestion made that her injuries were degenerative or that she would ever acquire a neurodegenerative disorder as a result of the subject collision.</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Submissions on Behalf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Defendants submit that damages should be awarded on the basis of the relatively short-lived and non-debilitating soft-tissue injuries to his chest and shoulder and the sequelae of a mild traumatic brain injury that include memory difficulty, difficulty with attention and with fatigue. The Defendants submit that a reasonable range for non-pecuniary damages is between $85,000 and $125,000 and rely on the following decisions to support that submission:</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Gillespie v. Yellow Cab Company Ltd.</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2014 BCSC 1745</w:t>
        </w:r>
      </w:hyperlink>
      <w:r>
        <w:rPr>
          <w:rFonts w:ascii="arial" w:eastAsia="arial" w:hAnsi="arial" w:cs="arial"/>
          <w:color w:val="000000"/>
          <w:sz w:val="20"/>
          <w:lang w:val="en-US" w:eastAsia="en-US" w:bidi="ar-SA"/>
        </w:rPr>
        <w:t>, a 65-year-old plaintiff was found to have suffered a mild traumatic brain injury that caused him to experience cognitive impairment, continuing headaches, personality change, sleep disturbance, memory dysfunction, impaired concentration and attention in addition to an inner ear disturbance. At the time of the accident, the plaintiff operated his own flooring business. An award of $85,000 in non-pecuniary damages was made.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Nahal v. Ram</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2016 BCSC 39</w:t>
        </w:r>
      </w:hyperlink>
      <w:r>
        <w:rPr>
          <w:rFonts w:ascii="arial" w:eastAsia="arial" w:hAnsi="arial" w:cs="arial"/>
          <w:color w:val="000000"/>
          <w:sz w:val="20"/>
          <w:lang w:val="en-US" w:eastAsia="en-US" w:bidi="ar-SA"/>
        </w:rPr>
        <w:t>, the plaintiff was 17 years old and suffered a mild traumatic brain injury. The evidence was that the injury had a profound effect on his intellect, spirit and lifestyle and that his confidence had been affected by his memory problems and his lack of interest in formally enjoyable activities. An award of non-pecuniary damages of $100,000 was made.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Goguen v. British Columbia</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2002 BCSC 1598</w:t>
        </w:r>
      </w:hyperlink>
      <w:r>
        <w:rPr>
          <w:rFonts w:ascii="arial" w:eastAsia="arial" w:hAnsi="arial" w:cs="arial"/>
          <w:color w:val="000000"/>
          <w:sz w:val="20"/>
          <w:lang w:val="en-US" w:eastAsia="en-US" w:bidi="ar-SA"/>
        </w:rPr>
        <w:t>, a 50-year-old plaintiff suffered significant orthopedic injury to his wrist, facial injuries, and a mild traumatic brain injury which lead to a change in personality and social functioning, and causing the plaintiff to suffer reduced memory leading to loss of train-of-thought and a forgetting of tasks he had done and those that needed to be completed. An award of $125,000 for non-pecuniary damages was made.</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 Regarding the Non-Pecuniary Damages of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am satisfied that it is now established that mild traumatic brain injury or subdural haematoma can lead to Alzheimer's disease, frontotemporal dementia, or an increased risk of dementia.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his December 1, 2010 statement to ICBC, Mr. Weaver indicated that he had lost consciousness after the Collision. In his report, Dr. O'Shaughnessy assumes that Mr. Weaver lost consciousness but does not indicate how he arrived at that conclusion. On the other hand but without attribution, the notes of Dr. Burtt and Ms. Hubbard indicate no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find that Mr. Weaver has proven on a balance of probabilities that he was unconscious for more than a several seconds as a result of the Collision. In this regard, I am satisfied that what Ms. Cotton observed when she came to the side of his truck is accurate and that Mr. Weaver was "kind of like waking". I am satisfied that what Ms. Cotton observed was Mr. Weaver regaining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Even if I am found to be incorrect in arriving at the conclusion that Mr. Weaver lost consciousness for a short period, I am satisfied that he did suffer a traumatic brain injury. In this regard, I adopt the indicia set out by Dr. Kiraly that a traumatically induced psychological disruption of brain function (a traumatic brain injury) can be manifested by "at least one" of any period of loss of consciousness, of loss of memory for events immediately before or after the Collison, and of alteration in mental state at the time of the Collision. I find that Mr. Weave manifested all three of those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Taking into account the age of Mr. Weaver, I give very little weight to the decisions in </w:t>
      </w:r>
      <w:r>
        <w:rPr>
          <w:rFonts w:ascii="arial" w:eastAsia="arial" w:hAnsi="arial" w:cs="arial"/>
          <w:i/>
          <w:color w:val="000000"/>
          <w:sz w:val="20"/>
          <w:lang w:val="en-US" w:eastAsia="en-US" w:bidi="ar-SA"/>
        </w:rPr>
        <w:t>Nahal, Goguen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Watkins</w:t>
      </w:r>
      <w:r>
        <w:rPr>
          <w:rFonts w:ascii="arial" w:eastAsia="arial" w:hAnsi="arial" w:cs="arial"/>
          <w:color w:val="000000"/>
          <w:sz w:val="20"/>
          <w:lang w:val="en-US" w:eastAsia="en-US" w:bidi="ar-SA"/>
        </w:rPr>
        <w:t xml:space="preserve"> relied upon by the Defendants. I find that the decision in </w:t>
      </w:r>
      <w:r>
        <w:rPr>
          <w:rFonts w:ascii="arial" w:eastAsia="arial" w:hAnsi="arial" w:cs="arial"/>
          <w:i/>
          <w:color w:val="000000"/>
          <w:sz w:val="20"/>
          <w:lang w:val="en-US" w:eastAsia="en-US" w:bidi="ar-SA"/>
        </w:rPr>
        <w:t>Wong, supra</w:t>
      </w:r>
      <w:r>
        <w:rPr>
          <w:rFonts w:ascii="arial" w:eastAsia="arial" w:hAnsi="arial" w:cs="arial"/>
          <w:color w:val="000000"/>
          <w:sz w:val="20"/>
          <w:lang w:val="en-US" w:eastAsia="en-US" w:bidi="ar-SA"/>
        </w:rPr>
        <w:t xml:space="preserve">, most closely represents the facts presented by the effects of the collision on Mr. Weaver even though there was finding in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xml:space="preserve"> that the accident accelerated the onset of dementia. Here, I could find that there was no pre-disposition to dementia so that an award of non-pecuniary damages here should take that into account but not the advanced age of Ms.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Taking into account the increased risk factors in the future as set out in the opinion of Dr. Kiraly, the severity and duration of the pain at the back of his head, his shoulder and his chest, the impairment of his life, the impairment of his mental abilities, the loss of his lifestyle, the failure of his memory and ability to concentrate, the susceptibility and greater risk associated with Stage Four dementia, the impairment of his social, occupational, recreational function, and his age, I am satisfied that an assessment of non-pecuniary damages of $175,000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 plaintiff who carries on business through a company of which he or she is a substantial shareholder is entitled to claim in his or her own name for the value of the loss of earning capacity to the company directly caused by the injuries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23 and </w:t>
      </w:r>
      <w:r>
        <w:rPr>
          <w:rFonts w:ascii="arial" w:eastAsia="arial" w:hAnsi="arial" w:cs="arial"/>
          <w:i/>
          <w:color w:val="000000"/>
          <w:sz w:val="20"/>
          <w:lang w:val="en-US" w:eastAsia="en-US" w:bidi="ar-SA"/>
        </w:rPr>
        <w:t>Evertt v. King</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(1981), 34 B.C.L.R. 27</w:t>
        </w:r>
      </w:hyperlink>
      <w:r>
        <w:rPr>
          <w:rFonts w:ascii="arial" w:eastAsia="arial" w:hAnsi="arial" w:cs="arial"/>
          <w:color w:val="000000"/>
          <w:sz w:val="20"/>
          <w:lang w:val="en-US" w:eastAsia="en-US" w:bidi="ar-SA"/>
        </w:rPr>
        <w:t xml:space="preserve"> (S.C.) at paras.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If satisfied on a balance of probabilities that the injuries suffered by Mr. Weaver caused an impairment of his ability to run his business, then the loss is a loss of earning capacity or a claim for the loss of the value of the work that Mr. Weaver would have performed but was unable to perform because of the injury must be assessed: </w:t>
      </w:r>
      <w:r>
        <w:rPr>
          <w:rFonts w:ascii="arial" w:eastAsia="arial" w:hAnsi="arial" w:cs="arial"/>
          <w:i/>
          <w:color w:val="000000"/>
          <w:sz w:val="20"/>
          <w:lang w:val="en-US" w:eastAsia="en-US" w:bidi="ar-SA"/>
        </w:rPr>
        <w:t>Rowe, supra</w:t>
      </w:r>
      <w:r>
        <w:rPr>
          <w:rFonts w:ascii="arial" w:eastAsia="arial" w:hAnsi="arial" w:cs="arial"/>
          <w:color w:val="000000"/>
          <w:sz w:val="20"/>
          <w:lang w:val="en-US" w:eastAsia="en-US" w:bidi="ar-SA"/>
        </w:rPr>
        <w:t>, at paras. 30-31.</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Submissions on Behalf of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Counsel for Mr. Weaver submits that I should assess reduced company profits in determining the appropriate assessment of the past loss of opportunity of Mr. Weaver to earn business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For financial year-end 2008, Gryphon which was operated solely by Mr. Weaver with only the limited administrative/receptionist role and assistance of Ms. Collette earned $2,000,000 in revenue. Revenue in the pre-Collision financial years-end 2006, 2007 and 2009 was fairly consistent - between $1,790,000 and $1,860,000. Revenue in the post-Collision financial years-end 2011, 2012, 2014, and 2015 was consistently between $1,370,000 and $1,460,000 and that represents a revenue decrease of approximately $330,000 - $490,000 per fiscal year despite the effects of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Counsel for Mr. Weaver also refers to a "large, non-exhaustive list of real potential opportunities" that were not realized at least in part due to the inability of Mr. Weaver to function effectively. In addition to the lost opportunities, Ms. Collette gave evidence of a number of quoting opportunities that were not pursued because the quote sheets were lost by Mr. Weaver and discovered after it was too late to submit them. Counsel for Mr. Weaver points out that the two Gryphon regions were losing existing clients in 2015 at nearly double the national average as the 2015 cancellation rate for all of Canada was .86 but was 1.59 for Southern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is submitted that the most appropriate way to approach the assessment of all of the real and substantial possibilities, positive contingencies and negative contingencies (such as economic factors or competition issues) would be to assess the loss of profit as being the difference between annual profit earned between year-end 2006 and year-end 2010 (the five fiscal-year period immediately preceding the Collision) and the annual profit earned between year-end 2012 and year-end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his August 3, 2015 opinion, Mr. Matthews of Blair Mackay Bynett calculates the post-Collision loss of income to be $128,102 net of income taxes based on the loss of gross profit from the 16 customers that were said by Ms. Collette to be lost to Gryphon as a result of the Collision-related injuries of Mr. Weaver. The calculation of the past loss of income "net of taxes" was calculated to be $6,306 (2011), $11,592 (2012), $20,191 (2013), $29,158 (2014), $49,748 (2015), and $11,017 (August 1, 2015 through October 26, 2015). The past loss of income before taxes totaled $188,641 in the August 3, 2015 opinion of Mr. Matthews,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his March 3, 2016 opinion, Mr. Matthews was asked to assume that, absent the Collision, the revenue growth of Gryphon was compared against the actual revenue growth in three other regions of Jani-King Canada: (a) Vancouver Island Region; (b) Eastern Ontario region; and (c) Northern B.C. region. The figures for those regions were obtained from Jani-King Canada and were said to be regions somewhat comparable to the regions controlled by Gryphon. Based on the assumption that Gryphon would have experienced revenue growth based on the same revenue growth rates experienced in those three regions, that Mr. Weaver would have retired from full-time work at age 73, and that, as a result of the Collision, Mr. Weaver would retire on May 30, 2016 and will therefore incur an annual loss of income from May 30, 2016 through to age 73, the loss of past income was calculated by Mr. Matthews to be: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19" type="#_x0000_t75" style="width:387.75pt;height:142.5pt">
            <v:imagedata r:id="rId578" o:title=""/>
          </v:shape>
        </w:pict>
      </w:r>
      <w:r>
        <w:rPr>
          <w:rFonts w:ascii="arial" w:eastAsia="arial" w:hAnsi="arial" w:cs="arial"/>
          <w:sz w:val="20"/>
          <w:lang w:val="en-US" w:eastAsia="en-US" w:bidi="ar-SA"/>
        </w:rPr>
        <w:t xml:space="preserve">  </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Submissions on Behalf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Counsel for the Defendants submits that it has not been proven on a balance of probabilities that the 16 potential customers were lost as a result of the injuries suffered by Mr. Weaver in the Collision. Counsel also submits that the evidence of Ms. Collette did not take into account the increased competition facing Gryphon or any other reasons why Gryphon may not have been successful in obtaining the 16 contracts, that there was no evidence led regarding the length of possible contracts nor the amounts that were said to be lost, and that the regions of Vancouver Island, Eastern Ontario, and Northern British Columbia are not comparable to the two regions of Gryphon within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Counsel for the Defendants submits that the opinions and calculations set out in the opinion of Mr. Matthews cannot be used for anything other than his opinion that the gross profit margin of Gryphon is 10.1% of total revenues before fixed or indirect variable expenses are taken into account and that the post-Collision revenues of Gryphon increased from the level achieved during the physical year ending July 31, 2010, the year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dealing with what is the appropriate determination of the lost of past income earning capacity, the Defendants rely on the decision in </w:t>
      </w:r>
      <w:r>
        <w:rPr>
          <w:rFonts w:ascii="arial" w:eastAsia="arial" w:hAnsi="arial" w:cs="arial"/>
          <w:i/>
          <w:color w:val="000000"/>
          <w:sz w:val="20"/>
          <w:lang w:val="en-US" w:eastAsia="en-US" w:bidi="ar-SA"/>
        </w:rPr>
        <w:t>Reynolds v. M. Sanghera and Sons Trucking Ltd</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2015 BCCA 232</w:t>
        </w:r>
      </w:hyperlink>
      <w:r>
        <w:rPr>
          <w:rFonts w:ascii="arial" w:eastAsia="arial" w:hAnsi="arial" w:cs="arial"/>
          <w:color w:val="000000"/>
          <w:sz w:val="20"/>
          <w:lang w:val="en-US" w:eastAsia="en-US" w:bidi="ar-SA"/>
        </w:rPr>
        <w:t xml:space="preserve"> where Garson J.A., on behalf of the Court described earning capacity by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Earning capacity is an asset. The value of Mr. Reynolds' lost earning capacity is the income of Mr. Reynolds... could have earned if that earning capacity had not been lost. Such valuations could be relatively straightforward if a plaintiff could show, for example, that they did in fact hire an additional employee to compensate for the lost "capacity" period. In such circumstances, the additional wages quantified the loss. The value of loss opportunities or sales could also help quantify the value of the lost earning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Defendants submit that, using the analysis set out in </w:t>
      </w:r>
      <w:r>
        <w:rPr>
          <w:rFonts w:ascii="arial" w:eastAsia="arial" w:hAnsi="arial" w:cs="arial"/>
          <w:i/>
          <w:color w:val="000000"/>
          <w:sz w:val="20"/>
          <w:lang w:val="en-US" w:eastAsia="en-US" w:bidi="ar-SA"/>
        </w:rPr>
        <w:t>Reynolds, supra</w:t>
      </w:r>
      <w:r>
        <w:rPr>
          <w:rFonts w:ascii="arial" w:eastAsia="arial" w:hAnsi="arial" w:cs="arial"/>
          <w:color w:val="000000"/>
          <w:sz w:val="20"/>
          <w:lang w:val="en-US" w:eastAsia="en-US" w:bidi="ar-SA"/>
        </w:rPr>
        <w:t>, the net income/losses sustained by Gryphon in the years before and after the Collision can be summarized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0" type="#_x0000_t75" style="width:388.5pt;height:284.25pt">
            <v:imagedata r:id="rId580"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Defendants also submit that the personal income of Mr. Weaver has not decreased as a result of the Collision and has remained at approximately $50,000 since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1464"/>
        <w:gridCol w:w="1464"/>
        <w:gridCol w:w="1255"/>
        <w:gridCol w:w="4182"/>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T4</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Dividends</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OAP</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2005</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$28,800</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$28,800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$60,514</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$60,663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2007</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$65,194</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$65,194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$54,000</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$54,000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$36,000</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$30,500</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*MVA - Nov. 19/10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$48,311</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$13,200</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$61,511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$50,107</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$5,430</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$55,537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$50,106</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$6,579</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$56,685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2014</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$50,107</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$6,676</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$56,783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Decision Relating to Past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From a review of its financial statements, it is clear that Gryphon has increased revenues every year since the Collision including 2013 where Gryphon had an abnormal increase in revenues due to an one-time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only possible lost contract where the income was in evidence would have been at Sunset Ranch Golf Course from March, 2016 to October 2016 at $1800 per month for eight months. There, the quote was not sent in a timely manner and Sunset went with a higher quote rather than wait. The loss to Gryphon of this contract is only $1,454 assuming a 10.1% gross profit margin.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is evidence regarding an Interior Savings Credit Union branch and the complaints relating to the performance of a franchisee at a particular branch. The franchisee was replaced by Mr. Weaver but it also attracted complaints. Rather than risk Gryphon having more complaints from that location and risk losing some of the other five locations, the contract for that particular location was transferred to a competitor. Assuming that Gryphon lost that contract because of the inability of Mr. Weaver to put a proper unit franchisee in place as a result of the Collision, the loss to Gryphon over the past three years is in the neighbourhood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cannot be satisfied that Mr. Weaver has shown on a balance of probabilities that many contracts were lost as a result of the injuries suffered by him in the Collision. In any event, the gross profit, the net profit, and the expenses relating to the contracts said to be lost have not been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Also, I cannot be satisfied that Gryphon was not affected by increased competition and by economic conditions in the two regions it controlled. As well, there is no evidence that, as a result of the injuries suffered in the Collision, Gryphon lost any of the unit franchisees who generate the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Counsel for the Defendants submits that, if a net past loss of earning capacity in the range of $25,000 to $50,000 is based partially on lost "small jobs", I would have to find that Gryphon lost between $250,000 to $500,000 in sales over the past 5.5 years due to the slim 10.1% margin before indirect variable and fixed expenses and I would have to conclude that Gryphon would have been able to accomplish additional income of $250,000 to $500,000 while maintaining their costs at pre-Collision levels and not have to hire any additional staff to service the additional work. The loss of $250,000 to $500,000 is significant given that sales prior to the Collision were $1,350.000 and that Gryphon has managed to increase its sales every year since the Collision to $1,460,000. Counsel for the Defendants submits that it is not "realistically grounded" in the evidence that Gryphon could have increased his sales a further $250,000 to $500,000 in it increasingly competitive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dealing with past net loss of income earning capacity, I take into account that Mr. Weaver had been taking income of $50,000 per year from Gryphon and that this continued after the Collision. However, I am not prepared to assume that $50,000 was the only money that was available in 2012 through 2014. First, there is no evidence before me regarding the level of undistributed income available in Gryphon. Second, the amount available for distribution would have been increased by any non-cash expenses such as depreciation. Third, it is clear that the income of $50,000 for the years 2012 through 2014 is about $6,000 less than the total income including dividends of $13,200 that was available from Gryphon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Regarding the projections of Mr. Matthews basing the revenue growth as Gryphon as compared to the actual revenue growth in three other regions of Jani-King Canada, I have come to the conclusion as did Mr. Matthews that those three regions are not comparable. Accordingly, I do not take into account the three Scenarios outlined by Mr. Matthews in those regards.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Taking into account the average loss of revenue as somewhere between $330,000 and $490,000 and the 10.1% ratio that I find between gross profit and total revenues, I assess the past loss of opportunity at $40,000. This amount reflects the decrease on the average revenue between what was consistently between $1,790,000 and $1,860,000 and was later consistently between $1,370,000 and $1,460,000, the 10.1% ratio between total revenues and gross profit, the average amount taken out of Gryphon by Mr. Weaver, and the total amount available in Gryphon to be taken out of the company by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Brennan v. Singh</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(1999), 86 A.C.W.S. (3d) 537</w:t>
        </w:r>
      </w:hyperlink>
      <w:r>
        <w:rPr>
          <w:rFonts w:ascii="arial" w:eastAsia="arial" w:hAnsi="arial" w:cs="arial"/>
          <w:color w:val="000000"/>
          <w:sz w:val="20"/>
          <w:lang w:val="en-US" w:eastAsia="en-US" w:bidi="ar-SA"/>
        </w:rPr>
        <w:t xml:space="preserve"> (S.C.) set out the relevant principles in the assessment of an "in trust"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of "in trust" claims has been given considerable attention in recent years, including, particularly, where the services in question have been rendered within the perspective of a husband/wife relationship or by a child or relative of the family. Here, the relationship is marital and brings into consideration the usual factors of such a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useful to review briefly the factors which are considered in the assessment of such claims. They are:</w:t>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services replace services necessary for the care of the plaintiff;</w:t>
      </w:r>
    </w:p>
    <w:p>
      <w:pPr>
        <w:numPr>
          <w:numId w:val="3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here the spouse, are they over and above what would be expected from the marital relationship?</w:t>
      </w:r>
    </w:p>
    <w:p>
      <w:pPr>
        <w:numPr>
          <w:numId w:val="3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w:t>
      </w:r>
    </w:p>
    <w:p>
      <w:pPr>
        <w:numPr>
          <w:numId w:val="3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 longer necessary that the person providing the services has foregone other income and there need not be payment for such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94-95)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Hall v. Miller</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(1989), 64 D.L.R. (4th) 369</w:t>
        </w:r>
      </w:hyperlink>
      <w:r>
        <w:rPr>
          <w:rFonts w:ascii="arial" w:eastAsia="arial" w:hAnsi="arial" w:cs="arial"/>
          <w:color w:val="000000"/>
          <w:sz w:val="20"/>
          <w:lang w:val="en-US" w:eastAsia="en-US" w:bidi="ar-SA"/>
        </w:rPr>
        <w:t xml:space="preserve"> (B.C.C.A.), the plaintiff and his wife took over the management of a motel in Victoria two months after a collision when the plaintiff was physically disabled from assisting as he intended to. The wife of the plaintiff took over and performed 75% of the work when the intention was to divide the work equally. On behalf of the Court, Seaton J.A. made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and his wife together received exactly the same amount from the owners of the motel as they would have received if he had been healthy. The fact that they were husband and wife should not affect their position in relation to the employer or the tortfeasor. Mrs. Hall must have worked much harder than usual in order to make the family succeed notwithstanding the accident, probably harder than an associate in business would have worked if that associate was not a spouse.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a case where wages continue and one can say there has been no loss. Rather, it is a case in which there was a loss suffered by the plaintiff and Mrs. Hall provided the services that the plaintiff was unable to provide. It seems to me that the loss is the plaintiff's loss just as it would have been if an outsider had been employed to do his work. Mrs. Hall's contribution assisted the plaintiff in surviving the loss but did not do away with the loss. Where work is done by others that because of its nature or extent would not normally be done without payment, as is the case here and in Johnson, it is a matter for 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arrangement that was entered into, even if only 25 per cent of the income is attributable to the plaintiff, represented a significant reduction in his damage claim. He, with the assistance of his wife, was mitigating in a most practical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allow the appeal and make an award with respect to the plaintiff's lost earning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(2010), 1 B.C.L.R. (5th) 246</w:t>
        </w:r>
      </w:hyperlink>
      <w:r>
        <w:rPr>
          <w:rFonts w:ascii="arial" w:eastAsia="arial" w:hAnsi="arial" w:cs="arial"/>
          <w:color w:val="000000"/>
          <w:sz w:val="20"/>
          <w:lang w:val="en-US" w:eastAsia="en-US" w:bidi="ar-SA"/>
        </w:rPr>
        <w:t xml:space="preserve"> (C.A.), the plaintiff had sought in-trust damages for the labour of her parents who provided assistance in their joint business but the trial judge refused to put this issue to the jury. On appeal, the following statement was made by Newbury J.A. on behalf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(S.C.)], it has been settled law in this province that "housekeeping and other spousal services have economic value for which a claim by an injured party will lie even where those services are replaced gratuitously from within the family."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such recovery was allowed under the heading of 'loss of future ability to perform household tasks', but obviously, damages for loss of such ability prior to trial may also be properly claimed and recovered: see, e.g.,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(B.C. C.A.) at paras, 43, 51-7, per Huddart J.A.; </w:t>
      </w:r>
      <w:r>
        <w:rPr>
          <w:rFonts w:ascii="arial" w:eastAsia="arial" w:hAnsi="arial" w:cs="arial"/>
          <w:i/>
          <w:color w:val="000000"/>
          <w:sz w:val="20"/>
          <w:lang w:val="en-US" w:eastAsia="en-US" w:bidi="ar-SA"/>
        </w:rPr>
        <w:t>West v. Cotton</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(1995), 10 B.C.L.R. (3d) 73</w:t>
        </w:r>
      </w:hyperlink>
      <w:r>
        <w:rPr>
          <w:rFonts w:ascii="arial" w:eastAsia="arial" w:hAnsi="arial" w:cs="arial"/>
          <w:color w:val="000000"/>
          <w:sz w:val="20"/>
          <w:lang w:val="en-US" w:eastAsia="en-US" w:bidi="ar-SA"/>
        </w:rPr>
        <w:t xml:space="preserve"> (B.C. C.A.) at para. 25; and </w:t>
      </w:r>
      <w:r>
        <w:rPr>
          <w:rFonts w:ascii="arial" w:eastAsia="arial" w:hAnsi="arial" w:cs="arial"/>
          <w:i/>
          <w:color w:val="000000"/>
          <w:sz w:val="20"/>
          <w:lang w:val="en-US" w:eastAsia="en-US" w:bidi="ar-SA"/>
        </w:rPr>
        <w:t>Campbell v. Banman</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2009 BCCA 484</w:t>
        </w:r>
      </w:hyperlink>
      <w:r>
        <w:rPr>
          <w:rFonts w:ascii="arial" w:eastAsia="arial" w:hAnsi="arial" w:cs="arial"/>
          <w:color w:val="000000"/>
          <w:sz w:val="20"/>
          <w:lang w:val="en-US" w:eastAsia="en-US" w:bidi="ar-SA"/>
        </w:rPr>
        <w:t xml:space="preserve"> (B.C. C.A.). The reasoning in Kroeker has been extended beyond "spousal" services to services rendered by other members of a family: see </w:t>
      </w:r>
      <w:r>
        <w:rPr>
          <w:rFonts w:ascii="arial" w:eastAsia="arial" w:hAnsi="arial" w:cs="arial"/>
          <w:i/>
          <w:color w:val="000000"/>
          <w:sz w:val="20"/>
          <w:lang w:val="en-US" w:eastAsia="en-US" w:bidi="ar-SA"/>
        </w:rPr>
        <w:t xml:space="preserve">Boren v. Vancouver Resource Society, </w:t>
      </w:r>
      <w:hyperlink r:id="rId587" w:history="1">
        <w:r>
          <w:rPr>
            <w:rFonts w:ascii="arial" w:eastAsia="arial" w:hAnsi="arial" w:cs="arial"/>
            <w:i/>
            <w:color w:val="0077CC"/>
            <w:sz w:val="20"/>
            <w:u w:val="single"/>
            <w:shd w:val="clear" w:color="auto" w:fill="FFFFFF"/>
            <w:lang w:val="en-US" w:eastAsia="en-US" w:bidi="ar-SA"/>
          </w:rPr>
          <w:t>[2002] B.C.J. No. 1831</w:t>
        </w:r>
      </w:hyperlink>
      <w:r>
        <w:rPr>
          <w:rFonts w:ascii="arial" w:eastAsia="arial" w:hAnsi="arial" w:cs="arial"/>
          <w:i/>
          <w:color w:val="000000"/>
          <w:sz w:val="20"/>
          <w:lang w:val="en-US" w:eastAsia="en-US" w:bidi="ar-SA"/>
        </w:rPr>
        <w:t xml:space="preserve"> Dufault, </w:t>
      </w:r>
      <w:hyperlink r:id="rId588" w:history="1">
        <w:r>
          <w:rPr>
            <w:rFonts w:ascii="arial" w:eastAsia="arial" w:hAnsi="arial" w:cs="arial"/>
            <w:i/>
            <w:color w:val="0077CC"/>
            <w:sz w:val="20"/>
            <w:u w:val="single"/>
            <w:shd w:val="clear" w:color="auto" w:fill="FFFFFF"/>
            <w:lang w:val="en-US" w:eastAsia="en-US" w:bidi="ar-SA"/>
          </w:rPr>
          <w:t>[2007] B.C.J. No. 252</w:t>
        </w:r>
      </w:hyperlink>
      <w:r>
        <w:rPr>
          <w:rFonts w:ascii="arial" w:eastAsia="arial" w:hAnsi="arial" w:cs="arial"/>
          <w:i/>
          <w:color w:val="000000"/>
          <w:sz w:val="20"/>
          <w:lang w:val="en-US" w:eastAsia="en-US" w:bidi="ar-SA"/>
        </w:rPr>
        <w:t xml:space="preserve"> McTavish v. MacGillivray; Bystedt v. Bagdan</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[2001] B.C.J. No. 2769</w:t>
        </w:r>
      </w:hyperlink>
      <w:r>
        <w:rPr>
          <w:rFonts w:ascii="arial" w:eastAsia="arial" w:hAnsi="arial" w:cs="arial"/>
          <w:color w:val="000000"/>
          <w:sz w:val="20"/>
          <w:lang w:val="en-US" w:eastAsia="en-US" w:bidi="ar-SA"/>
        </w:rPr>
        <w:t xml:space="preserve"> all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Such awards are colloquially referred to as "in trust" even though it is the plaintiff who recovers them, and British Columbia courts do not generally impose trust terms in their orders, regarding the loss as that of the plaintiff: see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(B.C. C.A.) at 9-10; </w:t>
      </w:r>
      <w:r>
        <w:rPr>
          <w:rFonts w:ascii="arial" w:eastAsia="arial" w:hAnsi="arial" w:cs="arial"/>
          <w:i/>
          <w:color w:val="000000"/>
          <w:sz w:val="20"/>
          <w:lang w:val="en-US" w:eastAsia="en-US" w:bidi="ar-SA"/>
        </w:rPr>
        <w:t>McTavish, 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 bookkeeper was hired to replace the bookkeeping work that was formally performed by an outside company. In March of 2015, Gryphon hired Ms. Wesenberg as a part-time administrative assistant to perform some of the functions formally undertaken by Ms. Collette and to alleviate the demands on Ms. Collette who was working in the dual role of receptionist/administrator and of operations manager. The employee costs for Ms. Wesenberg amounted to $6,377.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evidence at Trial establishes that, since 2013, Ms. Collette has increased her hours. On her own evidence, she first increased her hours in response to Gryphon no longer utilizing the accounting services of Mr. Sanderson in July, 2013 of three to four hours per day and then starting to assist Mr. Weaver with his agenda and printing up his quotes. She is paid an hourly rate of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his August 3, 2015 opinion, Mr. Matthews noted that Ms. Collette was not paid for any additional hours that she worked or for her additional responsibilities. Mr. Matthews provided the opinion that the value of her labour was $25 per hour. Regarding the efforts of Ms. Collette, counsel for Mr. Weaver submits that Ms. Collette has "essentially become the controlling mind of Gryphon" and that the evidence demonstrates that this increase in responsibilities was almost exclusively for the purpose of managing ongoing limitations of Mr. Weaver and that her efforts do very little, if anything, to assist in generating revenue. Counsel for Mr. Weaver submits that increased unpaid time and effort of Ms. Collette should be addressed in terms of an 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However, it is submitted on behalf of the Defendants that, even if I find that Mr. Weaver has been less efficient at work due to injuries sustained in the Collision, Ms. Wesenberg (or an assistant akin to Ms. Wesenberg) would have been hired at some point even had the Collision not occurred. It is submitted that the evidence is "clear" that both Mr. Weaver and Ms. Collette worked long hours before the Collision with few weekends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While it might appear superficially that Ms. Collette is engaging in the same work that she performed at the same rate of pay, I find that the evidence demonstrates that her responsibilities have increased dramatically since the Collision. Ms. Collette has had to bear responsibility for almost all aspects of operations of Gryphon, either directly by taking over some of the roles of Mr. Weaver or indirectly by assisting in "managing" Mr. Weaver with the various roles that he has yet to relinquish.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 find that the evidence produced on behalf of Mr. Weaver with respect to all of the aspects of the business in which Ms. Collette has provided assistance since the Collision proves on a balance of probabilities that she has put in considerably more work to support the company than she did prior to 2013. The responsibilities of Ms. Collette did change and were not reflected in her remuneration. I find that the situation with Ms. Collette is very similar to the situation found by the Court in </w:t>
      </w:r>
      <w:r>
        <w:rPr>
          <w:rFonts w:ascii="arial" w:eastAsia="arial" w:hAnsi="arial" w:cs="arial"/>
          <w:i/>
          <w:color w:val="000000"/>
          <w:sz w:val="20"/>
          <w:lang w:val="en-US" w:eastAsia="en-US" w:bidi="ar-SA"/>
        </w:rPr>
        <w:t>Hall,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 quantification should reflect the true and reasonable value of services performed by Ms. Collette taking into account the time, quality and nature of those services and should reflect the wage of a substitute without discounting or undervaluation due to the nature of their common law relationship, I find that $11 per hour is appropriate. Eleven dollars is the difference between $25 per hour as was suggested by Mr. Matthews to be the economic value of her new contribution to Gryphon and the $14 per hour which Ms. Collette was receiving. This is a reasonable valuation of the additional services provided by Ms. Collette since 2013. This $11.00 per hour is justified after considering that her additional duties became more managerial and sales-related than administrative.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assessed in trust claim on that basis I find to be $96,686 made up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32"/>
        <w:gridCol w:w="240"/>
        <w:gridCol w:w="5942"/>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2013-14 2014-15 2015 to April 30, 2016 </w:t>
            </w:r>
            <w:r>
              <w:rPr>
                <w:rFonts w:ascii="arial" w:eastAsia="arial" w:hAnsi="arial" w:cs="arial"/>
                <w:b/>
                <w:color w:val="000000"/>
                <w:sz w:val="18"/>
                <w:lang w:val="en-US" w:eastAsia="en-US" w:bidi="ar-SA"/>
              </w:rPr>
              <w:t>Total</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43,768.09 x $11/$14 = $34,389 45,409.16 x $11/$14 = $35,679 33,877.48 x $11/$14 = $26,618 </w:t>
            </w:r>
            <w:r>
              <w:rPr>
                <w:rFonts w:ascii="arial" w:eastAsia="arial" w:hAnsi="arial" w:cs="arial"/>
                <w:b/>
                <w:color w:val="000000"/>
                <w:sz w:val="18"/>
                <w:lang w:val="en-US" w:eastAsia="en-US" w:bidi="ar-SA"/>
              </w:rPr>
              <w:t>$96,686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find that the remuneration paid to Ms. Wesenberg was a fixed cost to Gryphon that did not directly support any change in revenue. I am satisfied that it is appropriate in dealing with in trust claims to add the wages paid to Ms. Wesenberg as I find that these services would not have otherwise been required if there had been no Collision and that the duties of Ms. Wesenberg then allowed Ms. Collette to undertake her additional duties. Accordingly, I assess that part of the in trust claim available to Mr. Weaver at $6,377.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find that the costs of hiring a bookkeeper to replace the bookkeeping work that was formally performed by an outside company is not related to the injuries suffered by Mr. Weaver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Accordingly, the full assessment of in trust damages is $103,063.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DIMINISHED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This head of damage was described in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xml:space="preserve">, supra, where Garson J.A. on behalf of the Court confirmed that the plaintiff needed to prove that there was a "real and substantial possibility" of a future event that would diminish his or her earning capacity: see also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If a plaintiff is successful in proving a real and substantial possibility of income loss, then that loss of earning capacity can be proven either using a loss of earnings approach or a capital loss approach with the former approach generally used when the loss is more measurable and the latter approach being used when earning loss is not easily measureable. The capital loss approach takes into account a number of considerations including whether a plaintiff has been rendered less capable overall from earning income from all types of employment, is less marketable or attractive as an employee to potential employers, has lost the ability to take advantage of all job opportunities which might otherwise have been open to him or her had him or her not been injured, and is less valuable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(S.C.).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All of the medical professionals who have assessed Mr. Weaver conclude that he is unemployable. Even Dr. Medvedev agrees that, given the degree of his memory deficit, Mr. Weaver would not be able to maintain steady employment and would not be able to successfully perform daily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Given the medical evidence, the lay evidence, and the presentation of Mr. Weaver while giving evidence at Trial, I have concluded that Mr. Weaver is no longer able to operate Gryphon as he did previously or at all. I am satisfied that counsel for Mr. Weaver has proven on a balance of probabilities that there is a real and substantial possibility that the earning capacity of Mr. Weaver has been virtually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also conclude that it is not economically viable for Mr. Weaver to continue with the operation of Gryphon given the added market value of the current contributions to the business of Ms. Collette ($35,000), the cost of hiring someone to assist with site visits (approximately $30,000 per year), and the continued costs for Ms. Wesenberg (approximately $10,000 per year). If the business of Gryphon continues to operate and earn income at current or reasonably anticipated cost levels, that income would be virtually entirely passive and in no way accumulated through the efforts of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also conclude that, even if Mr. Weaver wanted to pursue further work as a master franchisor for Jani-King Canada, his disabilities have now become known. if satisfied that Mr. Weaver cannot provide services in a good and workmanlike manner, Jani-King Canada has the right to rely on clauses of the Master Franchise Agreement to take over the business from Gryphon. In this regard, the "Compliance Policies and Procedures" of Jani-King Canada set up a series of warnings relating to "non-compliance" to the Master Franchise Agreement as well as the Policies and Procedures Manuals. There were a number of communications in evidence indicating that Gryphon was not complying and were not meeting the timelines for compliance established by Jani-King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his August 3, 2015 opinion, Mr. Matthew set out "illustrative" calculations assuming Mr. Weaver would incur an annual loss to age 73:</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Scenario 1</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We assumed that Mr. Weaver will incur a loss of gross profit on lost revenue of approximately $39,000 per year.</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Scenario 2:</w:t>
      </w:r>
      <w:r>
        <w:rPr>
          <w:rFonts w:ascii="arial" w:eastAsia="arial" w:hAnsi="arial" w:cs="arial"/>
          <w:color w:val="000000"/>
          <w:sz w:val="20"/>
          <w:lang w:val="en-US" w:eastAsia="en-US" w:bidi="ar-SA"/>
        </w:rPr>
        <w:t xml:space="preserve"> We assumed that Mr. Weaver will incur a loss of gross profit on lost revenue of approximately $39,000 per year and an increased cost of labour of $55,000 per year, for a total annual loss of $94,000.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the discount rate of 1.5% based on the Law and Equity Act and mortality factors for males in British Columbia, we calculated the present value of the future loss of income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26"/>
        <w:gridCol w:w="238"/>
        <w:gridCol w:w="516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Annual Loss</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Present Value as at October</w:t>
            </w:r>
            <w:r>
              <w:rPr>
                <w:rFonts w:ascii="arial" w:eastAsia="arial" w:hAnsi="arial" w:cs="arial"/>
                <w:color w:val="000000"/>
                <w:sz w:val="18"/>
                <w:lang w:val="en-US" w:eastAsia="en-US" w:bidi="ar-SA"/>
              </w:rPr>
              <w:t xml:space="preserve"> </w:t>
            </w:r>
            <w:r>
              <w:rPr>
                <w:rFonts w:ascii="arial" w:eastAsia="arial" w:hAnsi="arial" w:cs="arial"/>
                <w:b/>
                <w:color w:val="000000"/>
                <w:sz w:val="18"/>
                <w:lang w:val="en-US" w:eastAsia="en-US" w:bidi="ar-SA"/>
              </w:rPr>
              <w:t>26, 2015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Scenario 1 $52,000 Scenario 2 $94,000</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$205,00 $371,000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his March 3, 2016 opinion, Mr. Matthews set out future loss calculations based on the "planned" retirement of Mr. Weaver from full-time work at age 73, that Mr. Weaver will now have to retire as at the date of the Trial, and that Mr. Weaver will incur an annual loss of income through to age 73 equal to the actual income he earned from Gryphon in fiscal year 2015 plus the loss of income calculated for fiscal 2015 based on the revenue of Gryphon if the revenue had grown as it had in the Vancouver Island Region ("Scenario One"), the Eastern Ontario Region ("Scenario Two"), or the Northern British Columbia Region ("Scenario Three"). Using a discount rate of 1.5% based on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and mortality factors for males in British Columbia, Mr. Matthews calculated the present value of the future loss of income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1" type="#_x0000_t75" style="width:375.75pt;height:163.5pt">
            <v:imagedata r:id="rId591"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Counsel for Mr. Weaver submits that the proper approach to the assessment of his diminished earning capacity is to base it upon the average annual adjusted net income earned by Gryphon in the five years immediately preceding the Collision as it is a reasonable measure which allows for inclusion of year-end 2010, which was the worst year of the five years that preceded the Collision, thereby lowering the average. The average of $71,070 per year is produced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7"/>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YEAR END</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JULY 31</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ADJUSTED NET 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$138,000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2007</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$45,932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$88,111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$59,337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$23,968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Average</w:t>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$71,070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Counsel for Mr. Weaver submits that the present value of an annual loss of $1,000 to October 27, 2019 when the present franchise agreement with Jani-King Canada expires, subject to survival and discount rates, is $2,570 so that the present value of the total loss claimed is $225,977 based on the present value of the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Defendants take issue with a number of assumptions used by Mr. Matthews in his opinions. The Defendants submit that the report of Mr. Matthews is flawed as he uses the 2015 loss gross profit of $61,150 whereas $43,140 of that amount relates to "lost" contracts which were not lost. The future loss of income as calculated by Mr. Matthews in his March 3, 2016 opinion was between $315,000 and $785,000 but he later had to admit that there was no correlation between the three other Jani-King regions and the Southern Interior Regions of Gryphon. Additionally, the Defendants take issue with Mr. Matthews "erroneously" assuming that Mr. Weaver would retire on the date of the Trial. This assumption is said to not accord with all the evidence that Mr. Weaver planned to gradually phase himself out of Gryphon over the next 2 to 3 years and that Ms. Collette would assume more of the operation of the business of Gryphon.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Defendants submit that the evidence is clear that there are 3.5 years remaining on the current Franchise Agreement and there is no evidence that the Franchise Agreement is at risk of being terminated by Jani-King Canada. Based on the pre-Collision intention of Mr. Weaver to work to "70 or so", turning 70 on February 16, 2017 and phasing himself out of work over the next two or three years while Ms. Collette and others take on more responsibility, the Defendants submit that there is no loss of future earning capacity because Mr. Weaver will be retiring in accordance with his pre-Collision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It is submitted by the Defendants that, if a finding is made that Mr. Weaver is retiring somewhat sooner than his otherwise pre-Collision plan, the appropriate measure of damages is $50,000, being the equivalent of one year of his "usual" earning. It is further submitted that, in no event, should damages exceed $75,000 being one half of his $50,000 earnings over the next three years which puts him at age 72.5. This latter number assumes that Mr. Weaver will "gradually phases himself out" of Gryphon over the next two to three years and that Gryphon will hire a part-time sales person at $25,000 per year to replace his services due to his premature retirement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is some conflict in the evidence regarding when Mr. Weaver intended to retire. At his Examination for Discovery, Mr. Weaver was asked whether he had "thought about retirement before the accident in terms of an age that you were thinking you might retire" and he answered: "Even if I'm 70, 71, you know, if I wanted to I could still have part ownership of the business as well and have some - some involvement if I wanted to." While there is some conflict, I find that it is more than likely that Mr. Weaver would have continued to operate Gryphon until October 27, 2019 which is the date when the Master Franchise Agreement in effect comes to an end. At that time, Mr. Weaver would be approaching his 73rd birthday. I am satisfied that the proper approach to the assessment of the diminished future earning capacity of Mr. Weaver should be based on an assumption that there was a real and substantial possibility of Mr. Weaver working until October of 2019. I am also satisfied that Gryphon can now comply with the "Compliance Policies and Procedures" of Jani-King Canada now that Ms. Collette has taken over the responsibility of compliance from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am satisfied that there is not a real and substantial possibility that the future loss of income to Gryphon would approach the revenue that was being experienced in the Vancouver Island Region, the Eastern Ontario Region, or the Northern British Columbia Region. I find that there is no correlation between those three regions and what could reasonably be expected in the two regions of Jani-King Canada under contract to Gryphon.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Consistently, Gryphon has made available income of $50,000 per year to Mr. Weaver. On average, the adjusted net income of Gryphon has averaged $71,070. In the circumstances, I am satisfied that there is a real and substantial possibility that Mr. Weaver cannot earn further income from Gryphon even though there was a real and substantial possibility that he would have drawn $50,000 per year from and after the date of the Trial to age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assess the present value of the diminished future earning capacity at $197,400 representing a reduction of $71,070 adjusted net income in Gryphon for the years 2006 through 2010 less the increased costs to Gryphon associated with the inability of Mr. Weaver to continue his employment. In coming to this calculation I have used the future loss of income table of Mr. Matthews setting out the loss between February 16, 2016 and February 16, 2020, based on an annual loss of $1,000 times the $50,000 loss per year that I have assessed. As I am satisfied that there is a real and substantial possibility that Mr. Weaver will not be able to work at Gryphon beyond the date of the Trial, I am satisfied that it is appropriate to base the future loss of income on that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test for setting the cost of future care is set out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where McLachlin J. (as she then was) stated that there must be medical justification of the cost of care, that overlap or double compensation must be avoided, and that the cost must be reasonable (at paras. 180-188). "The award for cost of care should reflect what the evidence establishes is reasonably necessary to preserve the plaintiff's health." (at para. 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McLachlin J.,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It is necessary to take into account both positive and negative contingencies. The most obvious negative contingency here is the progression of neurodegeneration. As with any other future event, both the future degeneration and the care requirements flowing from the future degeneration need only be proven as a real possibility, with the future costs associated with the future degeneration being assessed according to the likelihood of the degeneration occurring and the care becoming justifiable and reasonable due to the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Bennett J.A., on behalf of the Court, cited with approval the decision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(1978), 83 D.L.R. (3d) 452</w:t>
        </w:r>
      </w:hyperlink>
      <w:r>
        <w:rPr>
          <w:rFonts w:ascii="arial" w:eastAsia="arial" w:hAnsi="arial" w:cs="arial"/>
          <w:color w:val="000000"/>
          <w:sz w:val="20"/>
          <w:lang w:val="en-US" w:eastAsia="en-US" w:bidi="ar-SA"/>
        </w:rPr>
        <w:t xml:space="preserve"> (S.C.) and made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award for costs of future care is to restore, as best as possible with a monetary aware, the injured person to the position he would have been in had the accident not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award is "based on what is reasonably necessary on the medical evidence to promote the mental and physical health of the Plaintiff: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and adopted in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ICBC says that the trial judge did not examine each request and determine if there was an evidentiary link between the medical assessment and the care recommended by the occupational therapist and rehabilitation consultant. As Garson J.A. said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consider it necessary, in order for a plaintiff to successfully advance a future cost of care claim that a physician testify to the medical necessity of each and every item of care that is claimed. But there must be some evidentiary link drawn between the physician's assessment of pain, disability, and recommended treatment and the care recommended by a qualified health care professional: Aberdeen at paras. 43, 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29-31)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Penner v. ICBC</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the Court recognized that claims for cost of future care require a measure of common sense. In this regard, Newbury J.A. made the following statement on behalf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Katalinic drew our attention to the Court's comments in Travis v. Kwon </w:t>
      </w:r>
      <w:hyperlink r:id="rId597" w:history="1">
        <w:r>
          <w:rPr>
            <w:rFonts w:ascii="arial" w:eastAsia="arial" w:hAnsi="arial" w:cs="arial"/>
            <w:i/>
            <w:color w:val="0077CC"/>
            <w:sz w:val="20"/>
            <w:u w:val="single"/>
            <w:shd w:val="clear" w:color="auto" w:fill="FFFFFF"/>
            <w:lang w:val="en-US" w:eastAsia="en-US" w:bidi="ar-SA"/>
          </w:rPr>
          <w:t>2009 BCSC 62</w:t>
        </w:r>
      </w:hyperlink>
      <w:r>
        <w:rPr>
          <w:rFonts w:ascii="arial" w:eastAsia="arial" w:hAnsi="arial" w:cs="arial"/>
          <w:color w:val="000000"/>
          <w:sz w:val="20"/>
          <w:lang w:val="en-US" w:eastAsia="en-US" w:bidi="ar-SA"/>
        </w:rPr>
        <w:t>, where Johnston J. said this about claims for damages for future care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[110] While such claims are no longer confined to catastrophic injury cases, it is useful from time to time to remind oneself that damages for future care grew out of catastrophic injuries and were intended to ensure, so far as possible, that a catastrophically injured plaintiff could live as complete and independent a life as was reasonably attainable through an award of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[111] This is worth mentioning because the passage of time has led to claims for items such as, in this case, the present value of the future cost of a long-handed duster, long-handed scrubber, and replacement heads for the scrubber, in cases where injuries are nowhere near catastrophic in nature or result.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a reminder that a little common sense should inform claims under this head, however much they may be recommended by experts in the 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evidence supporting the cost of a future care award can be provided by a non-physician such as a rehabilitation expert. It is only necessary that the whole of the evidence support the recommendations for care: specific medical endorsement is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assessing future care damages, I do not take into account the relationship of Ms. Collette with Mr. Weaver or her potential to provide future care or services to Mr. Weaver. In </w:t>
      </w:r>
      <w:r>
        <w:rPr>
          <w:rFonts w:ascii="arial" w:eastAsia="arial" w:hAnsi="arial" w:cs="arial"/>
          <w:i/>
          <w:color w:val="000000"/>
          <w:sz w:val="20"/>
          <w:lang w:val="en-US" w:eastAsia="en-US" w:bidi="ar-SA"/>
        </w:rPr>
        <w:t>Parry v. Cleaver</w:t>
      </w:r>
      <w:r>
        <w:rPr>
          <w:rFonts w:ascii="arial" w:eastAsia="arial" w:hAnsi="arial" w:cs="arial"/>
          <w:color w:val="000000"/>
          <w:sz w:val="20"/>
          <w:lang w:val="en-US" w:eastAsia="en-US" w:bidi="ar-SA"/>
        </w:rPr>
        <w:t>, [1970] AC 1, Lord Reid stated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revolting to the ordinary man's sense of justice, and therefore contrary to public policy, that the sufferer should have his damages reduced so that he would gain nothing from the benevolence of his friends or relations or of the public at large, and that the only gainer would be the wrongdoer.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Similarly, Justice Spence made this statement on behalf of the majority in </w:t>
      </w:r>
      <w:r>
        <w:rPr>
          <w:rFonts w:ascii="arial" w:eastAsia="arial" w:hAnsi="arial" w:cs="arial"/>
          <w:i/>
          <w:color w:val="000000"/>
          <w:sz w:val="20"/>
          <w:lang w:val="en-US" w:eastAsia="en-US" w:bidi="ar-SA"/>
        </w:rPr>
        <w:t>Vana v. Tosta</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[1968] S.C.R. 71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trite law that a wrongdoer cannot claim the benefit of services donated to the injured party. In the present case it amounts in my judgment to conscripting the mother and mother-in-law to the services of the appellant and his children for the benefit of the tortfeasor and any reduction of the award on this basis is an was an error in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her July 21, 2015 "Cost of Future Care Analysis (Life Care Plan)" and in her March 8, 2016 "Addendum of Cost of Future Care Analysis", Ms. Kennedy broke her recommendations down into three "phases". The costs relating to Phase One were based on the current level of functioning and current arrangement at Gryphon. Phase One was broken down into two Scenarios. Phase Two was based on the expected decline with the aging process and Phase Three was based on the costs for residential care.</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"Phase One"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Phase One, two scenarios were set out. </w:t>
      </w:r>
      <w:r>
        <w:rPr>
          <w:rFonts w:ascii="arial" w:eastAsia="arial" w:hAnsi="arial" w:cs="arial"/>
          <w:b/>
          <w:color w:val="000000"/>
          <w:sz w:val="20"/>
          <w:lang w:val="en-US" w:eastAsia="en-US" w:bidi="ar-SA"/>
        </w:rPr>
        <w:t>Scenario One</w:t>
      </w:r>
      <w:r>
        <w:rPr>
          <w:rFonts w:ascii="arial" w:eastAsia="arial" w:hAnsi="arial" w:cs="arial"/>
          <w:color w:val="000000"/>
          <w:sz w:val="20"/>
          <w:lang w:val="en-US" w:eastAsia="en-US" w:bidi="ar-SA"/>
        </w:rPr>
        <w:t xml:space="preserve"> was based on the current level of functioning and the current arrangement at Gryphon which is that a part-time assistant has been hired, that Mr. Weaver and Ms. Collette were working less hours and that it is intended that Mr. Weaver will change his job tasks to activities that are "congruent with his cognitive abilities (with use of strategies)". </w:t>
      </w:r>
      <w:r>
        <w:rPr>
          <w:rFonts w:ascii="arial" w:eastAsia="arial" w:hAnsi="arial" w:cs="arial"/>
          <w:b/>
          <w:color w:val="000000"/>
          <w:sz w:val="20"/>
          <w:lang w:val="en-US" w:eastAsia="en-US" w:bidi="ar-SA"/>
        </w:rPr>
        <w:t>Scenario Two</w:t>
      </w:r>
      <w:r>
        <w:rPr>
          <w:rFonts w:ascii="arial" w:eastAsia="arial" w:hAnsi="arial" w:cs="arial"/>
          <w:color w:val="000000"/>
          <w:sz w:val="20"/>
          <w:lang w:val="en-US" w:eastAsia="en-US" w:bidi="ar-SA"/>
        </w:rPr>
        <w:t xml:space="preserve"> was based on Mr. Weaver having a full-time assistant at Gryphon to enable him to spend less time at work and allow more time and energy to complete the yard and home maintenance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Under Phase One (Scenario One), Ms. Kennedy recommended the following: (a) psychological counselling services to deal with increased irritability, decreased confidence and anxiety around his decreased productivity and cognitive difficulties as well as his sleep issues (recommended by Dr. Pirolli and Dr. Kiraly); (b) Neuropsychological reassessment to ensure that the deterioration of his cognitive function can be assessed and appropriate treatment and lifestyle changes considered (recommended by Dr. Pirolli and Dr. Kiraly); (c) occupational therapy services to redefine his role in changing his job tasks to enable him to be more productive, to develop a more structured daily routine at work, to provide education on pacing and energy conservation techniques, and to encourage increased participation in leisure activities (recommended by Dr. O'Shaughnessy and Dr. Pirolli on the assumption that Mr. Weaver will transition from work almost immediately); (d) retain a Rehabilitation Assistant to provide training on the use of compensatory tools to assist with developing daily routine, organization, and problem solving and to provide training on the use of compensatory tools such as his iPhone/iPad in order to develop the daily routine organization and problem solving of Mr. Weaver (recommended by Dr. Kiraly on the assumption that Mr. Weaver will transition for work immediately); (e) attendance at the B.C. Centre for Sexual Medicine for Sexual Dysfunction for assessment in order to deal with the report of Mr. Weaver that he was having problems with libido since the Collision (the cost of the assessment is covered by MSP but there is a need for the cost of airfare and taxi services from Kelowna); (f) driving assessment to ensure that Mr. Weaver remains safe to drive as he progresses through the neurodegenerative process (recommended by Dr. Pirolli); (g) prescription for Modafinil assist Mr. Weaver with his cognitive problems (recommended by Dr. O'Shaughnessy); (h) compensatory aids such as a day timer, sticky notes, filing systems to assist Mr. Weaver in compensating for his cognitive difficulties; (i) Lumosity for cognitive exercises delivered on an online program basis; (j) yard work services to enable Mr. Weaver to hire seasonal yard workers even though he is physically capable of doing the work but is unable to do so because of fatigue and decreased motivation (on the assumption that Mr. Weaver continues to work); and (k) general labour cost for home, tool, and vehicle maintenance to deal with the difficulty of Mr. Weaver performing most of the tasks due to fatigue, cognitive demands, and his lack of motivation (on the assumption that Mr. Weaver continues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 prescription for Mirtazaprine or Zopliclone was also recommended by counsel for Mr. Weaver if there is a diagnosis of central sleep apnea and there is a deterioration in his ability to sleep through the night because of the Collision. If there is a diagnosis of obstructive sleep apnea, then a CPAP Machine will be required. Counsel for Mr. Weaver submits that an application of a 50% contingency with respect to either the Mirtazaprine or Zopliclone or the CPAP Machine should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Counsel for Mr. Weaver also recommends a prescription for Cipralex or Venlafaxine if there is a diagnosis of anxiety disorder and subclinical depression and access to these drugs be for the remainder of the life expectancy of Mr. Weaver. Counsel submits that these drugs are reasonable and medically justified given that Dr. Kiraly diagnosed anxiety and it should be anticipated that Mr. Weaver will develop depression because it is very common in post-concussion syndrome (no cost estimate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Ms. Kennedy provided the following cost of future "analysis chart" relating to Phase One (Scenario One):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2" type="#_x0000_t75" style="width:377.3pt;height:586.58pt">
            <v:imagedata r:id="rId599"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Under Phase One (Scenario Two), Ms. Kennedy recommends no change from what was recommended under Scenario One but recommends increased administrative support or a full-time assistant so Mr. Weaver will be able to reduce his work load to more reasonable hours so that he will not require the seasonal yard work assistance or the home maintenance assistance. The "analysis chart" for Phase One (Scenario Two) of Ms. Kennedy was exactly the same as "analysis chart" for Phase One (Scenario One) except to that the items listed under items 4 (Home Support Services) and 5 (other) are deleted.</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Phase Two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Based on his expected natural decline between ages 76 and 80, Ms. Kennedy anticipates that Mr. Weaver will require less assistance for seasonal yard maintenance due to the "natural aging process" so that the recommended 24 hours of these services would decrease 20% each year from age 76 and then cease at age 80. Similarly, there would be a decrease by 20% each year from age 76 and then cease at age 84 for the general labour cost for home, vehicle, and tool maintenance, and the recommendation of 37 hours of these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Phase Two costs recommended by Ms. Kennedy vary depending on whether Phase Two is immediate or whether it is after two years. The Phase Two costs recommended by Ms. Kennedy are for: (a) various safety items designed to enable Mr. Weaver to live at home as long as possible before entering assisted living ; (b) lifeline emergency responses; (c) an Adult Day Program to allow Mr. Weaver to maintain safe participation in social and leisure activities (the cost of HandyDART services three times a week; (d) transportation costs assuming Mr. Weaver will not be able to drive once the degeneration progresses to the point where he is unable to pass a driving assessment; and (e) home support services for assistance for bathing, dressing, toileting, grooming, and meal preparation one hour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Phase Two costs estimated by Ms. Kennedy are set out in her March 8, 2016 opinion:</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3" type="#_x0000_t75" style="width:425.25pt;height:529.5pt">
            <v:imagedata r:id="rId600" o:title=""/>
          </v:shape>
        </w:pict>
      </w:r>
      <w:r>
        <w:rPr>
          <w:rFonts w:ascii="arial" w:eastAsia="arial" w:hAnsi="arial" w:cs="arial"/>
          <w:sz w:val="20"/>
          <w:lang w:val="en-US" w:eastAsia="en-US" w:bidi="ar-SA"/>
        </w:rPr>
        <w:t xml:space="preserve">  </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Phase Three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Phase Three Costs were also estimated by Ms. Kennedy. Regarding an assisted living facility, the opinion of Ms. Kennedy is that, as the inevitable neurodegeneration progresses, Mr. Weaver will need to move into such a facility which would provide meals, social activities, and some transportation and which would provide some support including bathing, dressing, grooming, and dispensing medications at an additional cost. Counsel for Mr. Weaver submits that a move to an assisted living residence will allow for some savings compared to living at home but that such savings would likely be offset by the additional services that would have to be purchased at an additional cost within the assisted living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cost of a residential care facility would be required when "total care is needed or behavioural issues cannot be managed". With residential care, Mr. Weaver would no longer require services such as an occupational therapy, a rehabilitation assistant, or counselling or psychology services as these services would be provided in the facility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recommendations of Ms. Kennedy for medication including Sinemet and Propanol of Ms. Kennedy are contingent upon the neurocognitive degeneration persisting to the point where Mr. Weaver suffers from neuromuscular disorders or tremors. Though submitting that there is a real and substantial possibility for the need of such medication in light of the prognosis and risk factors identified by Dr. Kiraly, counsel for Mr. Weaver submits that, due to the unknown timing and the possibility that the neurodegeneration may not progress such that he suffers these neuromuscular disorders or tremors in the future, an award of 25% of the cost of these medications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her March 8, 2015 opinion, Ms. Kennedy set out the following "analysis chart" for the anticipated costs of Phase Three: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4" type="#_x0000_t75" style="width:419.25pt;height:239.25pt">
            <v:imagedata r:id="rId601" o:title=""/>
          </v:shape>
        </w:pict>
      </w:r>
      <w:r>
        <w:rPr>
          <w:rFonts w:ascii="arial" w:eastAsia="arial" w:hAnsi="arial" w:cs="arial"/>
          <w:sz w:val="20"/>
          <w:lang w:val="en-US" w:eastAsia="en-US" w:bidi="ar-SA"/>
        </w:rPr>
        <w:t xml:space="preserve">  </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Decision Relating to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Regarding the Phase Two and Phase Three recommendations of Ms. Kennedy, counsel for the Defendants submits that there is no evidence as to whether Mr. Weaver will ever reach "Stage Two". Counsel also submits that it is reasonable to assume that Stage Three will not start any time soon based upon the current level of functioning and that it may be that Mr. Weaver will never enter Stage Three of cognitive decline. I am satisfied that this submission is other than in accordance with the medical opinions that are in evidence and which I accept. The opinions of Dr. Pirolli evidence a continuing deterioration. All doctors indicated that Mr. Weaver is no longer employable. Dr. Kiraly is of the view that there had been a progression and deterioration in the level of function and that neurodegenerative changes were occurring and that the "Early Dementia Syndrome" (neurocognitive disorder) suffered by Mr. Weaver was not a "stable condition but a progressive disorder". I find that a progression through to Phase Three is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find that the neurodegenerative progression and deterioration in function is already happening and will inevitably happen. I find that transition from Stage Four to Stage Five and then to Stages Six and Seven on the Global Deterioration Scale is inevitable. I find that Ms. Kennedy has presented in her reports the costs of care that are reasonable and justifiable as Mr. Weaver transitions inevitably through the different stages on the Global Deterioration Scale. I find that the transition from Stage Four to Stage Five has already occurred. Even if I am found to be incorrect in arriving at that conclusion, I am satisfied that the transition from Stage Four to Stage Five will occur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After consideration of all the evidence, I find that a reasonable assessment of the future care needs of Mr. Weaver requires an award to Mr. Weaver for his needs in accordance with Phase One/Stage Two of the report of Ms. Kennedy for the next two years as the neurodegeneration progresses, followed by assisted living for five years as the neurodegeneration continues to progress, and residential care thereafter to the end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Although I come to the conclusion that the cost estimates provided by Ms. Kennedy are reasonable, are in the best interests of Mr. Weaver, and are what can reasonably be expected, I also come to the conclusion that some of the Phase One costs carried through to Phase Two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Regarding the Phase One recommendations and the cost of counselling as set out in the opinion of Ms. Kennedy, I am satisfied that there is a reasonable expectation that such counselling was required. However, I note in this regard that Ms. Collette does not express the presence of depressive symptoms, Mr. Weaver has not attended for any counselling sessions since it was recommended to him by Dr. Pirolli in January of 2013, and that there is no evidence before the Court that Mr. Weaver presently has any symptoms of depression or low mood other than that he is socializing less. Despite that, there is medical support for the assumption that depression may well accompany further deterioration. Because I am satisfied that there is a reasonable expectation of this will be the case, I find that there is a 50% chance that these expenses will be reasonably expected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Regarding the recommendation of annual neuropsychological treatment, counsel for the Defendants points out these assessments are payable under MSP for all of what is recommended by Dr. Kiraly. However, Ms. Kennedy confirmed that the wait list for this treatment at the Kelowna General Hospital is for up to two years. I cannot be satisfied that it is in the best interests of Mr. Weaver that such a long wait should be countenanced for what I find to be a real possibility of need at this time. Accordingly, I am satisfied that a neuropsychological assessment recommended by Ms. Kennedy is a reasonable and to be expected expense for the general benefit of Mr. Weaver.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While recommended by Dr. O'Shaughnessy and Dr. Pirolli, I am satisfied that the occupational therapy services to redefine the role of Mr. Weaver at Gryphon are no longer necessary. I am of the similar opinion regarding a Rehabilitation Assistant. It is clear that Mr. Weaver has not been in a position to take advantage of this assistance in developing and reinforcing his cognitive strategies at work. I am satisfied that no further expenditure is reasonable. These services were previously provided but the advanced stage of the dementia of Mr. Weaver now means that he can no longer absorb the lessons that were being taught and can no longer benefit from the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am satisfied that the "compensatory aides" recommended by Ms. Kennedy are no longer required by Mr. Weaver at Gryphon. By and large, Mr. Weaver has not been able to make use of the aides. Alternatively, these compensatory aides are part of the business expense of Gryphon that should not be born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Regarding the lifetime membership in Lumosity, I am satisfied that Mr. Weaver is beyond an ability to benefit from the cognitive exercises offered by Lumosity.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Regarding the prescription for Mirtazaprine or Zopliclone or a CPAP Machine, those costs are based "on the assumption that there is a deterioration in his ability to sleep through the night". Based on the evidence before me, I am satisfied that a 25% contingency should be applied against those costs as I cannot be satisfied that there is anything more than a 25% chance that those expenses will be reasonably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Regarding the Phase Two costs as set out by Ms. Kennedy, I find that there is a high probability if not an inevitability that it will be necessary to make the expenditures noted. I find that the expenditures are reasonable, and will assist Mr. Weaver in adapting to the deterioration that is ongoing. I accept the opinion of Ms. Kennedy despite the submissions from Counsel for the Defendants relating to some of what is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Counsel for the Defendants submits that the evidence of Ms. Kennedy on cross-examination was that "home support" as part of Phase Two is a public funded service so that the starting point for this anticipated expense will be considerable less on the assumption that Mr. Weaver will not have to pay 100% of the home support costs. While it was suggested Mr. Weaver could be moved to a publically subsided residential care facility, I am satisfied that such an approach to future care costs is inappropriate. The Defendants did not provide any evidentiary foundation to demonstrate that Mr. Weaver would meet the financial requirements that would be in place for subsidised residential housing when he requires it. This creates a real and unnecessary risk that Mr. Weaver will not be able to access any residential care facility once he needs one. As well, I believe that it is inappropriate to provide for a needed future care on the basis that the obligation of a tortfeasor is passed on to the public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Regarding the cost of housekeeping, counsel for the Defendants points out that this recommendation was made by Ms. Kennedy for the benefit of Ms. Collette and was not made by any medical doctors. Counsel submits that the evidence does not establish that Ms. Collette performs any additional work around the house as a result of the injuries suffered by Mr. Weaver and that Mr. Weaver has no physical or cognitive limitations that prevent him from doing any of the domestic activities that he performed prior to the Collision. I am satisfied that this cost is reasonable as there is a real possibility that Mr. Weaver will not be in a position to continue to do the housekeeping that he previously undertook. As well, it is not a pre-condition of determining the future care costs that a medical doctor as opposed to an Occupational Therapist made a recommendation: </w:t>
      </w:r>
      <w:r>
        <w:rPr>
          <w:rFonts w:ascii="arial" w:eastAsia="arial" w:hAnsi="arial" w:cs="arial"/>
          <w:i/>
          <w:color w:val="000000"/>
          <w:sz w:val="20"/>
          <w:lang w:val="en-US" w:eastAsia="en-US" w:bidi="ar-SA"/>
        </w:rPr>
        <w:t>Gignac, supra</w:t>
      </w:r>
      <w:r>
        <w:rPr>
          <w:rFonts w:ascii="arial" w:eastAsia="arial" w:hAnsi="arial" w:cs="arial"/>
          <w:color w:val="000000"/>
          <w:sz w:val="20"/>
          <w:lang w:val="en-US" w:eastAsia="en-US" w:bidi="ar-SA"/>
        </w:rPr>
        <w:t>,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Regarding the weekly yard maintenance and the seasonal yard maintenance, counsel for the Defendants submits that Mr. Weaver is capable of both and, if in the future he is unable to perform these functions, that this will be due "to the natural aging process" and not as a result of the Collision. Even accepting the proposition that Mr. Weaver is capable of this work at this time and, in this regard, I do not accept that to be the case, there is a real possibility that this reasonable cost will be required prior to the time when it is necessary for Mr. Weaver to go into an assisted living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Carson of Associated Economic Consultants Ltd. provided an April 11, 2016 opinion to counsel for Mr. Weaver. In that opinion, the present value of the future cost of care items and services listed in the March 8, 2016 and April 1, 2016 opinions of Ms. Kennedy were set out in tables. One of the tables sets out the present value of items that would be required once Phase Two and Phase Three started and the present values of costs as shown in each future year. For annual costs, the present values were shown from the start of each year and are assumed to continue for the period of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On the basis that Phase One (Scenario One) started at the date of Trial and that it will last for two years, that Phase Two will then last for the next five years, and that Phase Three will then start and will last during the life of Mr. Weaver, I calculate the present values of the various expenditures that I find to be reasonably necessary to promote the mental and physical health of Mr. Weaver and that I find to be reasonable, I set the cost of future care as being $766,203.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Initially, Mr. Weaver claimed special damages of $8,831.21. Mr. Weaver claimed for reimbursement for an Infinity Elliptical that he had purchased, pest control services that were incurred, and the costs of physiotherapy services but has now abandoned his claim for reimbursement of those expenses. The Defendants accept that $3,554.38 of the special damages claimed were reasonable and necessary expenses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Counsel for Mr. Weaver submits that expenses to assist Mr. Weaver in managing his yard care responsibilities which were incurred by fatigue and increased work hours were a direct result of the Collision. The lawn care expenses amount to $1,614. The Defendants submit that the expenses for "yard care" were neither necessary nor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Regarding the expenses for "Yard Care", I find that those expenses were reasonably incurred to assist Mr. Weaver in managing the home responsibilities he could not do himself. I am satisfied that his fatigue and increased work hours contributed to the necessity of hiring others to provide yard care at his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Weaver seeks to recover the $795.03 cost of purchasing an iPhone. There is no evidence that Mr. Weaver required this phone as a result of the Collision. He had a cell phone before the Collision that he used for work and he would require a cell phone for work and travel even had the Collision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receipts for the Modafinil totalling $262.19 prescribed by Dr. O'Shaughnessy relate to the injuries sustained in the Collision and also to the cognitive decline of Mr. Weaver. I am satisfied that this expense was both necessary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Special Damages of Mr. Weaver are allowed at $3,554.38.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Annie Roy, Mr. Weaver will be entitled to the following damages against the Defendants:</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$175,000.00</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opportunity: $40,000.00</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trust claim: $103,063.00</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diminished earning capacity: $197,400.00</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$766,203.00</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Special damages: </w:t>
      </w:r>
      <w:r>
        <w:rPr>
          <w:rFonts w:ascii="arial" w:eastAsia="arial" w:hAnsi="arial" w:cs="arial"/>
          <w:color w:val="000000"/>
          <w:sz w:val="20"/>
          <w:u w:val="single"/>
          <w:lang w:val="en-US" w:eastAsia="en-US" w:bidi="ar-SA"/>
        </w:rPr>
        <w:t>$3,554.38</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 assessed damages: $1,285,220.38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parties will be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5" style="position:absolute;z-index:2518026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Yehia v. McDonell, [2002] B.C.J. No. 641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Catliff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11 - 13,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S002106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641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389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112 A.C.W.S. (3d) 781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Sam Yehia and Cambie Holdings (Vancouver) Corporation, plaintiffs, and Robert J. McDonell and Farris, Vaughn, Wills &amp; Murphy,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6"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8" w:name="Keywords_39"/>
      <w:bookmarkEnd w:id="268"/>
      <w:r>
        <w:rPr>
          <w:rFonts w:ascii="arial" w:eastAsia="arial" w:hAnsi="arial" w:cs="arial"/>
          <w:b/>
          <w:color w:val="000000"/>
          <w:sz w:val="20"/>
          <w:lang w:val="en-US" w:eastAsia="en-US" w:bidi="ar-SA"/>
        </w:rPr>
        <w:t xml:space="preserve">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Obligations or duties of a lawyer when acting for a client — Particular negligent acts — Settlements — Wrong procedure.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9" w:name="Case Summary_38"/>
            <w:bookmarkEnd w:id="2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Yehia against his solicitors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parents brought claims against the plaintiff for money owing pursuant to agreements and promissory notes. The plaintiff retained the defendant law firm. The parents brought an application for summary judgment. The plaintiff's solicitor decided that the best defence was to persuade the court that the matter should go to trial. The plaintiff's solicitor decided not to cross-examine the plaintiff's mother before the summary judgment application. The parents were granted summary judgment. The plaintiff claimed that he had wanted his parents to be cross-examined. He argued that the cross-examination would have shown the weakness of his defence and he was thereby deprived of an opportunity to settle.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0" w:name="Holdings of Court_35"/>
            <w:bookmarkEnd w:id="27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reasons why the plaintiff's counsel did not wish to examine the parents before the summary judgment application were sound. The parents were determined to proceed to judgment. The plaintiff did not present any evidence to indicate that he wished to attempt settlement before the summary judgment application. The solicitor did not breach any duty. The plaintiff suffered no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1" w:name="Legislation Cited_28"/>
      <w:bookmarkEnd w:id="2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7"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2" w:name="Counsel_41"/>
      <w:bookmarkEnd w:id="2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8"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J.J. McIntyre, for the plaintiffs. J.D. Truscott, Q.C.,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3" w:name="Judgment_40"/>
      <w:bookmarkEnd w:id="273"/>
      <w:r>
        <w:pict>
          <v:line id="_x0000_s1229" style="position:absolute;z-index:251851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4" w:name="CATLIFF J._0"/>
            <w:bookmarkEnd w:id="274"/>
            <w:r>
              <w:rPr>
                <w:rFonts w:ascii="arial" w:eastAsia="arial" w:hAnsi="arial" w:cs="arial"/>
                <w:b/>
                <w:color w:val="000000"/>
                <w:sz w:val="30"/>
                <w:lang w:val="en-US" w:eastAsia="en-US" w:bidi="ar-SA"/>
              </w:rPr>
              <w:t>CATLIFF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At the conclusion of the Rule 18A summary trial of this action for damages for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dismissed the claim of the plaintiff, Sam Yehia, observing that I thought the claims had no merit as there was no proof of a breach of the solicitor's duty or of damages. (The corporate plaintiff advanced no claim at the hearing.) I said I would deliver written reasons. These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Sam Yehia, was sued in 1995 by his parents who claimed that they were owed moneys due from him under written agreements and promissory notes. It appears that there had been a longstanding dispute between the plaintiff and his father about the amount of moneys advanced to the plaintiff over the years for his business ventures. The plaintiff's father, who was ill (he died in 1998), wished to settle his affairs with his son so that moneys would be available to his wife, the plaintiff's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Accordingly a settlement was reached, with the assistance of solicitors, in February 1994 and incorporated into an agreement in which the plaintiff acknowledged that he owed his parents $787,500. He signed promissory notes as evidence of his obligation and agreed to cause a mortgage to be granted to secure that part of the debt, $300,000, owed to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parents also signed an agreement that they would gift to their son, all their interests in his various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March 1994 father and son made an agreement that the father would pay $107,758 on behalf of his son, who agreed to repay that amount by 31 December 1994 as evidenced by a further promissory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December 1994, further financial accommodations were made by the plaintiff's father and it was agreed that if the plaintiff defaulted under this agreement all debts would become 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Default having occurred, the parents commenced various proceedings in 1995 for amounts owed to them, as evidenced by the agreements and promissory notes. The claim was made that the son owed his mother $300,000 plus interest and owed his father some $286,408 plus interest. Foreclosure proceedings were instituted concerning the mortgage given as collateral security for the debt to the plaintiff's mother. The plaintiff retained the defendant firm to defend his parents' claims and was represented by Mr. McDonell.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An application was made in the foreclosure proceedings for leave to cross-examine the plaintiff's mother, which was granted. This did not take place for a variety of reasons as disclosed in the correspondence between solicitors. The parents changed solicitors and retained Rosemary Basham, Q.C. of Basham &amp; Company. Ms. Basham gave 14 days notice of an application for summary judgment under Rule 18A to be made on 6 October 1995, but not heard until 1 December 1995. Mr. McDonell concluded that the plaintiff's best defence was to persuade the court that there was sufficient conflict in the affidavit evidence of the parties that no findings of fact could properly be made and that the matter should go to a full trial. Mr. McDonell was of the view that to conduct a cross-examination or examination for discovery of the parents before hand would undermine his proposed submission on the Rule 18A application. He considered that his submission that there were unresolved conflicts in the affidavits would be less likely to succeed if the conflicts had already been explored in a cross-examination or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says that he was anxious that his mother and father be cross-examined on their affidavits. He was questioned about this on his examination for discovery in the present action:</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 And you did have a conversation with him where he gave you an explanation as to why there was no examination of your parents, why he was not recommending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Why he was not recommending it?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 Yes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 Okay. And you say in your affidavit at paragraph 48 that you were not in agreement with this assessment?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was not in agreement.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 But did you let him make the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In what capacity?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 In the capacity as your lawyer, did you let him make the decision as to whether there was going to be examinations of your parents?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No, I did not, I insisted that the examinations of my parents be carried out.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 So you said to him at that time, "I am not accepting your opinion and your recommendation and I want those examinations carried out." Is that what you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say I find it hard to believe, I don't agree with you.</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 And did you just leave it at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left it at that.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 So you left it to his decision as to whether he did those examinations or not?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had a certain degree of trust in him.</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 That's fine. I am not disagreeing with that, I am just asking you, did you leave that to the trust that you had in your lawyer?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He articulated why it wasn't necessary. I did not agree, I did not accept that as a reason, but ultimately I trusted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conclude from these passages in the plaintiff's examination for discovery and from the affidavit evidence of Mr. McDonell that the latter did not flout his client's instructions, but explained why he thought it inadvisable to examine his parents before the summary trial and that while the plaintiff did not accept this, he trusted his lawyer and left it at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my view, the reasons advanced by Mr. McDonell for not wishing to examine the parents and compromise his submissions on the Rule 18A application were entirely sound. Furthermore, he had been advised by his client that Mrs. Yehia knew very little about the plaintiff's business affairs. The father was clearly hostile to his son and any cross-examination of him, it is conceded by Mr. McIntyre, would not have produced any beneficial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his pleadings in the parents' action, the defendant alleged that the agreements relied on by them were made under misrepresentation or mistake, that they were made under duress, that the promissory notes were given without consideration and that his parents had received moneys sufficient to satisfy the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Rule 18A trial on 1 December 1995, the plaintiff advanced the defences of duress, unconscionability, absence or failure of consideration and satisfaction of one of the notes, submitting that those issues were not appropriate for Rule 18A resolution because the facts could not be found without an assessment of credibility requiring that the parties be examined on the matters in issue. Judgment on the summary trial was reserved and written reasons were delivered by Madam Justice Saunders on 1 December 1995 in which she set out at length her reasons for granting judgment in favour of the plaintiff's parents. The trial judge dealt with all the defences raised by the plaintiff at the hearing, including Mr. McConnell's submission that the matter was not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told that an appeal was filed from the decision, but that the plaintiff had to abandon it because he was otherwise engaged with the execution proceedings that were taken against him to enforce the judgment. In the result, no appeal was ever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April 2000, the plaintiff issued the present proceedings in which he claimed that his former solicitors had been negligent in a number of respects. At the summary trial hearing before me,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sought to rely on was the failure of Mr. McDonell to cross-examine his parents on their affidavits before the Rule 18A hearing in 1995. In support of the plaintiff's claim an affidavit was filed by Mrs. Yehia, the plaintiff's mother, in which she deposed that although she had said in her earlier affidavit that she had personal knowledge of the matters in question, her knowledge was based solely on what her husband had told her. Accordingly the plaintiff submits that if Mr. McDonell had cross-examined Mrs. Yehia in 1995 he would have learned that her affidavit was based not on personal knowledge, but rather on her information and belief. What difference this would have made to the outcome of the 18A application is not apparent. None is suggested by Mr. McIntyre. From a reading of the reasons of the trial judge, it seems clear that the judgment was based on the documents exhibited to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submissions, Mr. McIntyre advanced the argument that if his parents had been examined before the summary trial, it would have become even more apparent to the plaintiff that his defence to their claims was hopeless and that he should therefore explore the possibility of settlement. As a result, Mr. McIntyre suggested that the consequences of Mr. McDonell's failure to examine the parents deprived the plaintiff of the opportunity of pursuing the question of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view, the suggestion that the plaintiff lost an opportunity to settle with his parents on the eve of the Rule 18A trial because his parents were not examined beforehand, is entirely fanciful. It is clear from reading the material, that the parents, particularly the father, were determined to pursue their son to judgment. Mrs. Yehia's attitude was to beg her son not to upset his father by further resisting him. It is to be remembered that the 21 February agreement was itself, a settlement of accounts between the parties. Madam Justice Saunders found that the father had a bona fide belief that he and his wife were owed more than the amount that was settled in the February agreement. Furthermore, there is no evidence advanced by the plaintiff that he had any desire to attempt to settle matters with his parents before the Rule 18A trial. He does not suggest himself that he lost any opportunity to settle. Damages for a lost opportunity must be based on a real possibility or a reasonable possibility and in my view, the evidence and material filed at this trial disclosed no such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summary, I concluded that the plaintiff has failed to prove that Mr. McDonell breached any duty that he owed him as his solicitor in failing to examine the plaintiff's parents before the 1995 Rule 18A hearing. Mr. McDonell had good reason for not doing so and the plaintiff trusted him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I find that the plaintiff, assuming there was a breach of duty to examine his parents, suffered no damages in consequence because there is no proof that there would have been a real or any reasonable possibility of a settlement of the parents' claims before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For these reasons, I dismissed the plaintiff's claims against the defendants with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CATLIFF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0"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Yeung (Guardian ad litem of) v. Au, [2004] B.C.J. No. 2623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Tysoe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12 - 15, 18 - 20, 25, 27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B992130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2623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1648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B.C.L.R. (4th) 380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 P.P.S.A.C. (3d) 315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135 A.C.W.S. (3d) 1150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CarswellBC 2944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Jennifer Yeung by her Guardian ad Litem Heidi Yeung, plaintiff, and Henry Ming Hang Au also known as Ming Hang Au, Katherine Yen and Ju Ling Yen, Transportaction Lease Systems Inc. and Anthony Tak Kai Au also known as Tak Kai Au,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1"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5" w:name="Keywords_40"/>
      <w:bookmarkEnd w:id="275"/>
      <w:r>
        <w:rPr>
          <w:rFonts w:ascii="arial" w:eastAsia="arial" w:hAnsi="arial" w:cs="arial"/>
          <w:b/>
          <w:color w:val="000000"/>
          <w:sz w:val="20"/>
          <w:lang w:val="en-US" w:eastAsia="en-US" w:bidi="ar-SA"/>
        </w:rPr>
        <w:t xml:space="preserve">Commercial law — Conditional sales — Personal property — Security interests — Leasing — Motor vehicles — Damages — General damages — For personal injuries — Retroactive loss of income — International law and conflict of laws — Jurisdiction — Where cause of action arises — Conflict of laws — Torts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owner — Determination of ownership — Vicarious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6" w:name="Case Summary_39"/>
            <w:bookmarkEnd w:id="2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Yeung for damages for injuries she sustained in a motor vehicle accident. Yeung was a passenger in a vehicle being driven by the defendant Au, which had been leased to his father by the defendant Transportaction Lease Systems Inc. The vehicle being driven by Au collided with another vehicle. Yeung sustained severe traumatic brain injury as a result and was an entirely different person. She claimed damages for pain and suffering, past income loss, special damages, loss of income earning capacity, an 'in trust' claim on behalf of her mother, loss of marriageability, and future care costs. The court found Au to have been negligent in causing the collision and judgment was granted in the total amount of $5,800,000. The issue to be decided here was whether the defendant Transportaction was liable as an owner of the vehicle negligently driven by Au pursuant to s. 86 of the Motor Vehicle Act, R.S.B.C. 1996, c. 318.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7" w:name="Holdings of Court_36"/>
            <w:bookmarkEnd w:id="277"/>
            <w:r>
              <w:rPr>
                <w:rFonts w:ascii="arial" w:eastAsia="arial" w:hAnsi="arial" w:cs="arial"/>
                <w:color w:val="000000"/>
                <w:sz w:val="20"/>
                <w:lang w:val="en-US" w:eastAsia="en-US" w:bidi="ar-SA"/>
              </w:rPr>
              <w:t>HELD: Action dismissed,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Transportaction was not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Au at common law. The court concluded that the issue of vicarious liability was to be determined by the law of the jurisdiction to be applied to the tort in question. In this case that was the law of British Columbia. Accordingly, the interpretation of the lease was not relevant to the issue of vicarious liability and the governing law of the lease was also irrelevant. With respect to the liability of Au's father, the court concluded that the lease constituted a contract of conditional sale under s. 86(3) of the Motor Vehicle Act. He was deemed to be an owner within the meaning of the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8" w:name="Legislation Cited_29"/>
      <w:bookmarkEnd w:id="2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2"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616" w:history="1">
        <w:r>
          <w:rPr>
            <w:rFonts w:ascii="arial" w:eastAsia="arial" w:hAnsi="arial" w:cs="arial"/>
            <w:i/>
            <w:color w:val="0077CC"/>
            <w:sz w:val="20"/>
            <w:u w:val="single"/>
            <w:shd w:val="clear" w:color="auto" w:fill="FFFFFF"/>
            <w:lang w:val="en-US" w:eastAsia="en-US" w:bidi="ar-SA"/>
          </w:rPr>
          <w:t>R.S.B.C. 1996, c. 231, s. 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s.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Personal Property Security Act, </w:t>
      </w:r>
      <w:r>
        <w:rPr>
          <w:rFonts w:ascii="arial" w:eastAsia="arial" w:hAnsi="arial" w:cs="arial"/>
          <w:i/>
          <w:color w:val="000000"/>
          <w:sz w:val="20"/>
          <w:lang w:val="en-US" w:eastAsia="en-US" w:bidi="ar-SA"/>
        </w:rPr>
        <w:t>R.S.B.C. 1996, c. 359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9" w:name="Counsel_42"/>
      <w:bookmarkEnd w:id="2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3"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Joseph E. Murphy, Q.C. and Brian Brooke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Henry Ming Hang Au: Michael P. Ragona, Q.C. and Alan M.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Transportaction Lease Systems Inc: James Sullivan and Bronwyn Turner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0" w:name="Judgment_41"/>
      <w:bookmarkEnd w:id="280"/>
      <w:r>
        <w:pict>
          <v:line id="_x0000_s1234"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1" w:name="TYSOE J."/>
            <w:bookmarkEnd w:id="281"/>
            <w:r>
              <w:rPr>
                <w:rFonts w:ascii="arial" w:eastAsia="arial" w:hAnsi="arial" w:cs="arial"/>
                <w:b/>
                <w:color w:val="000000"/>
                <w:sz w:val="30"/>
                <w:lang w:val="en-US" w:eastAsia="en-US" w:bidi="ar-SA"/>
              </w:rPr>
              <w:t>TYSOE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life of the Plaintiff, Jennifer Yeung, was tragically changed on December 1, 1998 when the car in which she was a passenger collided with another vehicle. Ms. Yeung sustained a severe traumatic brain injury as a result of the collision. Despite predictions to the contrary, she managed to avoid death and to recover from the coma into which she had been thrust. However, she is now a dramatically different person from the promising young woman who had the misfortune of being a passenger in a negligently driven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action, Ms. Yeung claimed damages in the range of $8.5 million for pain and suffering, past income loss, special damages, loss of income earning capacity, an "in trust" claim on behalf of her mother, loss of marriageability and future care costs (with pre-judgment interest, tax gross-up, management fees, committee fees to be subsequently agreed upon or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car in which Ms. Yeung was a passenger at the time of the collision was driven by the Defendant, Henry Ming Hang Au, ("Au Jr.") and had been leased to the father of Au Jr., the Defendant, Anthony Tak Kai Au ("Au Sr."), by the Defendant, Transportaction Lease Systems Inc., ("Transportaction"). The other car involved in the collision was driven by the Defendant, Katherine Yen, and was owned by the Defendant, Ju Ling Yen. This action has been previously dismissed as against Mr. and Mrs. Yen pursuant to a Rule 18A application on the basis that there had been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Mrs. Yen which contributed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the course of trial, counsel discussed among themselves the quantum under each head of damages. Counsel for Ms. Yeung and counsel for Transportaction reached agreement in this regard and, while counsel acting on behalf of Au Jr. was not able to receive instructions from Au Jr., he advised the court of his opinion that the amounts were reasonable. On October 21, 2004, I found Au Jr. to have been negligent in causing the collision and I granted judgment to Ms. Yeung against Au Jr. in the amount of $5,800,000 in respect of the following heads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Pain and suffering</w:t>
            </w:r>
          </w:p>
        </w:tc>
        <w:tc>
          <w:tcPr>
            <w:tcW w:w="419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30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trust" claim</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 and marriageability</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3,990,000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136"/>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481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did not include the heads of damages of income tax gross-up, management fees and committee fees or pre-judgment interest and costs. Also remaining to be considered is the potential applicability of the provisions of s. 55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which dictate mandatory periodic payments in certain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overriding issue to be decided in these Reasons for Judgment is whether Transportaction is liable to Ms. Yeung as an owner of the vehicle negligently driven by Au Jr. pursuant to s. 86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 corollary issue is whether Au Sr. is liable under s.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I have already found liability on the part of Au Jr. and as I have set the amounts of the main heads of damages, I will be brief in setting out the circumstances of the accident and the consequences for Ms. Yeung. I will then set out separately the circumstances of Au Sr. leasing the BMW from Transportaction.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Yeung was born on July 7, 1982 and was 16 years old at the time of the collision. She was in grade 11 at David Thompson Secondary School and lived with her mother and her younger brother, Simon. Ms. Yeung's father had died from cancer in 1990 and Mrs. Yeung supported the family by working as a tax manager at the accounting firm, KPMG, and by operating a bookkeeping business for small businesses out of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Yeung had performed exceptionally well in elementary school, but her marks in some courses began to fall in high school as a result of spotty attendance. She had expressed a desire to attend university and to become a lawyer or an accountant, but her lower grades brought into question whether she would have been able to go straight to university and whether she would have been able to achieve her career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December 1, 1998, Mrs. Yeung was writing an exam as part of her effort to become a certified management accountant and Ms. Yeung suggested that she could get a ride home from school from a friend. Ms. Yeung did not come home directly after school and she apparently spent some time with Au Jr. At approximately 9:30 p.m., Ms. Yeung was a passenger in a BMW Z3 driven by Au Jr., who was driving at an excessive speed and lost control of the vehicle. The car crossed the centre line of Hazelbridge Way, Richmond, and was struck on its passenger side by a GMC Jimmy being driven by Mrs. 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Yeung was left unconscious by the collision. She was taken to Vancouver General Hospital, where she remained in a coma until January 10, 1999. CT scans taken at the Hospital showed that there had been a large hemorrhage in her midbrain and multiple shear hemorrhages in other parts of the brain, including her frontal lobe. She also had several cuts on her face which subsequently led to permanent scarring.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Yeung was not expected to live the night but she survived. It was anticipated that she would remain unconscious for the indefinite future and she was transferred on January 19, 1999 to Sunny Hill Health Centre for Children ("Sunny Hill"), a facility specializing in brain injured patients. To everyone's surprise, Ms. Yeung woke up on January 25,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Yeung remained at Sunny Hill until November 8, 1999, when she left to return home with her mother and brother. In view of the fact that Ms. Yeung could not safely climb stairs, her mother had sold their previous residence, which was a multi-level structure with many stairs. A bungalow was purchased in the joint names of Mrs. Yeung and her daughter, and some renovations were done to it in order to accommodate Ms. Yeung. The family continues to live in this house, although there is a consensus that Ms. Yeung should no longer live there and should either move into her own home or a group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principal consequences of Ms. Yeung's brain injury are as follows: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extremely poor balance and a general lack of coordination - she is unsafe in walking and has frequent falls;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cognitive weaknesses in the areas of (i) processing speed or mental efficiency, (ii) attention span, (iii) organizational abilities, (iv) language abilities, especially in the area of word finding and usage, and (v) visual perceptual processing and memory;</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speech is slurred (dysarthic) and her breath support is not sufficient to produce good quality sounds (dysphonic);</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 permanent visual disability, with the left eye not moving anywhere well and the right eye only moving well in the horizontal direction;</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 profound lack of insight into her own problems to the extent that she does not accept herself as a disabled person and does not like being in the company of other disabled people;</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impulsive and has poor judgment;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self-centred and tends to blame others for her difficulties; and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problems with anger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present time, Ms. Yeung receives considerable care from others. Mrs. Yeung cares for her on week-day mornings before she leaves for work, on week-day evenings after she returns home from work and all of weekends. A care giver comes to the Yeung residence every weekday from approximately 9:15 a.m. to 5:00 p.m. It is clear that Ms. Yeung will never be able to engage in competitive employment and will require extensive care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Circumstances of the Leasing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Au Sr. was interested in acquiring a car for use by Au Jr. He went to the Brian Jessel BMW dealership and dealt with a sales representative named Michael Ho. Au Sr. chose a BMW Z3, and Mr. Ho phoned Transportaction for two lease quotations for a 36 month lease with an acquisition cost of $52,000. The actual purchase price for the car was $57,000, but Au Sr. paid a $5,000 deposit to Brian Jessel BMW, and this deposit was ultimately applied against the purchase price. The difference between the two requested lease quotations was that one would involve a $25,000 downpayment and the other would involve a $20,000 downpayment. The conversations with Mr. Ho led Transportaction to believe that Au Sr. was acquiring the car for use by his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Transportaction gave the two lease quotations. Mr. Ho phoned back to say that his customer wanted to go ahead with the lease involving the $25,000 downpayment, and he sent Au Sr.'s credit application to Transportaction.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Transportaction internally approved the transaction with the following characteristics: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$52,000 acquisition cost;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$25,000 downpayment;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36 month term;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$20,000 residual;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$1,000 referral fee for Mr. 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the practice of Transportaction to treat the downpayment as a security deposit in order to defer the tax on the transaction. The customer does not have to pay the tax on the amount of the downpayment until he or she exercises the option to purchase at the end of the lease term. The customer can also avoid paying the tax on all or a part of the amount of the downpayment if the customer wants to sell the vehicle at the end of the lease term because Transportaction will transfer the vehicle directly to the purchaser (who then has to pay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the transaction was approved internally, Transportaction paid the balance of the purchase price of the car to Brian Jessel BMW (after application of Au Sr.'s $5,000 deposit), and the vehicle was transferred to Transportaction by way of a bill of sale. Transportaction then entered into the lease with Au Sr. The lease was a standard form document with a schedule attached to it containing the variable information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car was leased to Au Sr. under the Lease for a term of 36 months from October 31, 1997 with monthly payments of $398 plus tax. The Lease contained an option to purchase which provided that at the expiration of the term of the lease, "the Lessee may purchase the Leased Vehicle in its then condition and at its then location for its estimated fair market value of $45,000". Of course, the car would not have had a fair market value of $45,000 after three years' depreciation. The $45,000 figure was artificial because the $25,000 downpayment or security deposit would be applied to the option price if the option to purchase was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standard form portion of the Lease provided that the Lessee was to obtain at least $1,000,000 third party liability insurance, but Transportaction required Au Sr. to obtain a minimum of $2,000,000 of liability insurance. The Lease also contained a reference to policies of insurance covering the lessor's liability as owner of the vehicle, and the evidence at trial disclosed that Transportaction did have its own insurance coverage in respect of the BMW Z3 (although it was not specified whether there was a single policy relating only to the BMW Z3 or whether the vehicle was covered under an umbrella policy covering all of the vehicles registered in the name of Transportaction). Counsel for Transportaction objected to the introduction of this evidence and I took the objection under advisement. Although evidence of insurance coverage is normally inadmissible, I have concluded that the evidence is admissible in this case because it is relevant to the issue of whether Transportaction was an owner of the car for the purposes of s. 86 of the Motor Vehicle Act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standard form portion of the Lease also contained the following choice of law provision, which is central to one of the sub-issues which I will have to determine: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Lease shall be construed according to the laws of the Province of Ontario. If any provision herein contravenes the laws of any jurisdiction where this Lease is to be performed, such provision shall be deemed not to be part of this Lease and such event shall not void or affect the remaining provisions or the validity of this 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Transportaction revised paragraph 20 of its standard form lease document after the accident in question to change the choice of law jurisdiction from Ontario to British Columbia, but that does not constitute any sort of admission on its part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Transportaction registered its interest in the vehicle pursuant to the Personal Property Security Act, </w:t>
      </w:r>
      <w:r>
        <w:rPr>
          <w:rFonts w:ascii="arial" w:eastAsia="arial" w:hAnsi="arial" w:cs="arial"/>
          <w:i/>
          <w:color w:val="000000"/>
          <w:sz w:val="20"/>
          <w:lang w:val="en-US" w:eastAsia="en-US" w:bidi="ar-SA"/>
        </w:rPr>
        <w:t>R.S.B.C. 1996, c. 359</w:t>
      </w:r>
      <w:r>
        <w:rPr>
          <w:rFonts w:ascii="arial" w:eastAsia="arial" w:hAnsi="arial" w:cs="arial"/>
          <w:color w:val="000000"/>
          <w:sz w:val="20"/>
          <w:lang w:val="en-US" w:eastAsia="en-US" w:bidi="ar-SA"/>
        </w:rPr>
        <w:t xml:space="preserve"> (the "PPSA") by way of a financing statement, with Au Sr. shown as the debtor. It gave Au Sr. a power of attorney letter for the purpose of registering and insuring the vehicle. However, for unknown reasons, the vehicle registration was issued in the names of Transportaction, as lessor, and Au Jr., as lessee.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the course of the Lease, Transportaction claimed capital cost allowance as the owner of the BMW Z3 for income tax purposes and received a deduction for it in calculating its income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Transportaction was notified after the December 1, 1998 accident occurred. The Insurance Corporation of British Columbia ("ICBC") decided to write-off the BMW Z3 as a total loss, and it was agreed between ICBC and Transportaction that the value of the car was $51,000. In order to be paid the insurance funds, Transportaction signed a Salvage Release which contained a declaration that it was the registered owner and also the sole legal or beneficial owner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Transportaction received a $51,000 cheque from ICBC payable to it and Au Sr. and, although it was not endorsed by Au Sr., Transportaction was able to deposit the cheque into its bank account. Transportaction then made an internal calculation based on a lease payout amount of $51,800 and determined that it was owed a shortfall of $936 including taxes, leaving $24,064 of the $25,000 downpayment to be held on account of Au Sr. Transportaction is still holding these funds. It subsequently received another cheque from ICBC in the amount of $1,591 payable to itself and Au Jr. for the rebate on the insurance premium. Transportaction endorsed this cheque and sent it to the address it had on record for the Au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During the cross-examination of the Transportaction witnesses, counsel for Ms. Yeung endeavoured to establish that Transportaction kept the excess funds of $24,064 because it considered itself to be the owner of the vehicle. Counsel pointed to the facts that the rebate cheque had been endorsed and mailed to the Au address and that the only attempt Transportaction made to locate Au Sr. was contacting Mr. Ho of Brian Jessel BMW. Although Transportaction could have exerted more effort to locate Au Sr., I find that its lack of effort was not motivated by anything more than an expectation that Au Sr. would be contacting it to retrieve his funds. I find that Transportaction has been holding the funds on account for the benefit of Au Sr. and has not been treating them as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Subsections (1) and (3) of s. 86 of the Motor Vehicle Act read as follows: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to recover loss or damage sustained by a person by reason of a motor vehicle on a highway, every person driving or operating the motor vehicle who is living with and as a member of the family of the owner of the motor vehicle, and every person driving or operating the motor vehicle who acquired possession of it with the consent, express or implied, of the owner of the motor vehicle, is deemed to be the agent or servant of that owner and employed as such, and is deemed to be driving and operating the motor vehicle in the course of his or her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motor vehicle has been sold, and is in possession of the purchaser under a contract of conditional sale by which the title to the motor vehicle remains in the seller until the purchaser becomes the owner on full compliance with the contract, the purchaser is deemed an owner within the meaning of this section, but the seller or the seller's assignee is not deemed to be an owner within the meaning of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(2) deals with the operation of a motor vehicle in the course of employment, and is not applicable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overall issue to be decided is whether Transportaction is vicariously liable as an owner of the car for the purposes of s. 86(1) at the time of the accident or whether it is excluded from having vicarious liability under s. 86(3) as being a seller under a contract of conditional sale. Based on the submissions of counsel, there are the following three sub-issues: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Transportaction vicariously liable because paragraph 20 of the Lease makes Ontario the governing law and Transportaction is considered to be an owner and is vicariously liable under the law of Ontario?</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Lease a "contract of conditional sale" within the meaning of s. 86(3)?</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Lease is a contract of conditional sale, is Transportaction nevertheless an owner for the purposes of s. 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either sub-issue (a) or (c) is answered in the affirmative, Transportaction will be vicariously liable with Au Jr. to Ms. Yeung. If sub-issue (b) is answered in the negative, Transportaction will be vicariously liable as one of the registered owners of the vehicle at the time of the accident. If sub-issue (b) is answered in the affirmative, it will follow that Au Sr. is vicariously liable under s. 86(3). As Transportaction was aware that Au Sr. was acquiring the vehicle for use by Au Jr., there is no question that Au Jr. had possession of the car with the consent of Transportaction.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Ontario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for Ms. Yeung submits that the law of Ontario should be applied to the issue of whether Transportaction is vicariously liable as an owner of the vehicle because Transportaction is raising a contractual defence, which must be determined by the proper law of the contract. In this regard, counsel relies on the following passages from conflict of laws texts: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wrongful act takes place in one the provinces or territories of Canada, the court of that province or territory will apply its own domestic law to determine the rights and liabilities of the parties, no matter how limited the parties' connection with that jurisdiction. However, where the defendant raises a contractual defence or exemption from liability, its effect will be determined by the proper law of the contract. (J.G. Castel, Canadian Conflicts of Laws, 4th ed. (Toronto: Butterworths1997), p. 669)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Different considerations apply if the defence is not based upon general principles or provisions of law, but on the terms of a contract ... If the contract is capable of supplying a defence to the claim in tort it will then be necessary to determine whether the defence is valid according to the law applicable to the contract determined by applying the choice of law rules for contracts. If it is so valid, the defence will succeed. (Dicey and Morris, The Conflict of Laws, 11th ed. (London: Stevens &amp; Sons, 1987), pp. 1529-30)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take no exception to the correctness of these statements. However, the flaw in the submission is that Transportaction is not relying on a contractual defence. The defence relied upon by Transportaction is not contained in the Lease - it does not say anywhere in the Lease that Transportaction will not be vicariously liable with the lessee or a person whom the lessee has allowed to drive the car if the driver of the car has negligently injured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general rule in Canada is that the law to be applied in torts is the law of the place where the activity occurred, the lex loci delicti: Tolofson v. Jensen, </w:t>
      </w:r>
      <w:hyperlink r:id="rId617"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xml:space="preserve">. The majority of the Supreme Court of Canada held that, at least in interprovincial matters, certainty requires that there be no exceptions to this general rule. In the present case,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occurred in British Columbia. The substantive law to be applied to questions in connection with the tort, including the question of whether parties are vicariously liable for the commission of the tort, is the law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Transportaction is not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Au Jr. at common law. Ms. Yeung pled s. 86 of the Motor Vehicle Act in an attempt to make Transportaction vicariously liable as owner of the BMW, and Transportaction is relying on s. 86(3) as an exemption from such liability or as part of the definition of "owner" for the purposes of s. 86(1). Transportaction is not relying on a defence contained in the Lease but, rather, is relying of the wording of the applicable statute in the jurisdiction in which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took place. There is no reason to look to the law of Ontario for the purpose of deciding the issue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Each of counsel for Ms. Yeung and Transportaction cites a decision which they assert is similar to the case at bar. Counsel for Ms. Yeung cites Kingsway General Insurance Co. v. Canada Life Assurance Co., </w:t>
      </w:r>
      <w:hyperlink r:id="rId618" w:history="1">
        <w:r>
          <w:rPr>
            <w:rFonts w:ascii="arial" w:eastAsia="arial" w:hAnsi="arial" w:cs="arial"/>
            <w:i/>
            <w:color w:val="0077CC"/>
            <w:sz w:val="20"/>
            <w:u w:val="single"/>
            <w:shd w:val="clear" w:color="auto" w:fill="FFFFFF"/>
            <w:lang w:val="en-US" w:eastAsia="en-US" w:bidi="ar-SA"/>
          </w:rPr>
          <w:t>[2001] O.J. No. 3285</w:t>
        </w:r>
      </w:hyperlink>
      <w:r>
        <w:rPr>
          <w:rFonts w:ascii="arial" w:eastAsia="arial" w:hAnsi="arial" w:cs="arial"/>
          <w:color w:val="000000"/>
          <w:sz w:val="20"/>
          <w:lang w:val="en-US" w:eastAsia="en-US" w:bidi="ar-SA"/>
        </w:rPr>
        <w:t xml:space="preserve"> (C.A.). In that case, a woman bought emergency medical insurance in Ontario from Canada Life before going on a trip to Florida. The policy provided that Canada Life would have subrogated rights against a wrongdoer if it paid benefits under the policy, but the policy also provided that it was to be amended to conform with the statutes of the province in which it was issued. Ontario's Insurance Act excluded the right of subrogation for the payment of health care expenses. While in Florida, the woman was seriously injured when riding as a passenger on a motorcycle driven by her husband. Canada Life paid approximately $400,000 for the woman's medical care. It then pursued a subrogated claim against the husband's insurer, Kingsway.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Ontario Court of Appeal ruled that the law of Ontario, not Florida, applied to the question of whether Canada Life could exercise the right of subrogation. As the law of Ontario excluded rights of subrogation in respect of health care expenses, the Court held that Canada Life was not entitled to pursue the subrogated claim. Counsel for Ms. Yeung points to this case as a similar example where the governing law of the contract was applied despite the fact that the tort occurred in a different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do not agree with counsel that the Kingsway decision is similar to the present case. The Ontario Court of Appeal rejected Canada Life's argument based on Tolofson on the ground that the right of Canada Life "to subrogate to the position of the insured depends not on tort law but on its contract with its insured" ([paragraph] 12). Here, the situation is the exact reverse. The question of vicarious liability depends not on contract law but on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Although it was decided before Tolofson, the facts in the decision relied on by counsel for Transportaction are more analogous to the facts of this action. In Bagg v. Budget Rent-A-Car of Washington-Oregon, Inc. </w:t>
      </w:r>
      <w:hyperlink r:id="rId619" w:history="1">
        <w:r>
          <w:rPr>
            <w:rFonts w:ascii="arial" w:eastAsia="arial" w:hAnsi="arial" w:cs="arial"/>
            <w:i/>
            <w:color w:val="0077CC"/>
            <w:sz w:val="20"/>
            <w:u w:val="single"/>
            <w:shd w:val="clear" w:color="auto" w:fill="FFFFFF"/>
            <w:lang w:val="en-US" w:eastAsia="en-US" w:bidi="ar-SA"/>
          </w:rPr>
          <w:t>(1989), 35 B.C.L.R. (2d) 36</w:t>
        </w:r>
      </w:hyperlink>
      <w:r>
        <w:rPr>
          <w:rFonts w:ascii="arial" w:eastAsia="arial" w:hAnsi="arial" w:cs="arial"/>
          <w:color w:val="000000"/>
          <w:sz w:val="20"/>
          <w:lang w:val="en-US" w:eastAsia="en-US" w:bidi="ar-SA"/>
        </w:rPr>
        <w:t xml:space="preserve"> (C.A.), two vehicles were involved in a collision a short distance west of the border between British Columbia and Alberta. Both vehicles had been rented in the United States. The issue was whether the owner of the rented car driven by the negligent driver was vicariously liable with the driver. Neither of the states in which the vehicles were rented had a statutory provision similar to s. 86 of the Motor Vehicle Act (then s.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B.C. Court of Appeal held that s. 79 applied to make the owner of the negligently driven vehicle vicariously liable. There does not appear to have been a choice of law clause in the rental contract, with the result that the contract was presumably governed by the law of the state where the vehicle was rented. The Court invoked s. 79 even though the rental contract contained a provision that the customer or driver was not to be deemed an agent of the rental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its facts are reasonably similar to this case, the reasoning in Bagg is not especially helpful to the present situation. The Court held that, although the proper law of the tort was the domestic law of British Columbia, it would entertain the submission of the rental company that the issue of vicarious liability should be determined on the basis of the American approach that vicarious liability is determined according to the laws of the state having the most significant relationship to the parties and the occurrence. The Court concluded that British Columbia law should apply on that basis as well. There is no reason to consider the American approach to the issue of vicarious liability in the present case (especially after Tolofson) but, if one were to apply it to these circumstances, it is clear that British Columbia has the most significant relationship to the parties and the negligent act of Au Jr. The more important point was that there was no suggestion in Bagg that the issue of vicarious liability should be determined by the laws of the jurisdiction governing the rental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the issue of vicarious liability is to be determined by the law of the jurisdiction to be applied to the tort in question. That is the law of British Columbia. The interpretation of the Lease is not germane to the issue of vicarious liability and the governing law of the Lease is irrelevant. In view of this conclusion, it is unnecessary to admit into evidence the opinion provided by an Ontario lawyer, Mr. Oatley, with respect to the law of Ontario on the issue of vicarious liability.</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Conditional Sale Contract</w:t>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of the PPSA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This issue may appear to be a simple one on first impression. A lease would not seem to constitute "a contract of conditional sale by which the title to the motor vehicle remains in the seller until the purchaser becomes the owner on full compliance with the contract". However, the issue begins to lose its simplicity when one considers that the B.C. statute which governed conditional sale contracts until 1990 defined the term "conditional sale" to include a lease containing an option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B.C. Court of Appeal had occasion to consider this issue in Schoenbach v. Truong </w:t>
      </w:r>
      <w:hyperlink r:id="rId620" w:history="1">
        <w:r>
          <w:rPr>
            <w:rFonts w:ascii="arial" w:eastAsia="arial" w:hAnsi="arial" w:cs="arial"/>
            <w:i/>
            <w:color w:val="0077CC"/>
            <w:sz w:val="20"/>
            <w:u w:val="single"/>
            <w:shd w:val="clear" w:color="auto" w:fill="FFFFFF"/>
            <w:lang w:val="en-US" w:eastAsia="en-US" w:bidi="ar-SA"/>
          </w:rPr>
          <w:t>(1996), 19 B.C.L.R. (3d) 313</w:t>
        </w:r>
      </w:hyperlink>
      <w:r>
        <w:rPr>
          <w:rFonts w:ascii="arial" w:eastAsia="arial" w:hAnsi="arial" w:cs="arial"/>
          <w:color w:val="000000"/>
          <w:sz w:val="20"/>
          <w:lang w:val="en-US" w:eastAsia="en-US" w:bidi="ar-SA"/>
        </w:rPr>
        <w:t xml:space="preserve"> (C.A.). It held that the phrase "contract of conditional sale" s. 79(3) of the Motor Vehicle Act (now s. 86(3)) meant the same as the definition of "conditional sale" in the Sale of Goods on Condition Act, R.S.B.C. 1979, c. 373. The Court rejected the argument, which had found favour in an earlier decision, that the introductory phrase of s. 79(3) (i.e., "[w]here a motor vehicle has been sold") did not warrant a distinction between "ordinary" conditional sales and leases with options to purchase. Counsel for Ms. Yeung says, however, that the decision in Schoenbach is distinguishable and is not binding on me because the accident in that case occurred prior to the repeal of the Sale of Goods on Condition on October 1, 1990, when the PPSA was first brought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PPSA was already in force prior to the accident in the case of Alexander v. Bertram </w:t>
      </w:r>
      <w:hyperlink r:id="rId621" w:history="1">
        <w:r>
          <w:rPr>
            <w:rFonts w:ascii="arial" w:eastAsia="arial" w:hAnsi="arial" w:cs="arial"/>
            <w:i/>
            <w:color w:val="0077CC"/>
            <w:sz w:val="20"/>
            <w:u w:val="single"/>
            <w:shd w:val="clear" w:color="auto" w:fill="FFFFFF"/>
            <w:lang w:val="en-US" w:eastAsia="en-US" w:bidi="ar-SA"/>
          </w:rPr>
          <w:t>(2000), 72 B.C.L.R. (3d) 66</w:t>
        </w:r>
      </w:hyperlink>
      <w:r>
        <w:rPr>
          <w:rFonts w:ascii="arial" w:eastAsia="arial" w:hAnsi="arial" w:cs="arial"/>
          <w:color w:val="000000"/>
          <w:sz w:val="20"/>
          <w:lang w:val="en-US" w:eastAsia="en-US" w:bidi="ar-SA"/>
        </w:rPr>
        <w:t xml:space="preserve"> (C.A.). In that case, the lease of the negligently driven vehicle did not initially contain an option to purchase. After the lease had been assigned by the lessor to a credit company, a representative of the initial lessor gave the lessee a letter which stated that the lessee could purchase the vehicle at the end of the lease for a specified purchase price. However, the assignee of the lease never agreed to this and the Court held that the assignee was not entitled to rely on it for the purpose of s. 79(3) of the Motor Vehicle Act (now s. 86(3)).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Prowse J.A. wrote the decision on behalf of the Court and she distinguished Schoenbach on the basis that the option to purchase was not enforceable as against the assignee of the lease. She made the following comments in parenthesis after concluding that Schoenbach was distinguishable: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matter of historical interest, I note that the Sale of Goods on Condition Act was repealed by s. 106 of the Personal Property Security Amendment Act, 1990, S.B.C. 1990, c. 11, on October 1, 1990, the same day that the Personal Property Security Act, S.B.C. 1989, c. 36 was brought into force. The Personal Property Security Act does not contain a definition of "conditional sale". That being the case, there is no reason to doubt that the reference to "conditional sale" in s. 79(3) continues to be the definition in the Sale of Goods on Condition Act.) ([paragraph]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Prowse J.A. went on to state that s. 79(3) should be read to include a reference to a lease with an option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Subsection 86(3) was also considered by this Court shortly after the decision in Bertram was issued, but without making reference to it. In Heringa v. Mah, </w:t>
      </w:r>
      <w:hyperlink r:id="rId622" w:history="1">
        <w:r>
          <w:rPr>
            <w:rFonts w:ascii="arial" w:eastAsia="arial" w:hAnsi="arial" w:cs="arial"/>
            <w:i/>
            <w:color w:val="0077CC"/>
            <w:sz w:val="20"/>
            <w:u w:val="single"/>
            <w:shd w:val="clear" w:color="auto" w:fill="FFFFFF"/>
            <w:lang w:val="en-US" w:eastAsia="en-US" w:bidi="ar-SA"/>
          </w:rPr>
          <w:t>[2000] B.C.J. No. 2751</w:t>
        </w:r>
      </w:hyperlink>
      <w:r>
        <w:rPr>
          <w:rFonts w:ascii="arial" w:eastAsia="arial" w:hAnsi="arial" w:cs="arial"/>
          <w:color w:val="000000"/>
          <w:sz w:val="20"/>
          <w:lang w:val="en-US" w:eastAsia="en-US" w:bidi="ar-SA"/>
        </w:rPr>
        <w:t>, 29 March 2000, Vancouver Docket B952521 (B.C.S.C.), Satanove J. followed Schoenbach in respect of a motor vehicle accident which occurred after the PPSA came into force. She held that the lease in question fell within the definition of "conditional sale" contained in the repealed Sale of Goods on Condition Act and that, as a result, the lessor was exempt from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There have been two other decisions of this Court which have applied Schoenbach to an accident occurring after the PPSA came into effect and which concluded in each case that the lease in question did not constitute a conditional sale contract. In Nickel v. Happy Auto Sales Inc., </w:t>
      </w:r>
      <w:hyperlink r:id="rId623" w:history="1">
        <w:r>
          <w:rPr>
            <w:rFonts w:ascii="arial" w:eastAsia="arial" w:hAnsi="arial" w:cs="arial"/>
            <w:i/>
            <w:color w:val="0077CC"/>
            <w:sz w:val="20"/>
            <w:u w:val="single"/>
            <w:shd w:val="clear" w:color="auto" w:fill="FFFFFF"/>
            <w:lang w:val="en-US" w:eastAsia="en-US" w:bidi="ar-SA"/>
          </w:rPr>
          <w:t>[1997] B.C.J. No. 2810</w:t>
        </w:r>
      </w:hyperlink>
      <w:r>
        <w:rPr>
          <w:rFonts w:ascii="arial" w:eastAsia="arial" w:hAnsi="arial" w:cs="arial"/>
          <w:color w:val="000000"/>
          <w:sz w:val="20"/>
          <w:lang w:val="en-US" w:eastAsia="en-US" w:bidi="ar-SA"/>
        </w:rPr>
        <w:t xml:space="preserve"> (S.C.), McKinnon J. held that the lessor was not excluded from vicarious liability. In Brady v. Skidmore, </w:t>
      </w:r>
      <w:hyperlink r:id="rId624" w:history="1">
        <w:r>
          <w:rPr>
            <w:rFonts w:ascii="arial" w:eastAsia="arial" w:hAnsi="arial" w:cs="arial"/>
            <w:i/>
            <w:color w:val="0077CC"/>
            <w:sz w:val="20"/>
            <w:u w:val="single"/>
            <w:shd w:val="clear" w:color="auto" w:fill="FFFFFF"/>
            <w:lang w:val="en-US" w:eastAsia="en-US" w:bidi="ar-SA"/>
          </w:rPr>
          <w:t>[2003] B.C.J. No. 479</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2003 BCSC 348</w:t>
        </w:r>
      </w:hyperlink>
      <w:r>
        <w:rPr>
          <w:rFonts w:ascii="arial" w:eastAsia="arial" w:hAnsi="arial" w:cs="arial"/>
          <w:color w:val="000000"/>
          <w:sz w:val="20"/>
          <w:lang w:val="en-US" w:eastAsia="en-US" w:bidi="ar-SA"/>
        </w:rPr>
        <w:t>, Goepel J. held that the lessee was not an owner of the vehicle for the purposes of s.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Hence, there are four decisions dealing with an accident after 1990 in which the decisions were based on the supposition that the phrase "contract of conditional sale" in s. 86(3) continues to mean a "conditional sale" as defined in the repealed Sale of Goods on Condition Act. However, counsel for Ms. Yeung submits that these decisions, as well as Schoenbach, are not binding on me. Counsel says that Bertram is not binding because the comments of Prowse J.A. were obiter dicta and s. 75(2) of the PPSA, which reads as follows, was not brought to the attention of the Court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reference in an Act, regulation, agreement or document to a chattel mortgage, conditional sales contract, floating charge, pledge, assignment of book accounts or other similar agreement is deemed to be a reference to the corresponding kind of security agreement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says that Heringa v. Mah is not binding because Satanove J. did not consider the effect of the repeal of the Sale of Goods on Condition Act and the introduction of the PPSA. This is also the situation with respect to Happy Auto Sales and Brady v. Skidmore and, like Bertram, neither of these decisions found the lease to constitute a contract of conditional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agree with counsel for Ms. Yeung that none of these decisions is technically binding on me to the extent of being determinative of this issue. However, that does mean that they are to be ignored. The decisions are binding on me with respect to the proposition that the term "contract of conditional sale" in s. 86(3) meant "conditional sale" as defined in the Sale of Goods on Condition Act prior to the repeal of that Act. Also, while obiter dicta comments made by the Court of Appeal are not binding on me, they are to be given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view, the issue then becomes whether the meaning of "contract of conditional sale" in s. 86(3) changed when the Sale of Goods on Condition Act was repealed and the PPSA was enacted. It is my opinion that the meaning did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PPSA fundamentally altered the manner in which various types of security instruments were treated by the governing legislation. Rather than dealing with them in separate statutes (e.g., conditional sale contracts, chattel mortgages, assignments of book accounts) or leaving them to be governed largely by the common law (e.g., floating charges), the PPSA refers to all such security instruments simply as "security agreement[s]" and, with some exceptions, treats them all in the same fashion. A "security agreement" is defined to mean an agreement that creates or provides for a security interest. As a result, it was not necessary to define the term "conditional sale" in the PPSA.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One of the main purposes of legislation dealing with security interests is to provide a mechanism for people buying an asset or otherwise dealing with a person in possession of an asset to confirm whether another party has a security interest in the asset. This is done by way of a registry at which the party with a security interest can register their interest and thereby give notice of the interest to people dealing with the person in possession of the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Leases do not fit easily into the concept of security interests. It is generally accepted that there are two types of leases: true leases and security or financing leases. They are also referred to for accounting purposes as operating leases and capital leases. It can often be difficult to distinguish between a true lease and a security lease. Two examples of decisions dealing with the factors utilized to distinguish between the two types of leases are Re Ontario Equipment (1976) Ltd. </w:t>
      </w:r>
      <w:hyperlink r:id="rId625" w:history="1">
        <w:r>
          <w:rPr>
            <w:rFonts w:ascii="arial" w:eastAsia="arial" w:hAnsi="arial" w:cs="arial"/>
            <w:i/>
            <w:color w:val="0077CC"/>
            <w:sz w:val="20"/>
            <w:u w:val="single"/>
            <w:shd w:val="clear" w:color="auto" w:fill="FFFFFF"/>
            <w:lang w:val="en-US" w:eastAsia="en-US" w:bidi="ar-SA"/>
          </w:rPr>
          <w:t>(1981), 125 D.L.R. (3d) 321</w:t>
        </w:r>
      </w:hyperlink>
      <w:r>
        <w:rPr>
          <w:rFonts w:ascii="arial" w:eastAsia="arial" w:hAnsi="arial" w:cs="arial"/>
          <w:color w:val="000000"/>
          <w:sz w:val="20"/>
          <w:lang w:val="en-US" w:eastAsia="en-US" w:bidi="ar-SA"/>
        </w:rPr>
        <w:t xml:space="preserve"> (Ont. S.C.) and Newcourt Financial Ltd. v. Frizzell, </w:t>
      </w:r>
      <w:hyperlink r:id="rId626" w:history="1">
        <w:r>
          <w:rPr>
            <w:rFonts w:ascii="arial" w:eastAsia="arial" w:hAnsi="arial" w:cs="arial"/>
            <w:i/>
            <w:color w:val="0077CC"/>
            <w:sz w:val="20"/>
            <w:u w:val="single"/>
            <w:shd w:val="clear" w:color="auto" w:fill="FFFFFF"/>
            <w:lang w:val="en-US" w:eastAsia="en-US" w:bidi="ar-SA"/>
          </w:rPr>
          <w:t>[2000] B.C.J. No. 1727</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2000 BCSC 1196</w:t>
        </w:r>
      </w:hyperlink>
      <w:r>
        <w:rPr>
          <w:rFonts w:ascii="arial" w:eastAsia="arial" w:hAnsi="arial" w:cs="arial"/>
          <w:color w:val="000000"/>
          <w:sz w:val="20"/>
          <w:lang w:val="en-US" w:eastAsia="en-US" w:bidi="ar-SA"/>
        </w:rPr>
        <w:t>. In very general terms, the basic question is whether the subject transaction is really a form of financing but is structured as a lease for other reasons. Those other reasons can include income tax treatment, sales tax treatment and financial statement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Under the Sale of Goods on Condition Act, the Legislature made a policy decision of what leases it would treat the same as the security interest known as the conditional sale contract. It decided to make the distinction based on whether the lease included an option to purchase. A lease with an option to purchase was treated as a conditional sale contract, while a lessor under a lease without an option to purchase was not required to register its interest under the Act and was not made subject to the "seize or sue" provisions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approach of the Legislature was different under the PPSA. Sections 2 and 3 describe the things that are subject to the PPSA generally:</w:t>
      </w:r>
      <w:r>
        <w:rPr>
          <w:rFonts w:ascii="arial" w:eastAsia="arial" w:hAnsi="arial" w:cs="arial"/>
          <w:sz w:val="20"/>
          <w:lang w:val="en-US" w:eastAsia="en-US" w:bidi="ar-SA"/>
        </w:rPr>
        <w:cr/>
      </w:r>
    </w:p>
    <w:p>
      <w:pPr>
        <w:numPr>
          <w:numId w:val="1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4, this Act applies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to every transaction that in substance creates a security interest, without regard to its form and without regard to the person who has title to the collateral,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without limiting paragraph (a), to a chattel mortgage, a conditional sale, a floating charge, a pledge, a trust indenture, a trust receipt, an assignment, a consignment, a lease, a trust, and a transfer of chattel paper if they secure payment or performance of an obligation.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Despite section 4(g), this Act applies to conflicting interests in a security and in an instrument, unless the security or instrument is registered, or an application to register the security or instrument has been made, under the Land Title Act, in which case the Land Title Act applies.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Subject to sections 4 and 55, this Act applies to</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transfer of an account or chattel paper,</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commercial consignment, and</w:t>
      </w:r>
    </w:p>
    <w:p>
      <w:pPr>
        <w:numPr>
          <w:numId w:val="1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lease for a term of more than one year,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do not secure payment or performance of an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 is not relevant to this matter, but s. 55 is significant. Section 55 states that Part 5 of the PPSA does not apply to a transaction referred to in s. 3. Part 5 deals with rights and remedies upon default, including rights of repossession, voluntary foreclosure, rights of redemption and reinstatement, the appointment of receivers and "seize or sue" provisions for consumer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result of the PPSA framework makes it quite different from the Sale of Goods Act as it pertains to leases. Options to purchase are not specifically referred to in the PPSA. A financing statement must be registered under the PPSA for a lease of more than one year, even if it does not contain an option to purchase and even if it cannot be considered to be a form of security interest. Part 5 of the PPSA only applies to leases if they are in substance a security interest or if they secure payment or performance of an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the Legislature enacted the predecessor to s. 86(3) of the Motor Vehicle Act, it intended the phrase "a contract of conditional sale" to have a particular meaning. In Schoenbach, the B.C. Court of Appeal determined, in dealing with an accident which occurred prior to the enactment of the PPSA, that the Legislature intended the phrase to have the same meaning as the definition of "conditional sale" in the Sale of Goods on Condition Act. In my view, the Legislature did not manifest an intention to change that meaning when it repealed the Sale of Goods on Condition Act and introduced the PPSA.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Legislature would have manifested an intention to change the meaning of "contract of conditional sale" in s. 86(3) if it had introduced a new definition of "conditional sale" in the PPSA, but it did not do so. There is nothing in the PPSA which assists in determining whether a particular contract is a contract of conditional sale. It follows in my view that there is nothing in the PPSA to indicate that the Legislature intended to change the meaning of "contract of conditional sale" for the purposes of s. 86(3). Section 37(1) of the Interpretation Act,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specifically provides that the repeal of an enactment and the substitution for it of another enactment must not be construed to be a declaration about the previous state of the law. In other words, the replacement of the Sale of Goods on Condition Act with the PPSA is not, without something more, to be construed as a declaration that the Legislature wanted to change the meaning of "contract of conditional sale" in s. 86(3).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do not believe that it can be inferred from the absence of a definition of "conditional sale" in the PPSA that the Legislature intended to change the meaning of "contract of conditional sale" in s. 86(3) from the definition in the Sale of Goods on Condition Act to its meaning at common law. In view of the facts that the PPSA (i) applies to some leases for all purposes, (ii) applies to other leases for the purpose of requiring the registration of financing statements, and (iii) does not apply at all to other leases, it is my opinion that, unlike the Sale of Goods on Condition Act, the PPSA does not provide guidance on the question of how the Legislature intended leases to be treated for the purpose of s. 86(3).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indicated above, counsel for Ms. Yeung relies on s. 75(2) of the PPSA. For the purposes of this action, it reads the equivalent of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reference in [s. 86(3) of the Motor Vehicle Act] ... to a ... conditional sales contract ... is deemed to be a reference to the corresponding kind of security agreement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turn, this means that the relevant wording under s. 86(3) should be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motor vehicle has been sold, and is in possession of the purchaser under a contract of conditional sale [under the PPSA] by which the title to the motor vehicle remains in the seller until the purchaser becomes the owner on full compliance of the contract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does not advance the matter at all in my view because there is no definition of a "contract of conditional sale" under the PPSA. One must search elsewhere for the meaning of "contract of conditional sale". That search leads one to the decisions of the B.C. Court of Appeal in Schoenbach and Bertram. In particular, I do not believe that s. 75(2) changes the obiter conclusion of Prowse J.A. in Bertram that the reference to "conditional sale" in the Motor Vehicle Act continues to be the definition in the Sale of Goods on Condition Act.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True Lease vs. Security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Counsel for Ms. Yeung submits that the effect of s. 75(2) is that the definition in the Sale of Goods on Condition Act is no longer relevant and that, in order to decide whether the Lease constitutes a contract of conditional sale under s. 86(3), it is necessary to determine whether it is a true lease or a security lease. Pointing to the factors discussed in Ontario Equipment and Frizzell, counsel says that the Lease is a true lease and does not qualify as a contract of conditional sale under s. 86(3). As I have stated above, I do not agree with his submission with respect to the effect of s. 75(2). However, even if I were to agree with his submission about the meaning of "contract of conditional sale" in s. 86(3), I would nevertheless conclude that the Lease was a "contract of conditional sale" on the basis that it was a lease which, in substance, created a security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Referring to the decisions in Ontario Equipment and Frizzell, Counsel for Ms. Yeung relies on the following factors in support of the submission that the Lease is a true lease:</w:t>
      </w:r>
      <w:r>
        <w:rPr>
          <w:rFonts w:ascii="arial" w:eastAsia="arial" w:hAnsi="arial" w:cs="arial"/>
          <w:sz w:val="20"/>
          <w:lang w:val="en-US" w:eastAsia="en-US" w:bidi="ar-SA"/>
        </w:rPr>
        <w:cr/>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form part of the Lease is entitled "Motor Vehicle Lease Agreement";</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Lease requires the lessee to advise of any change in location of the vehicle;</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numerous references in the Lease to the payment of "monthly rent";</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Lease refers to the lessor as the owner of the vehicle and states that title to the vehicle is to remain in the lessor;</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numerous restrictions and requirements contained in the Lease regarding the vehicle, such as restrictions against modifications and the persons who can operate it and requirements to insure and maintain the vehicle;</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Lease permits the lessee to return the vehicle to the lessor after 12 months;</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option to purchase contained in the Lease allows the lessee to "purchase the Lease Vehicle ... for its estimated fair market value of $45,000";</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Transportaction claimed capital cost allowance as the owner of the vehicle;</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was to the effect that the majority of vehicles leased by Transportaction in British Columbia are purchased by someone other than the lessee at the end of the lease term; and</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Transportaction had its own liability insurance as owner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places special emphasis on the fact that the option price for the vehicle was stated to be a price equal to its estimated fair market value. In Ontario Equipment, Henry J.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 consider to be a practical definition of the distinction between a true lease and a lease by way of security was adopted Re Crown Cartridge (1962), 220 F. Supp 914 by Croake D.J. from the decision of Referee Asa S. Herzog: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in determining whether an agreement is a true lease or a conditional sale is whether the option to purchase at the end of the lease term is for a substantial sum or a nominal amount ... If the purchase price bears a resemblance to the fair market price of the property, then the rental payments are in fact designated to be in compensation for the use of the property and the option is regarded as a real one. On the other hand, where the price of the option to purchase is substantially less than the fair market value of the leased equipment, the lease will be construed as a mere cover for an agreement of conditional sale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critical issue in every case is the intention of the parties and this depends upon the facts of the case. (pp. 323-4)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overly simplistic, in my opinion, to look only at the option price. All of the circumstances must be considered. I agree with the last comment that the critical issue is the intention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my opinion that most of the above factors relied upon by counsel for Ms. Yeung relate to the form of the transaction, not its substance. The best example is the option price. The BMW would clearly not have a fair market value of $45,000 at the end of the three year lease term. The real option price was $20,000, after the $25,000 downpayment or security payment is taken into account. The only evidence regarding the fair market value of the BMW after the three year lease term was that it would be worth approximately one-half of its initial purchase price (the witness agreed that it would be worth half of $52,000 but the actual purchase price was $57,000, resulting in a value of $28,500). Thus, even though the Lease referred to the option price as being the estimated fair market value of the vehicle, the option price was, in reality, significantly lower than the fair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do not put much stock in the evidence that a majority of Transportaction's leased vehicles are sold to someone other than the lessee at the end of the lease term. It is not known how many lessees returned the vehicles to Transportaction (which then sold them to third parties) and how many lessees effectively exercised the option to purchase but directed Transportaction to transfer the vehicles into the names of purchasers in order to minimize the sales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factors which lead me to conclude that, in substance, the transaction involved the creation of a security interest are as follows:</w:t>
      </w:r>
      <w:r>
        <w:rPr>
          <w:rFonts w:ascii="arial" w:eastAsia="arial" w:hAnsi="arial" w:cs="arial"/>
          <w:sz w:val="20"/>
          <w:lang w:val="en-US" w:eastAsia="en-US" w:bidi="ar-SA"/>
        </w:rPr>
        <w:cr/>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Transportaction did not own the BMW when Au Sr. decided to acquire it. Rather, Au Sr. went to a BMW dealership and Transportaction only got involved after Au Sr. had selected the BMW;</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 Sr. paid a $5,000 deposit to Brian Jessel BMW, which meant that Transportaction paid $5,000 less to have the vehicle transferred to it from the dealership;</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 Sr. paid a $25,000 downpayment or security deposit to Transportaction, which is not consistent with a true lease;</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about the calculation of the rental under the Lease, the B.C. manager of Transportaction answered, truthfully in my view, that the formula depended on "the amount you're financing, what the future value will be, the term and, and the interest rate that's applied". Whatever Transportaction may do for income tax purposes, it treats the transaction as a loan transaction in which it holds security in the form of title to the vehicle;</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real option price was less than the fair market value of the vehicle; and</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paragraph 10.1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Paragraph 10.1 of the Lease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the termination of this Lease, either at expiry of the Lease Term or otherwise, Lessor shall, provided there is no default under this Lease, pay or credit to Lessee as an adjustment of the Monthly Rent paid or payable by Lessee hereunder in respect of all Vehicles the amount, if any, by which the Net Sale Proceeds (as hereinafter defined) of a Vehicle exceeds the Termination Book Value (as hereinafter defined) of such Vehicle or, as the case may be, if the Net Sale Proceeds of a Vehicle are less than the Termination Book Value of such Vehicle, Lessee shall forthwith pay to Lessor as an adjustment of the Monthly Rent payable hereunder the amount by which the Termination Book Value of the Vehicle exceeds the Net Sale Proceeds of such Vehicle. The Termination Book Value shall either be as set forth on Schedule "A" hereto or, (if directed by Schedule "A") shall be the aggregate of all amounts which Lessee is liable for under this Lease. The phrase "Net Sale Proceeds" shall mean the amount received by Lessor upon sale of the Vehicle less costs to condition and less a $75.00 selling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phrase "Termination Book Value" was not explicitly defined in Schedule "A" to the Lease, but I find that it was intended to be defined as the principal amount remaining owing to Transportaction at the time of the termination. It was the same as the payout amount which Transportaction calculated when it received the $51,000 insurance proceeds from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If the lessee did not exercise the option to purchase and the vehicle was returned by the lessee, Transportaction would be entitled to sell it. If the net sale proceeds exceeded the book value, Transportaction would be required under paragraph 10.1 to pay the excess to the lessee. On the other hand, if the amount of the net sale proceeds was less than the book value, the lessee would be required to pay the deficiency to Transportaction. In each case, the downpayment or security deposit was to be utilized by Transportaction and either the balance of it would be refunded to the lessee or, if there was no remaining balance, the lessee would be required to fund the deficiency with other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result of the operation of paragraph 10.1 is that Au Sr. was required to pay Transportaction the amount of money financed by it, together with its interest or financing charges, irrespective of the value of the vehicle. In other words, Au Sr. was not simply required to make rental payments to Transportaction but, rather, he was required to pay the principal amount financed by Transportaction plus interest costs. The lessee was at risk in respect of the value of the vehicle, and Transportaction was entitled to be paid its principal plus interest, irrespective of the value of the vehicle. This is consistent with a financing transaction, not a true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Even if paragraph 10.1 is not taken into account as a result of the failure to define "Termination Book Value", it would still be my conclusion that the transaction, in substance, created a security interest. This is not a situation where a person decided to lease a vehicle from someone who owned it. Despite the attempt to disguise it as a lease transaction, the reality is that Transportaction financed the acquisition of the vehicle by Au Sr. and the retention of title to the vehicle by Transportaction was the security interest upon which it relied to ensure payment of the amounts owing to it.</w:t>
      </w:r>
      <w:r>
        <w:rPr>
          <w:rFonts w:ascii="arial" w:eastAsia="arial" w:hAnsi="arial" w:cs="arial"/>
          <w:sz w:val="20"/>
          <w:lang w:val="en-US" w:eastAsia="en-US" w:bidi="ar-SA"/>
        </w:rPr>
        <w:cr/>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Despite Conditional Sale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Counsel for Ms. Yeung submits that even if Transportaction cannot be found to be an owner of the vehicle as a result of its status as a vendor under a contract of conditional sale, it should still be found to be an owner by virtue of other indicia of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first observe that none of the decisions of Schoenbach, Bertram and Heringa looked beyond the issue of whether the lease in question constituted a contract of conditional sale. Indeed, McEachern C.J.B.C. effectively addressed the point when he said the following in Schoenbach: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I do not read s. 79(3) as an exemption to s. 79(1), but as part of the definition of "owner" for the purposes of that section. Section 79(3) defines "owner" in a way which excludes sellers under contracts of conditional sale. Although I have no doubt that s. 79 was enacted to extend vicarious liability to legal owner in certain circumstances, I do not believe that it was the intention of the Legislature to extend that liability to legal "owners" under certain kinds of commercial paper but not others. I believe that the Legislature intended to define "owners" in such a way as to exclude those who hold legal title under conditional sales agreements. ([paragraph]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was an integral part of the reasoning of McEachern C.J.B.C. in Schoenbach and was not obiter dicta. I consider this reasoning to be binding upon me, with the result that, when s. 86(1) and s. 86(3) are read together, the word "owner" in s. 86(1) excludes persons in the position of Transportaction who hold legal title under conditional sale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Even if it was open to find Transportaction an owner for the purpose of s. 86(1) on the basis of other indicia of ownership, it is my view that the indicia relied upon by counsel for Ms. Yeung are not sufficient in that regard. The indicia relied upon by counsel are the following:</w:t>
      </w:r>
      <w:r>
        <w:rPr>
          <w:rFonts w:ascii="arial" w:eastAsia="arial" w:hAnsi="arial" w:cs="arial"/>
          <w:sz w:val="20"/>
          <w:lang w:val="en-US" w:eastAsia="en-US" w:bidi="ar-SA"/>
        </w:rPr>
        <w:cr/>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Transportaction declared in the Salvage Release that it was the sole legal or beneficial owner of the vehicle;</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Transportaction has retained all of the insurance proceeds received from ICBC;</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Transportaction exercised a number of rights as owner of the vehicle, such as having its own liability insurance; and</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Transportaction represented itself as owner of the vehicle to Canada Customs and Revenue Agency, the Superintendent of Motor Vehicles and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my opinion, none of these manifestations of ownership can be separated from Transportaction's status as "legal owner" under the Lease. It may be that Transportaction overstated its interest in the car on occasion, but it has never denied the interest of Au Sr. in the vehicle. As I previously concluded, Transportaction has not kept all of the insurance proceeds as its own and continues to hold $24,064 of the proceeds for the account of Au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Counsel for Au Jr. also makes a submission on this issue. Counsel says that s. 86(3) does not apply because, even if Au Sr. was a purchaser under a contract of conditional sale, he was not in possession of the BMW because Au Jr. had possession of it. I find that Au Sr. was in possession of the vehicle under the Lease. Possession of the BMW was delivered to Au Sr. by Transportaction, and Transportaction was only entitled to take possession of the car if it terminated the Lease upon the happening of an event of default. The Lease specifically permitted the use of the BMW by members of the immediate family of Au Sr. The fact that Au Sr. let his son drive the car does not mean that Au Sr. did not have possession of the vehicle under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insertion of the phrase "and is in the possession of the purchaser" in s. 86(3) was meant to address the situation where a vendor (or lessor) under a conditional sale contract (or a lease with option to purchase) retained possession of the vehicle. In such a case, the vendor (or lessor) would be an owner for the purpose of s. 86(1) despite the existence of the conditional sale agreement (or lease). The phrase was not intended to make a vendor (or lessor) an owner under s. 86(1) simply because the buyer (or lessee) had allowed someone else to operate the vehicle in their absence. In the above passage from Schoenbach, McEachern C.J.S.C. commented that he did not believe that it was the intention of the Legislature to extend liability to legal "owners" under certain kinds of commercial paper but not others. Similarly, I do not believe that it was the intention of the Legislature to extend liability to legal "owners" to certain vendors under conditional sale contracts where possession of the vehicle has been delivered to the buyer, but not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conclude that the law of Ontario does not apply to the issue of vicarious liability and that Transportaction is not vicariously liable as an owner of the BMW under s. 86 of the Motor Vehicle Act. I dismiss the action against Transportaction with costs. There is liberty to apply if counsel are not able to agree on the appropriate scale of party and party costs under Appendix B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I have concluded that the Lease constituted a contract of conditional sale under s. 86(3) of the Motor Vehicle Act, Au Sr. is deemed to be an owner within the meaning of s. 86. Accordingly, I grant judgment in favour of Ms. Yeung against Au Sr. in the amount of $5,800,000, together with the damages to be assessed in respect of income tax gross-up, management fees and committee fees, as well as pre-judgment interest and costs which have yet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TYSOE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Aujero v. British Columbia (Workers' Compensation Appeal Tribunal), [2018] B.C.J. No. 897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17-4428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897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764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Judicial Review Procedure Act, R.S.B.C. 1996, c. 241 and the Workers' Compensation Act, R.S.B.C. 1996, c. 492 AND IN THE MATTER OF a decision of the Workers' Compensation Appeal Tribunal rendered on September 29, 2017, WCAT No. A1603732 Between Maria Nona Tolo Aujero, Petitioner, and Workers' Compensation Appeal Tribunal,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6"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2" w:name="Keywords_41"/>
      <w:bookmarkEnd w:id="282"/>
      <w:r>
        <w:rPr>
          <w:rFonts w:ascii="arial" w:eastAsia="arial" w:hAnsi="arial" w:cs="arial"/>
          <w:b/>
          <w:color w:val="000000"/>
          <w:sz w:val="20"/>
          <w:lang w:val="en-US" w:eastAsia="en-US" w:bidi="ar-SA"/>
        </w:rPr>
        <w:t>Workplace Health, Safety and Compensation Law — Workers compensation — Benefits — Entitlement to benefits — Acting in the course of employment — Election by claimant — To make claim in tort — When available — Petition for declaration that decision of Workers' Compensation Appeals Tribunal (WCAT) was null and void, and for relief in nature of certiorari to quash decision dismissed — Petitioner was home care worker who was involved in motor vehicle accident while driving to client's home — WCAT found accident arose out of and in course of employment — Petitioner claimed decision was unreasonable — WCAT reasonably found petitioner typically travelled to multiple work sites as part of normal work day and as part of employment duties and that such travel was essential to her employment — Decision was not patently unreasonable — Workers' Compensation Act, s. 257.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3" w:name="Case Summary_40"/>
            <w:bookmarkEnd w:id="2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Maria Aujero for a declaration that a decision of the Workers' Compensation Appeals Tribunal (WCAT) was null and void, and for relief in the nature of certiorari to quash the decision. Aujero was a home care worker employed by Revera Health Services Inc. (Revera). Her job activities take place in the homes of Revera's clients. Aujero was injured in a motor vehicle accident while driving to a client's home. Aujero commenced a civil action for damages against the driver and owner of the other vehicle involved in the accident. The defendants sought a determination under the Workers' Compensation Act as to the status of Aujero and the other driver at the time of the accident. A single member panel of WCAT found that Aujero was a worker within the meaning of the Act at the time of the accident and that the accident arose out of and in the course of her employment. Aujero argued that the decision was unreasonable.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4" w:name="Holdings of Court_37"/>
            <w:bookmarkEnd w:id="284"/>
            <w:r>
              <w:rPr>
                <w:rFonts w:ascii="arial" w:eastAsia="arial" w:hAnsi="arial" w:cs="arial"/>
                <w:color w:val="000000"/>
                <w:sz w:val="20"/>
                <w:lang w:val="en-US" w:eastAsia="en-US" w:bidi="ar-SA"/>
              </w:rPr>
              <w:t>HELD: Petition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WCAT reasonably found that Aujero was a home care worker who typically traveled to multiple work locations in the course of a normal work day as part of her employment duties and that such travel was essential to her employment. The driver of the other vehicle was clearly in the course of his employment. The fact that he was in breach of traffic laws did not take him out of the course of his employment. The WCAT decision was not patently unreasonable.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5" w:name="Legislation Cited_30"/>
      <w:bookmarkEnd w:id="2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7"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 492, s. 257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6" w:name="Counsel_43"/>
      <w:bookmarkEnd w:id="2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V.A. Ishkanian.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J.T. Lovell.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7" w:name="Judgment_42"/>
      <w:bookmarkEnd w:id="287"/>
      <w:r>
        <w:pict>
          <v:line id="_x0000_s1239"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8" w:name="R. JOHNSTON J."/>
            <w:bookmarkEnd w:id="288"/>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Ms. Aujero petitions for a declaration that the decision of the respondent, the Workers' Compensation Appeal Tribunal (WCAT), No. A1603732, is null and void, and for relief in the nature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to quash that decision. If the relief she seeks is granted, she asks that the matter be remitted to the respondent for a rehearing.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Aujero is a home care worker employed by Revera Health Services Inc. (Revera). Her job activities take place in the homes of Revera's clients. Ms. Aujero ordinarily leaves her home at the start of her work day and drives directly to the home of her first client, without first going to Revera's place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May 9, 2012 Ms. Aujero was driving from her home to her first client's home when the car she was driving was struck by a vehicle owned by Pattar Cedar Products and operated by its employee, Kulwant Singh Thind.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Aujero was driving her own vehicle, and was not paid for the time it took to get from her home to her first client, but was paid for a ten minute allowance for travelling from client to client after the first client of the day. She was not paid for time spent travelling from the home of the last client of the day to her own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Ms. Aujero filed Notices of Civil Claim in April 2014, one naming Pattar Cedar Products and Thind as defendants in which Ms. Aujero seeks damages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another naming the Insurance Corporation of British Columbia as a defendant in a claim for benefits under Part 7 of the Regulations to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sought a determination, under s. 257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as to the status of Ms. Aujero and Mr. Thind on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 single member panel of WCAT found that at the time of the accident, Ms. Aujero was a worker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then turned to consider whether the injuries she sustained in the vehicle accident arose out of and in the course of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doing so, the panel considered policies set out in the </w:t>
      </w:r>
      <w:r>
        <w:rPr>
          <w:rFonts w:ascii="arial" w:eastAsia="arial" w:hAnsi="arial" w:cs="arial"/>
          <w:i/>
          <w:color w:val="000000"/>
          <w:sz w:val="20"/>
          <w:lang w:val="en-US" w:eastAsia="en-US" w:bidi="ar-SA"/>
        </w:rPr>
        <w:t>Rehabilitation Services and Claims Manual, Volume II</w:t>
      </w:r>
      <w:r>
        <w:rPr>
          <w:rFonts w:ascii="arial" w:eastAsia="arial" w:hAnsi="arial" w:cs="arial"/>
          <w:color w:val="000000"/>
          <w:sz w:val="20"/>
          <w:lang w:val="en-US" w:eastAsia="en-US" w:bidi="ar-SA"/>
        </w:rPr>
        <w:t xml:space="preserve">, which it was required to do under s. 250(2)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One of the policies applied by the panel, #C3-14.00, sets out a non-exhaustive list of nine factors to be considered when determining whether a worker's injury arose out of and in the course of the worker's employment. Having evaluated the nine factors in the context of the evidence in Ms. Aujero's case, the panel found that three of the nine factors favoured a finding that she was in the course of employment while travelling to her first client, while six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panel considered policy #C3-19.00, "Work Related Travel" and prior WCAT decisions on both sides of a question whether travel by a home care worker to the first appointment of a day can make the worker a traveling employee, as opposed to a commuter from home to place of work. It is fair to characterize the panel's review of the decisions on this question as exhaustive.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panel concluded at paragraph 67 that "a worker who is employed to provide in-home services to a range of clients on a daily basis is a traveling worker, with workers' compensation coverage for such travel", and "I consider that the plaintiff was a home care worker, whose travel fits within the terms of the policy concerning traveling employees." This portion of the impugned decision concludes at paragraph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therefore, that the May 9, 2012 accident arose out of and in the course of the plaintiff's employment. Any injury suffered by the plaintiff in the May 9, 2012 accident was one which arose out of and in the course of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Aujero's argument on this point amounts to a disagreement with the WCAT panel over the interpretation and application of policy, particularly policy #C319.00.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common ground that the standard of review is patent unreasonableness.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What is patently unreasonable was discussed in </w:t>
      </w:r>
      <w:r>
        <w:rPr>
          <w:rFonts w:ascii="arial" w:eastAsia="arial" w:hAnsi="arial" w:cs="arial"/>
          <w:i/>
          <w:color w:val="000000"/>
          <w:sz w:val="20"/>
          <w:lang w:val="en-US" w:eastAsia="en-US" w:bidi="ar-SA"/>
        </w:rPr>
        <w:t>Speckling v. British Columbia (Workers' Compensation Board)</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2005 BCCA 80</w:t>
        </w:r>
      </w:hyperlink>
      <w:r>
        <w:rPr>
          <w:rFonts w:ascii="arial" w:eastAsia="arial" w:hAnsi="arial" w:cs="arial"/>
          <w:color w:val="000000"/>
          <w:sz w:val="20"/>
          <w:lang w:val="en-US" w:eastAsia="en-US" w:bidi="ar-SA"/>
        </w:rPr>
        <w:t xml:space="preserv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Having confirmed the correctness of the patently unreasonable standard of review, I agree with the chambers judge's summary of the approach to be taken in applying that standard. He noted the following principles (at para.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"Patently unreasonable" means openly, clearly, evidently unreasonable: </w:t>
            </w:r>
            <w:r>
              <w:rPr>
                <w:rFonts w:ascii="arial" w:eastAsia="arial" w:hAnsi="arial" w:cs="arial"/>
                <w:i/>
                <w:color w:val="000000"/>
                <w:sz w:val="18"/>
                <w:lang w:val="en-US" w:eastAsia="en-US" w:bidi="ar-SA"/>
              </w:rPr>
              <w:t>Canada (Director of Investigation and Research) v. Southam Inc.</w:t>
            </w:r>
            <w:r>
              <w:rPr>
                <w:rFonts w:ascii="arial" w:eastAsia="arial" w:hAnsi="arial" w:cs="arial"/>
                <w:color w:val="000000"/>
                <w:sz w:val="18"/>
                <w:lang w:val="en-US" w:eastAsia="en-US" w:bidi="ar-SA"/>
              </w:rPr>
              <w:t xml:space="preserve">, </w:t>
            </w:r>
            <w:hyperlink r:id="rId635" w:history="1">
              <w:r>
                <w:rPr>
                  <w:rFonts w:ascii="arial" w:eastAsia="arial" w:hAnsi="arial" w:cs="arial"/>
                  <w:i/>
                  <w:color w:val="0077CC"/>
                  <w:sz w:val="18"/>
                  <w:u w:val="single"/>
                  <w:shd w:val="clear" w:color="auto" w:fill="FFFFFF"/>
                  <w:lang w:val="en-US" w:eastAsia="en-US" w:bidi="ar-SA"/>
                </w:rPr>
                <w:t>[1997] 1 S.C.R. 748</w:t>
              </w:r>
            </w:hyperlink>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review test must be applied to the result not to the reasons leading to the result: </w:t>
      </w:r>
      <w:r>
        <w:rPr>
          <w:rFonts w:ascii="arial" w:eastAsia="arial" w:hAnsi="arial" w:cs="arial"/>
          <w:i/>
          <w:color w:val="000000"/>
          <w:sz w:val="20"/>
          <w:lang w:val="en-US" w:eastAsia="en-US" w:bidi="ar-SA"/>
        </w:rPr>
        <w:t>Kovach v. British Columbia (Workers' Compensation Board)</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(2000), 184 D.L.R. (4th) 415</w:t>
        </w:r>
      </w:hyperlink>
      <w:r>
        <w:rPr>
          <w:rFonts w:ascii="arial" w:eastAsia="arial" w:hAnsi="arial" w:cs="arial"/>
          <w:color w:val="000000"/>
          <w:sz w:val="20"/>
          <w:lang w:val="en-US" w:eastAsia="en-US" w:bidi="ar-SA"/>
        </w:rPr>
        <w:t xml:space="preserve"> (S.C.C.).</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privative clause set out in s. 96(1) of the Act requires the highest level of curial deference: </w:t>
      </w:r>
      <w:r>
        <w:rPr>
          <w:rFonts w:ascii="arial" w:eastAsia="arial" w:hAnsi="arial" w:cs="arial"/>
          <w:i/>
          <w:color w:val="000000"/>
          <w:sz w:val="20"/>
          <w:lang w:val="en-US" w:eastAsia="en-US" w:bidi="ar-SA"/>
        </w:rPr>
        <w:t>Canada Safeway v. B.C. (Workers' Compensation Board)</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(1998), 59 B.C.L.R. (3d) 317</w:t>
        </w:r>
      </w:hyperlink>
      <w:r>
        <w:rPr>
          <w:rFonts w:ascii="arial" w:eastAsia="arial" w:hAnsi="arial" w:cs="arial"/>
          <w:color w:val="000000"/>
          <w:sz w:val="20"/>
          <w:lang w:val="en-US" w:eastAsia="en-US" w:bidi="ar-SA"/>
        </w:rPr>
        <w:t xml:space="preserve"> (C.A.).</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may only be set aside where the board commits jurisdiction error.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decision based on no evidence is patently unreasonable, but a decision based on insufficient evidence is not: </w:t>
      </w:r>
      <w:r>
        <w:rPr>
          <w:rFonts w:ascii="arial" w:eastAsia="arial" w:hAnsi="arial" w:cs="arial"/>
          <w:i/>
          <w:color w:val="000000"/>
          <w:sz w:val="20"/>
          <w:lang w:val="en-US" w:eastAsia="en-US" w:bidi="ar-SA"/>
        </w:rPr>
        <w:t>Douglas Aircraft Co. of Canada Ltd.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McConnell</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[1980] 1 S.C.R. 245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Board of Education for the City of Toronto v. Ontario Secondary School Teachers' Federation et al</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(1997), 144 D.L.R. (4th) 385</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Counsel for Ms. Aujero argues that the manner in which the panel considered and applied prior WCAT decisions in effect led the panel to create policy, something that only the Board is permitted to do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do not agree. The reasons of the panel, read as a whole, clearly establish that the panel was aware of the difference between policies that it was required to follow, and noteworthy decisions, at least, which are not binding on WCAT panels (see footnote 3 at paragraph 59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Ms. Aujero has argued that the panel assumed that Ms. Aujero was "hired and paid to drive to her first patient/client", contrary to the evidence of both Ms. Aujero and the representative of her employer that Ms. Aujero's drive to her first client was not part of her employment. A letter from an employer's representative, quoted by the panel, pointed out that the accident happened before Ms. Aujero was scheduled to arrive at her first client's appointment. I do not agree that the panel made the assumption of hiring and payment attributed to it by Ms. Aujero. Rather, the panel's finding at paragraph 54 was "the plaintiff was a home care worker who typically traveled to multiple work locations in the course of a normal work day as part of her employment duties ... Such travel was essential to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panel then went through a similar process of determining first, whether the driver Mr. Thind was a worker within the meaning of Part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concluding that he was, then considered whether his action or conduct in causing the accident arose out of and in the course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Thind was driving his employer's vehicle, having loaded supplies and materials at his employer's place of business, having picked up a co-worker, and was on his way to pick up more co-workers before driving to a job site. The conclusion that he was in the course of his employment at the time of the accident seems inescapable.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course of this consideration, the panel addressed an argument made by Ms. Aujero that Mr. Thind had taken himself out of the course of employment when he engaged in illegal conduct amounting to a substantial deviation from his employment by driving through a red light, as evidenced by the fact that he did not dispute a ticket for failing to stop at a red light. Ms. Aujero's argument went so far as to allege that Mr. Thind's actions in driving through a red light amounted to an assault, an argument counsel repeated on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When pressed, counsel was unable to point to any evidence capable of establishing that Mr. Thind had intentionally applied force to Ms. Aujero, not surprising in a situation that in all respects sounds in civil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panel disposed of this issue in paragraph 103 of its decision, holding that a breach of traffic laws due to inadvertence,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bad driving would normally not lead to a finding that a worker otherwise engaged in work activity had substantially deviated from that activity by the breach. The panel found at paragraph 105: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at the time of the May 9, 2012 accident, any action or conduct of Thind which caused the alleged breach of duty of care, arose out of and in the course of his employment within the scope of Part 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have not been persuaded that WCAT's decision is openly, clearly, evidently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petition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parties agree that costs are not in issue, so no costs are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Badesha v. Snowland Sporting Goods Ltd., [2015] B.C.J. No. 1512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14, 2014; February 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 16, 20 and March 11,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S127004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1512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1229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58 R.P.R. (5th) 241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257 A.C.W.S. (3d) 338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2001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Kuldip Badesha and 0909043 B.C. Ltd., Plaintiffs, and Snowland Sporting Goods Ltd. and Jasjit Singh Aujla,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1"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9" w:name="Keywords_42"/>
      <w:bookmarkEnd w:id="289"/>
      <w:r>
        <w:rPr>
          <w:rFonts w:ascii="arial" w:eastAsia="arial" w:hAnsi="arial" w:cs="arial"/>
          <w:b/>
          <w:color w:val="000000"/>
          <w:sz w:val="20"/>
          <w:lang w:val="en-US" w:eastAsia="en-US" w:bidi="ar-SA"/>
        </w:rPr>
        <w:t>Contracts — Breach of contract — Action by Badesha and 0909043 BC Ltd for $1 million in damages for breach of contract allowed — The parties entered into a swap agreement relating to the purchase and sale of two properties — A term in both contracts provided that if either buyer or seller failed to complete the contract, the defaulting party had to pay $500,000 to the other party — The defendant Aujla failed to complete — The contracts were sufficiently certain to be enforceable — The $500,000 clause was not a penalty clause — The plaintiffs were entitled to the relief sought.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Action by Badesha and 0909043 BC Ltd for $1 million in damages for breach of contract allowed — The parties entered into a swap agreement relating to the purchase and sale of two properties — A term in both contracts provided that if either buyer or seller failed to complete the contract, the defaulting party had to pay $500,000 to the other party — The defendant Aujla failed to complete — The contracts were sufficiently certain to be enforceable — The $500,000 clause was not a penalty clause — The plaintiffs were entitled to the relief sought.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In contract — Breach of contract — Type of contract — Sale of land — Action by Badesha and 0909043 BC Ltd for $1 million in damages for breach of contract allowed — The parties entered into a swap agreement relating to the purchase and sale of two properties — A term in both contracts provided that if either buyer or seller failed to complete the contract, the defaulting party had to pay $500,000 to the other party — The defendant Aujla failed to complete — The contracts were sufficiently certain to be enforceable — The $500,000 clause was not a penalty clause — The plaintiffs were entitled to the relief sought.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0" w:name="Case Summary_41"/>
            <w:bookmarkEnd w:id="2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Badesha and 0909043 BC Ltd for $1 million in damages for breach of contract. The plaintiff 0909043 BC Ltd owned commercial property in Chilliwack and the defendant Snowland Sporting Goods owned a hotel property in Williams Lake. In June 2012, the parties entered into two written contracts relating to the purchase and sale of the properties. The contracts were known as the swap agreement and the performance of the two contracts was contemporaneous and dependent on each other. A term in both of the contracts provided that if either buyer or seller failed to complete the contract, the defaulting party had to pay $500,000 to the other party within 60 days of the default. The plaintiff Badesha was at all material times ready, willing and able to complete the swap agreement. The defendant Aujla failed to complete. Aujla took the position that the contracts were unenforceable. Aujla further submitted that the $500,000 clause was not a genuine pre-estimate of damages but a penalty clause.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1" w:name="Holdings of Court_38"/>
            <w:bookmarkEnd w:id="29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hotel contract did not contain a fraudulently inserted term and the contracts as written were sufficiently certain to be enforceable. The $500,000 clause was not a penalty clause as $500,000 was not disproportionate to the range of damages Badesha might recover for Aujla's breach. The plaintiffs were entitled to the relief sought and Aujla was liable to the plaintiffs for damages in the total amount of $1 million.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2" w:name="Legislation Cited_31"/>
      <w:bookmarkEnd w:id="2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2"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 and Equity Act, </w:t>
      </w:r>
      <w:hyperlink r:id="rId647" w:history="1">
        <w:r>
          <w:rPr>
            <w:rFonts w:ascii="arial" w:eastAsia="arial" w:hAnsi="arial" w:cs="arial"/>
            <w:i/>
            <w:color w:val="0077CC"/>
            <w:sz w:val="20"/>
            <w:u w:val="single"/>
            <w:shd w:val="clear" w:color="auto" w:fill="FFFFFF"/>
            <w:lang w:val="en-US" w:eastAsia="en-US" w:bidi="ar-SA"/>
          </w:rPr>
          <w:t>RSBC 1996, CHAPTER 253, s. 24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3-5(4), Rule 22-5(9)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3" w:name="Counsel_44"/>
      <w:bookmarkEnd w:id="2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G.E. Sourisseau, A.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N.T. Mitha, C.J. Edstrom.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4" w:name="Judgment_43"/>
      <w:bookmarkEnd w:id="294"/>
      <w:r>
        <w:pict>
          <v:line id="_x0000_s1244"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5" w:name="L.A. LOO J."/>
            <w:bookmarkEnd w:id="295"/>
            <w:r>
              <w:rPr>
                <w:rFonts w:ascii="arial" w:eastAsia="arial" w:hAnsi="arial" w:cs="arial"/>
                <w:b/>
                <w:color w:val="000000"/>
                <w:sz w:val="30"/>
                <w:lang w:val="en-US" w:eastAsia="en-US" w:bidi="ar-SA"/>
              </w:rPr>
              <w:t>L.A. 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June 2012 the plaintiffs Kuldip Badesha and 0909043 B.C. Ltd.("090 Ltd.") and the defendants Jasjit Aujla and Snowland Sporting Goods Ltd. ("Snowland") entered into two written contracts: the hotel contract and the Young Street contract. The performance of the two contracts was contemporaneous, dependent on each other, and referred to as the "swap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090 Ltd. owns commercial property on Young Street, Chilliwack. The shares in 090 Ltd. are held equally by the plaintiff Kuldip Badesha and his partners Harvinder Rai and Sarbjit Pannu. The defendant Snowland owns hotel property in Williams Lake. The shares of Snowland are owned by 0912494 B.C. Ltd. ("494 Ltd."). The shares of 494 Ltd. are held 25 percent by the defendant Jasjit Aujla, 25 percent by his son, Tajinder Aujla, and 50 percent by Parminder Kaler, in trust for her husband, Harchet Kaler. To avoid confusion, I will refer to Tajinder Aujla as Tajinder.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hotel contract and the Young Street contract were prepared by Jasbir Banwait, a realtor with Lighthouse Realty Ltd., by using the BC Real Estate Association and Canadian Bar Association (BC Branch) standard form contract of purchase and sale. A term of the hotel contract provides that the buyer purchase all of the shares of Snowland. A term of the Young Street contract provides that the buyer purchase all of the shares of 090 Ltd. A term in both of the contracts provides that if either the buyer or the seller fails to complete the terms and conditions of the contract, the defaulting party must pay $500,000 to the other party within 60 days of the default. The plaintiff Kuldip Badesha was at all material times ready, willing and able to complete the swap agreement. The defendant Jasjit Aujla failed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agreed primary issues for determination are:</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contracts as written are sufficiently certain to be enforceable? The defendant Jasjit Aujla contends they are unenforceable for the following reasons: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lack an essential term; namely, the proper parties to the contracts;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hotel contract contains a fraudulently inserted term; or a term on which there was no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swap agreement consists of two contracts that are dependent on each other, such that if one contract is unenforceable, the swap agreement or both contracts are unenforceable;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contracts as written are not sufficiently certain to be enforceable, ought the court rectify the contracts to reflect the common intention of the parties;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$500,000 damages clause in each of the contracts a penalty clause; if so, ought the defendant Jasjit Aujla be granted relief from the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Unfortunately, credibility is also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One of the purposes of pleadings is to define the issues. The pleadings are also important in terms of the material facts alleged and admitted, and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By their notice of civil claim filed November 2, 2012, the plaintiffs allege that the defendants breached terms of the swap agreement, and sought specific performance; alternatively, $500,000 for breach of the hotel contract and $500,000 for breach of the Young Street contract, for a total of $1 million in liquidated damages. The defendants filed a response to civil claim on November 2, 2012 and </w:t>
      </w:r>
      <w:r>
        <w:rPr>
          <w:rFonts w:ascii="arial" w:eastAsia="arial" w:hAnsi="arial" w:cs="arial"/>
          <w:i/>
          <w:color w:val="000000"/>
          <w:sz w:val="20"/>
          <w:lang w:val="en-US" w:eastAsia="en-US" w:bidi="ar-SA"/>
        </w:rPr>
        <w:t>admitted</w:t>
      </w:r>
      <w:r>
        <w:rPr>
          <w:rFonts w:ascii="arial" w:eastAsia="arial" w:hAnsi="arial" w:cs="arial"/>
          <w:color w:val="000000"/>
          <w:sz w:val="20"/>
          <w:lang w:val="en-US" w:eastAsia="en-US" w:bidi="ar-SA"/>
        </w:rPr>
        <w:t xml:space="preserve"> the following allegations: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Swap Agreement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June 15, 2012 Mr. Badesha, and Mr. Aujla, made an agreement that:</w:t>
      </w:r>
    </w:p>
    <w:p>
      <w:pPr>
        <w:numPr>
          <w:numId w:val="8"/>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Mr. Badesha would purchase property in Williams Lake, more fully described below, and to facilitate that sale would purchase 100% of the shares of Snowland Ltd., a company owned and controlled by Mr. Aujla;</w:t>
      </w:r>
    </w:p>
    <w:p>
      <w:pPr>
        <w:numPr>
          <w:numId w:val="1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Aujla would purchase property in Chilliwack, more fully described below, and to facilitate that sale would purchase 100% of the shares of 0909043 B.C. Ltd., a company owned and controlled by Mr. Badesha; and</w:t>
      </w:r>
    </w:p>
    <w:p>
      <w:pPr>
        <w:numPr>
          <w:numId w:val="1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these sales would be contemporaneous and each dependent on the other.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"Swap Agreement")</w:t>
      </w:r>
    </w:p>
    <w:p>
      <w:pPr>
        <w:numPr>
          <w:numId w:val="1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Swap Agreement, on or about June 15, 2012, Mr. Badesha as buyer and Mr. Aujla and Snowland Ltd. as seller made a written agreement (the "Hotel Contract") that Mr. Badesha would purchase, and Mr. Aujla would sell, real property located at 55 S. Sixth Avenue, Williams Lake, B.C., known as the Howard Johnson Hotel, and legally described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P.I.D. - 026-577-453 Lot 1 District Lot 71 Cariboo District Plan BCP22145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P.I.D. - 026-577-461 Lot 2 District Lot 71 Cariboo District Plan BCP22145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P.I.D. - 026-577-470 Lot 3 District Lot 71 Cariboo District Plan BCP22145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"Hotel Property")</w:t>
      </w:r>
    </w:p>
    <w:p>
      <w:pPr>
        <w:numPr>
          <w:numId w:val="1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Property is owned by Snowland Ltd. It was a term of the Swap Agreement and the Hotel Contract that the Defendants would sell, or facilitate the sale of, 100% of the shares of Snowland Ltd. to Mr. Badesha.</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Swap Agreement, on or about June 15, 2012, Mr. Aujla as buyer and Mr. Badesha and 0909043 B.C. Ltd. as seller made a written agreement (the "Young Street Contract") that Mr. Aujla would purchase and Mr. Badesha would sell real properties located adjacent to each other at 8559 Young Street, Chilliwack, B.C. and 45928 Hocking Avenue, Chilliwack, B.C. and legally described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P.I.D. - 012-036-242 Lot B (J103765) Except: Part dedicated Road on Plan LMP54297 Block 16 District Lot 114 Group 2 New Westminster District Plan 1216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P.I.D. - 012-036-153 Lot 5 Block 16 District Lots 114 and 27"A" Group 2 New Westminster District Plan 1216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"Young Street Properties")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Hotel Contract</w:t>
      </w:r>
    </w:p>
    <w:p>
      <w:pPr>
        <w:numPr>
          <w:numId w:val="1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Hotel Contract that Mr. Badesha would pay a deposit of $50,000 to the Mr. Aujla's real estate agent on or before July 9, 2012. Mr. Badesha paid that deposit.</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Hotel Contract that Mr. Badesha would have vacant possession of the Hotel Property on June 30, 2012.</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Hotel Contract that the purchase price for the Hotel Property was $3,000,000.</w:t>
      </w:r>
    </w:p>
    <w:p>
      <w:pPr>
        <w:numPr>
          <w:numId w:val="2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Hotel Contract that completion of the sale and purchase of the Hotel Property would take place on August 31, 2012.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Hotel Contract, Mr. Badesha took possession of the Hotel Property on or about July 1, 2012 and has continued in possession.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Young Street Contract</w:t>
      </w:r>
    </w:p>
    <w:p>
      <w:pPr>
        <w:numPr>
          <w:numId w:val="2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Young Street Contract that Mr. Aujla would pay a deposit of $50,000 to the Plaintiffs' real estate agent on or before July 7, 2012.</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Young Street Contract that Mr. Aujla would pay a further deposit of $50,000 to the Plaintiffs' real estate agent on or before July 22, 2012.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Young Street Contract that completion of the sale and purchase of the Young Street properties would take place on August 31, 2012.</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Young Street Contract also contained the following written terms: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either party failed to complete the terms and conditions of the Hotel Contract the defaulting party will have to pay $500,000 to the other party within 60 days of the default. This provision was added at the specific request of Mr. Aujla;</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Badesha or his nominee would lease back the Young Street properties at $20,000 per month for the months of July and August 2012 and would enter into a five-year Triple net lease from September 2012 to September 2017 at $30,000 per month with an option to renew;</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Aujla would assume all obligations under a first mortgage in favor of Envision Credit Union of approximately $3,000,000 registered against the Young Street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allege in paragraph 16 of the notice of civil claim (and the defendants denied) that the hotel contract contained the following terms which the defendants breached:</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either party failed to complete the terms and conditions of the Hotel Contract the defaulting party will have to pay $500,000 to the other party within 60 days of the default. This term was added at the specific request of Mr. Aujla;</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Badesha would assume all the terms and conditions of Mr. Aujla's franchise agreement with Howard Johnson;</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Badesha would assume all obligations under a mortgage in favour of BDC Bank of $1,500,000 registered against the Hotel Property;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seller would remove the debris of the burnt down building and clean the Hotel Property on or before the completion date of August 31, 2012;</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seller would provide power to all the existing buildings at the seller's expense on or before the completion date of August 31, 2012;</w:t>
      </w:r>
    </w:p>
    <w:p>
      <w:pPr>
        <w:numPr>
          <w:numId w:val="5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damaged hotel rooms in the buildings would be repaired by the seller on or before the completion date; and</w:t>
      </w:r>
    </w:p>
    <w:p>
      <w:pPr>
        <w:numPr>
          <w:numId w:val="5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business expenses of the hotel were to be the sole responsibility of the buyer from July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allege that:</w:t>
      </w:r>
      <w:r>
        <w:rPr>
          <w:rFonts w:ascii="arial" w:eastAsia="arial" w:hAnsi="arial" w:cs="arial"/>
          <w:sz w:val="20"/>
          <w:lang w:val="en-US" w:eastAsia="en-US" w:bidi="ar-SA"/>
        </w:rPr>
        <w:cr/>
      </w:r>
    </w:p>
    <w:p>
      <w:pPr>
        <w:numPr>
          <w:numId w:val="5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Badesha consented to Mr. Aujla applying to Howard Johnson Hotel for a transfer of the franchise agreement to Mr. Badesha, but the application was rejected;</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handwritten damaged rooms clause was inserted after Mr. Aujla signed the contract, and his purported initials adjacent to the handwritten clause was a forgery;</w:t>
      </w:r>
    </w:p>
    <w:p>
      <w:pPr>
        <w:numPr>
          <w:numId w:val="6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 obliging the vendor to provide power to all of the existing buildings at the vendor's expense was frustrated by the following:</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a fire on February 22, 2012, the electrical services to a portion of the hotel property was cut-off as the servicing occurred through the building that burned down;</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Williams Lake and BC Hydro would not approve an alternative route of electrical service prior to the August 22, 2012 completion date;</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not permitted to provide electrical service to all of the existing buildings absent the explicit approvals of the City and BC Hydro;</w:t>
      </w:r>
    </w:p>
    <w:p>
      <w:pPr>
        <w:numPr>
          <w:numId w:val="6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Mr. Aujla paid the second installment of $50,000 towards the $100,000 deposit pursuant to the Young Street contract on the following terms: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$25,000 was paid to the realtor Jasbir Banwait; and</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remaining $25,000 was credited as a set-off to Mr. Aujla "for credit card payments received by the Plaintiffs subsequent to taking possession of the Hotel Property but which were for the period prior to the Plaintiffs'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March 2013 the plaintiffs abandoned their claim for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19, 2013, Mr. Aujla filed a counterclaim and a third party notice adding Jasbir Banwait, Lighthouse Realty Ltd., Parminder Kaler and Harchet Kaler, as third parties. By his counterclaim, Mr. Aujla alleges that the plaintiffs breached the swap agreement and claims $500,000 in liquidated damages pursuant to the terms of the agreement. By his third party notice, Mr. Aujla alleges fraud on the part of Mr. Banwait, and breach of contract by the Kalers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Kalers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Swap Transaction, Mr. Aujla and Mr. Kaler were business partners in Snowland. Mr. Kaler was at all material times active in the management and operation of Snowland.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Kaler and Ms. Kaler were parties to the Swap Transaction. In particular,</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Kaler and Ms. Kaler were knowledgeable of all material terms of the Swap Transaction;</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Kaler and Ms. Kaler approved the Swap Transaction;</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Kaler instructed Ms. Kaler to sell her shares in Snowland as part of the Swap Transaction;</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Kaler was present when the Swap Transaction contracts were executed;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Kaler and Mr. Aujla met with Mr. Badesha to demand payment under the Swap Transaction and demand that the parties enter into a lease agreement;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Kaler attended at the Hotel Property on June 28-30, 2012 with Mr. Aujla to facilitate the transfer of possession.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Breach of Contract</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Kaler and Ms. Kaler were parties to the Swap Agreement, as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Lighthouse Realty Ltd. objected to the third party notice being filed outside the 42-day time limit, contrary to Supreme Court Civil Rule 3-5(4). Mr. Aujla applied for leave to file the third party notice, and his application was dismissed by Master Taylor on December 3, 2013. On January 23, 2014 Mr. Justice Ehrcke dismissed his appeal (indexed at </w:t>
      </w:r>
      <w:hyperlink r:id="rId648" w:history="1">
        <w:r>
          <w:rPr>
            <w:rFonts w:ascii="arial" w:eastAsia="arial" w:hAnsi="arial" w:cs="arial"/>
            <w:i/>
            <w:color w:val="0077CC"/>
            <w:sz w:val="20"/>
            <w:u w:val="single"/>
            <w:shd w:val="clear" w:color="auto" w:fill="FFFFFF"/>
            <w:lang w:val="en-US" w:eastAsia="en-US" w:bidi="ar-SA"/>
          </w:rPr>
          <w:t>2014 BCSC 270</w:t>
        </w:r>
      </w:hyperlink>
      <w:r>
        <w:rPr>
          <w:rFonts w:ascii="arial" w:eastAsia="arial" w:hAnsi="arial" w:cs="arial"/>
          <w:color w:val="000000"/>
          <w:sz w:val="20"/>
          <w:lang w:val="en-US" w:eastAsia="en-US" w:bidi="ar-SA"/>
        </w:rPr>
        <w:t>),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Master Taylor went on to consider the position of the parties and relevant factors that he had enumerated. He observed that if he granted leave to file the third party notice, it would result in the plaintiffs losing the current trial date and would also put them to the additional expense of having to sit through additional portions of the trial that are of negligible interest to them, as they relate only to the dispute between the defendants and the third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Master alluded to the fact that the issues in dispute in the original action differ from those in dispute between the defendant and the third parties. In the original action, the issues are the terms of the contracts and who breached them. The issues of alleged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realtor are separate and distinct and can only be properly determined after the issues in the original action have been decided. He noted that there is no evidence that the plaintiffs knew or facilitated any fraud and no evidence that they conspired with the realtor to alter the terms of the contract. The Master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of the view that there will be prejudice to the plaintiff, who has prosecuted his case with some alacrity and will lose his trial date if I grant the order. I am of the view that this is a contractual dispute only at this juncture.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In the present case, the decision of Master Taylor was clearly interlocutory and was not a ruling on a question vital to the final issue in the case. The order does not prevent the appellant from pursuing his claims against the third parties. He is free to do so by initiating an action against them. There is no suggestion that he is precluded from doing so by any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first day of trial on October 14, 2014, Mr. Mitha, counsel for Mr. Aujla sought to provide his opening statement before the plaintiffs called their case. Before doing so, Mr. Mitha candidly informed the court that Ravi Hira, Q.C. was initially counsel for Mr. Aujla, Mr. Kaler, and Snowland, and filed the response to civil claim on behalf of the defendants Snowland and Mr. Aujla. In late March 2013, a dispute arose between Mr. Aujla and Mr. Kaler, and therefore Mr. Hira withdrew as counsel for Snowland and Mr. Aujla. On May 28, 2013 Mr. Mitha was appointed to act as counsel for only Mr. Aujla. Snowland was not represented at trial, and has had no representation after Mr. Hira withdrew as its counsel. A separate notice of civil claim was filed by Mr. Aujla against Parminder Kaler and Harchet Kaler who failed to respond and Mr. Aujla obtained default judgment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Aujla in his opening statement on October 14, 2014 asserted that the plaintiffs' claim must fail because the "proper parties", Parminder Kaler and Mr. Badesha's partners, Harvinder Rai and Sarbjit Pannu were not named as parties, or before the court, and furthermore, the swap agreement was unenforceable because its terms were vague, and there was no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basis that those matters were neither pled or raised in the trial brief, the trial was adjourned, and Mr. Aujla granted leave to amend his response to civil claim and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On November 18, 2014, an amended response to civil claim was filed by Mr. Mitha on behalf of </w:t>
      </w:r>
      <w:r>
        <w:rPr>
          <w:rFonts w:ascii="arial" w:eastAsia="arial" w:hAnsi="arial" w:cs="arial"/>
          <w:i/>
          <w:color w:val="000000"/>
          <w:sz w:val="20"/>
          <w:lang w:val="en-US" w:eastAsia="en-US" w:bidi="ar-SA"/>
        </w:rPr>
        <w:t>Snowland</w:t>
      </w:r>
      <w:r>
        <w:rPr>
          <w:rFonts w:ascii="arial" w:eastAsia="arial" w:hAnsi="arial" w:cs="arial"/>
          <w:color w:val="000000"/>
          <w:sz w:val="20"/>
          <w:lang w:val="en-US" w:eastAsia="en-US" w:bidi="ar-SA"/>
        </w:rPr>
        <w:t xml:space="preserve"> and Mr. Aujla. Although no one raised that point, I assume that the reference to Snowland was simply a typographical error as Mr. Mitha does not represent Snowland. The amended response to civil claim alleges:</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an overall response to the entire Notice of Civil Claim, the Defendants say that the Hotel Contract and the Young Street Contract (together referred to as the "Swap Agreement"), are unenforceable for the following reasons: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Contracts do not contain the proper parties as buyers and sellers;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Contracts contain a material term relating to fixing of damaged rooms (the validity of which term is disputed by the Defendants) that is not capable of meaning, and over which the parties did not have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Contract names Snowland Sporting Goods Ltd. ("Snowland") and Mr. Jasjit Singh Aujla as the sellers and Mr. Kuldip Singh Badesha as the buyer. While Snowland owns the Hotel, the shares of Snowland are owned by a numbered company, being 0912494 B.C. Ltd. Snowland was not the seller of the shares, and could not in law be a seller of its own shares.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buyers are not correctly listed. The buyers are, in fact. Mr. Badesha and his two partners, Mr. Pannu and Mr. Rai.</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Young Street Contract incorrectly lists 0909043 B.C. Ltd. as the seller, when, in fact, that numbered company is not lawfully capable of selling its own shares. The sellers should have been listed as Mr. Badesha, Mr. Pannu and Mr. Rai.</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Young Street Contract is also incomplete in that it only lists Mr. Aujla as a buyer, when it should have also listed Mrs. Parminder Kaler as one of the buyers.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alternatively, the real estate agent who drafted the Swap Agreement communicated to the Plaintiffs that the Defendants had agreed to the Damaged Rooms Clause, and, at the same time, communicated to the Defendants that the Damaged Rooms Clause did not form part of the Swap Agreement.</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or alternatively, even if the Damaged Rooms Clause formed part of the Swap Agreement (which is denied), there was no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 xml:space="preserve"> as to which rooms were to be fixed and what was to be fixed in those rooms.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say that Mr. Aujla paid the Second Installment pursuant to the Young Street Contract on the following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1"/>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remainder was [credited as] a set-off to Mr. Aujla for [credit card] payments which the Plaintiffs had failed to make, including the mortgage payment under the Hotel Contract, and the lease payment under the Young Street Contract [received by the Plaintiffs subsequent to taking possession of the Hotel Property but which were for the period prior to the Plaintiffs' possession]. </w:t>
      </w:r>
      <w:r>
        <w:rPr>
          <w:rFonts w:ascii="arial" w:eastAsia="arial" w:hAnsi="arial" w:cs="arial"/>
          <w:color w:val="000000"/>
          <w:sz w:val="18"/>
          <w:lang w:val="en-US" w:eastAsia="en-US" w:bidi="ar-SA"/>
        </w:rPr>
        <w:t>[Editor's note: Text in brackets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amended counterclaim filed by Mr. Aujla -- and only Mr. Aujla -- on November 18, 2014 repeats the allegations in his amended response to civil claim that the swap agreement is unenforceable as it names the incorrect parties, and there was no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 xml:space="preserve"> on a material term; alternatively, if the court determines that the swap agreement is a valid agreement then the swap agreement was breached by Mr. Badesha, and Mr. Aujla claims liquidated damages of $500,000 in accordance with the terms of the swap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important to note that at the material times Mr. Badesha, Mr. Aujla, and Mr. Banwait communicated with each other in Punjabi, but testified at trial in English. It was obvious from their accented English, that Mr. Banwait and Mr. Aujla are more comfortable speaking Punjabi, but I understood what they were saying, although at times, Mr. Aujla's evidence was incomprehensible, not because of an inability to speak English, but because his evidence as to what occurred constantly changed throughout his testimony and at times, defied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Kuldip Badesha is 51 years old. He completed grade 11 in Williams Lake where he lived for nearly three years. In 1983, he moved with his family to Abbotsford where his brother and father purchased a raspberry farm. The family farmed until 1990. Mr. Badesha is now a businessman. He is equal shareholders with his partners Harvinder Rai and Sarbjit Pannu in 090 Ltd. which owns a "mini-plaza" on Young Street and Hocking Avenue in Chilliwack. The commercial property occupies nearly two acres, and consists of a one-storey building and two-storey building. The businesses in the mini-plaza include a bar, which Mr. Badesha operates, a liquor store, restaurant, beauty salon, sporting goods and outdoors store, and other businesses. Mr. Badesha and his partners purchased the Young Street property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Jasjit Singh Aujla is 63 years old. He was born in India, completed grade 11, and came to Canada in November 1972. He worked in a sawmill from 1973 to 1976 and then worked as a custodian until 1980. From 1981 until his retirement in 2006, he worked in the maintenance department of the North Vancouver School District. Following retirement, Mr. Aujla decided to go into business by purchasing property, and is now a businessman.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Jasbir Banwait has been a realtor for 26 years, and with Lighthouse Realty Ltd. in Abbotsford for nearly 18 of those years. His son Manbir Banwait is also a realtor at Lighthouse Realty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Badesha and Mr. Banwait have known each other for at least 25 years and have done business with each other. Mr. Banwait and Mr. Aujla have known each other for about 20 to 25 years. Mr. Badesha and Mr. Aujla did not know each other until the events giving rise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July 2011 Mr. Aujla, Tajinder, and Parminder Kaler in trust for her husband Harchet Kaler, purchased the hotel property in Williams Lake by acquiring the shares in Snowland from Rajendar Gautam. A sketch of the hotel property shows five buildings, the largest of which is building 1 or the hotel building with 44 rooms, a manager's suite, a restaurant, and a pub. Directly behind building 1 is building 2, followed by building 5 and building 3. At right angles or perpendicular to buildings 2, 5, and 3, is building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Aujla testified that building 2 has 12 rooms, building 3 has 12 rooms and an electrical or furnace room, and building 4 had 28 rooms and a manager's suite. Building 5 has two storage rooms on the main floor, and five rooms upstairs, but they never rented out building 5 because it needed to be "passed" by the city. Mr. Aujla claims that the 44-room hotel building operated under a Howard Johnson franchise. The remaining buildings were not subject to the Howard Johnson franchise, and some of the rooms were rented out as the Williams Inn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From early July 2011 to the end of that month, Mr. Aujla, Tajinder, and Mr. Kaler operated the hotel property. At the end of July 2011 they leased the entire five-building hotel property to Philip Chan for $25,000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February 22, 2012 a fire destroyed building 4 and left a pile of debris. The fire also damaged building 2 because building 4 supplied the electric power that was cut off and due to lack of electricity, the water pipes in building 2 burst and caused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end of February 2012 Philip Chan ceased leasing the property. From that point, Mr. Aujla and Mr. Kaler travelled from Surrey to Williams Lake once a week or so to operate and manage the hotel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a dispute about when Mr. Aujla first told Mr. Banwait that he was interested in selling the hotel property, and a dispute about an undated four-page document entitled INFORMATION PACKAGE - FOR SALE - HOWARD JOHNSON HOTEL PROPERTY. Underneath the title there is a photograph of the Howard Johnson Hotel. There are two versions of page 1: on one version has contact information for Jasbir Banwait and Manbir Banwait at Lighthouse Realty Ltd., and the other version of page 1, has only Jasbir Banwait's name and contact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Banwait testified that it was in the summer of 2011 that Mr. Aujla first expressed to him an interest in selling the hotel. He cannot remember the exact date that he first saw the property, but it was some time between October 2011 and January 2012. He drove up to Williams Lake with his client Deep Brar and Tajinder, and remembers that when they arrived at the hotel it was snowing. While he was at the hotel, he met Paul Kandola.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Banwait said that the information package was prepared before he had a listing agreement -- just a "verbal commitment" for the listing -- with Mr. Aujla. Mr. Aujla gave him details of the property and photographs, and he and his son Manbir prepared the information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Pages 2 and 3 of the information package contains information under the following headings: property information, legal description, zoning, building overview, valuation, future potential and price, and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Property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Offering: Rare opportunity to acquire a 110 Room, five building hotel property located in Williams Lake, BC on 2.58 acres of commercial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Building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Building 1 - 18,346 sq.ft including 50 rooms, Pub, Restaurant, Banquet Room, Guest Laundry, Mechanical and Electrical. Note: Restaurant is leased @ $2,600/month.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Building 2 - 7,926 sq.ft including 11 rooms, Meeting rooms, Group Suite, Storage and Mechanical.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Building 3 - 16,818 sq.ft including 32 rooms, Manager's Suite, Laundry, Mechanical, and Electrical. This building also contains a full restaurant and has potential to serve as a Seniors Care Facility.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Building 4 - 4,252 sq.ft including 5 rooms, Meeting Room, Storage, Mechanical, and Electrical.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Building 5 - 3,982 sq.ft including 12 rooms, Mechanical and Electrical.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- 51,324 sq.ft including 110 rooms.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Valuation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appraisal valuation in 2008 conducted by Collingwood Appraisals Ltd. yielded a final valuation of $4,900,000.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Howard Johnson Hotel offered at $4,200,000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Banwait testified that he is confident that he gave a copy of the information package to Mr. Aujla, but he does not recall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Aujla denies that Mr. Banwait ever gave him a copy of the information package and he testified that the first time he ever saw the information package was at his examination for discovery in October 2013. However, like much of his evidence, Mr. Aujla's evidence on this point was contradictory. In his examination for discovery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Q Now, sir, that's an information package listing for sale the Howard Johnson hotel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MITHA: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 him just have a look at it. Yes. 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SOURISSEAU: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Q You've seen that document before?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Q Okay. And that was put together by Mr. Banwait on your instructions,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Not for list, because at that time when we deal with Mr. Badesha, no list to Mr. Banwait, and this is -- this is after that he got all the pictures from there. We give him pamphlet when he took Mr. Badesha over there. He took pamphlet from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Badesha testified that around the end of April or beginning of May 2012, he phoned Mr. Banwait who told him that he was in Williams Lake showing the Howard Johnson hotel to his two nephews. Mr. Banwait and his nephews then stopped off at his Young Street pub on their way back from Williams Lake, had dinner with him, and he learned that the hotel had five buildings but one of them had burned down. His nephews were uncertain whether they were interested in the property. A couple of days later, Mr. Banwait came to see him, gave him the information package, told him a bit more about the property, and they briefly discussed the possibility of swapping the Young Street property for the hotel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Badesha was not challenged on when he received the information package so it is reasonable to infer that the information package existed at the end of April or beginning of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However, Mr. Aujla denies that he ever discussed the sale of the hotel with Mr. Banwait before April 2012. He testified that he and Mr. Kaler got tired of driving back and forth each week between Surrey and Williams Lake, they wanted to get rid of the headache and decided to sell. They were driving from Williams Lake to Surrey in mid-April 2012 when he phoned Mr. Banwait and told him for the first time that they were interested in selling the hotel property and asked him if he could help them find a buyer. Mr. Banwait asked him for information about the hotel, and he explained that there were four buildings, one building had burned down, the number of rooms in each building, and the size of the property. Mr. Banwait then said that he would give him a call if he found someone.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Aujla testified that a couple of days later he called Mr. Banwait again, and Mr. Banwait told him he was bringing someone up to look at the hotel, and sometime in May 2012 he came up and introduced Mr. Badesha to him and Mr. Kaler.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EVENTS LEADING UP TO THE SWAP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a conflict in the evidence over who showed Mr. Banwait and Mr. Badesha around the hotel property in May 2012. Mr. Banwait and Mr. Badesha say it was Mr. Aujla, and that Mr. Kaler was not present. Mr. Aujla testified that it was Mr. Kaler who showed the two men around the property, and not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May 22, 2012 Mr. Banwait and Mr. Badesha drove to Williams Lake to look at the hotel property. Mr. Banwait had been there twice before, but this was the first and only time with Mr. Badesha. The evidence of Mr. Banwait and Mr. Badesha is that they spent approximately four hours there: a couple of hours with Mr. Aujla who showed them around the property, and then another couple of hours talking in the bar. Mr. Aujla joined them for a while in the bar, left them alone again, and then returned and had something to eat and drink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Aujla and Mr. Badesha did not deal directly with each other on anything of substance; their communication went through Mr. Banwait.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Badesha testified that he spoke primarily to Mr. Banwait, because he was the realtor, he had never met Mr. Aujla before and did not know him. Mr. Kaler was not at the hotel and he is certain that the first time he met Mr. Kaler was on June 28, 2012 when he went to the hotel a few days before taking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Banwait testified that he is certain and has a clear recollection that Mr. Kaler was not present when he went to Williams Lake with Mr. Badesha. Only Mr. Aujla was present and took them on a tour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Banwait testified that they could not see inside buildings 2 and 5. He could not remember why they could not see inside building 2, but he understood from Mr. Aujla that the building had no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Badesha testified Mr. Aujla had a card when he showed them around the property. They saw between 10 to 15 of the 44 rooms in hotel building 1. They also went into the pub and walked through the restaurant. Mr. Aujla told them that building 2 had no water, power, or heat, but they saw about three to four rooms in building 2. It was daytime, and he could not see if any lights were on. They walked around building 5, then up some stairs to a deck, but it was not very safe because the deck was broken. Mr. Aujla's card did not work for building 5 so all they did was look through the windows of about five or six rooms. Mr. Banwait told him that building 5 had no power. Mr. Aujla said that there was water damage to buildings 2 and 5. He saw no lights in building 5, but then again, it was daytime. They went to building 3 where some of the rooms were rented out. Mr. Aujla did not want to show them those rooms, but he showed them four or five vacant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They spoke about the hotel building 1 and that renovations were needed to paint the walls, change the carpets and the furniture. But Mr. Aujla was not willing to pay for the cost of renovating the hotel; it was being sold "as is". However, both Mr. Badesha and Mr. Banwait insisted that the two buildings that had damage -- buildings 2 and 5 -- had to be up and running by the completion date. Mr. Banwait testified with respect to building 5 that "whatever had to be done so that the city would pass" the building so that it could be rented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three men spoke about the Howard Johnson franchise. Mr. Banwait testified that they discussed that if there was no Howard Johnson franchise, but just a no name hotel, business would not be as good. Howard Johnson was a good franchise and good for the business. Mr. Badesha's evidence was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Both Mr. Badesha and Mr. Banwait testified that Mr. Aujla made it clear to Mr. Banwait that Mr. Badesha would have to take the Howard Johnson franchise if he was going to buy the property. Mr. Banwait testified that Mr. Aujla told him that "this is a franchise that we have", there was a huge Howard Johnson sign outside the hotel building, everyone knew the 44 room hotel was a Howard Johnson franchise, Mr. Aujla insisted that Mr. Badesha take the franchise, and Mr. Badesha wanted the franchise.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Banwait testified that he made Mr. Aujla aware that Mr. Badesha was interested in selling the Young Street property, and there was discussion about the price for the hotel property, the price for the Young Street property, and a swap of the properties. Mr. Badesha wanted $5 million for the Young Street property; Mr. Aujla wanted $3.2 million for the hotel property. Mr. Badesha spoke to each of the men about their numbers, and the meeting was left at $4.8 for the Young Street property, and $3 million for the hotel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Badesha testified that he never spoke to Mr. Aujla again until they met to sign the two contracts at Tim Hortons in Abbotsford on June 20, 2012, and that he never returned to the hotel property again until June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Aujla denies that he took Mr. Banwait and Mr. Badesha on a tour of the property, and says that it was Mr. Kaler who toured the property with them. Afterwards he went into the pub with them, they discussed what they had seen, and he told Mr. Banwait and Mr. Badesha that "we don't have Howard Johnson franchise". He also told them that they had not used building 5 since they purchased the property, and when they asked why not, he told them that it needed to be inspected by the city inspector, and they replied "fine". There was no discussion about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Aujla says that the next day Mr. Banwait phoned him and told him that Mr. Badesha was interested in buying the hotel property with a swap of property in Chilliwack, and if he and Mr. Kaler were interested, they could talk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 few days later, he and Mr. Kaler drove to Chilliwack and spent a couple of hours viewing the Young Street property, and all that was discussed about price, was the amount they paid for the hotel property. The next day he phoned Mr. Banwait and told him they were interested in swapping the properties if the price was good. Mr. Banwait replied that he and Mr. Badesha wanted to return to look at the hotel property; and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According to Mr. Aujla, the second time that Mr. Banwait and Mr. Badesha came to the hotel property they did not tour the property, but had a discussion with him and he told them that "we selling as it is", referring to the hotel property. Mr. Badesha said that he had experience running a hotel, this is his home town, he loves the town enough to buy the hotel, and he is happy to come back to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Aujla also testified that they discussed the Howard Johnson franchise and he told them that they were working with Howard Johnson through their lawyer: "if we get, you can have; if we don't get, then we can't do nothing." Both Mr. Banwait and Mr. Badesha agreed. He then left the pub and Mr. Banwait and Mr. Badesha spent a couple of more hours in the pub before they met him in the hotel office, and Mr. Badesha said, "I'm very happy to buy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Aujla testified that he and Mr. Kaler subsequently met with Mr. Banwait at the Tim Hortons in Abbotsford and told him they were looking at $3 million for the hotel property, and were willing to pay $4.8 million for the Young Street property. Mr. Banwait told them that Mr. Badesha also wanted to run the Young Street property and wanted to lease the property back from them for $30,000 a month, triple net, and a five-year lease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Aujla testified that Mr. Banwait phoned him on June 14, 2012 and asked to meet the next day at the Abbotsford Tim Hortons. He and Mr. Kaler showed up and Mr. Banwait gave them a contract which Mr. Aujla signed on June 15, 2012. Mr. Kaler complained to Mr. Banwait that the contract was written in red ink. Mr. Banwait said to give him a few days and he would prepare the contract in blue ink. Mr. Badesha was not present at that meeting. Mr. Aujla testified that Mr. Banwait never asked him to return the red ink copy of the contract that he signed, so he kept it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red ink copy that Mr. Aujla produced has the signatures of both Mr. Badesha and Mr. Banwait although neither of them recalls signing it. None of the parties rely on the signed red ink version of the hotel contract, but the clauses in the addendum bear repeating. The addendum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parties (The buyer and the seller) agree that this contract is a firm and binding contract. If any party the buyer or seller fails to complete the terms and conditions of this contract the defaulted party will have to pay a penalty to the other party in the amount of $500,000.00 within 60 days upon the date of default.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parties (the buyer and the seller) agree that the deposit paid in trust of Lighthouse Realty in the amount of $50,000 be released to Jasbir Singh Banwait within 24 hours upon deposit is made as an advance payment of his commission.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property is being sold on the basis of "As is where is". All the renovation needs to be done is buyer's responsibility.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[has] to assume all the terms and conditions of the contract signed by the seller with Howard Johnson franchise for only 44 rooms.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[agrees] to sell and the buyer [agrees] to buy 100% shares of the company "Snowland Sporting Good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to assume all the obligations held under first mortgage in the amount of $1,500,000.00 with BDC Bank monthly interest only payment of $6000.00,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Seller to take back a second mortgage in the amount of $400,000.00 at an interest rate of 5% per annum calculated annually not in advance with a monthly payment of $1667.00 interest only starting from September 1st/2012 until December 31/2013.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debris of the burnt down building must be removed and cleaned properly on or before completion date August 31/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power to some of the buildings back of the motel and the seller to provide the power to all the existing buildings on seller's expense on or before completion date August 31/2012.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insurance claim filed by the seller belongs to the seller if any money shall be paid by the insurance to the seller.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first clause of the addendum describes a penalty. The clause originally noted the amount of the penalty was $5000,000.00 but the third zero was crossed out in red ink so that it reads $500,000.00 and the change was initialled by Mr. Badesha and Mr. Aujla.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June 20, 2012 Mr. Banwait, Mr. Aujla, and Mr. Badesha met at the Tim Hortons on Clearbrook Road in Abbotsford to sign the two contracts in blue 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Banwait testified that Mr. Kaler was also at the meeting at Tim Hortons.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Badesha testified that when he arrived at the Tim Hortons, Mr. Aujla and Mr. Banwait were already there, and he joined them. He does not recall if Mr. Kaler was at the meeting because it was Mr. Aujla who signed the contracts.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Hotel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Similar to the red-inked form of the hotel contract of purchase and sale dated June 15, 2012 signed by Mr. Aujla on June 18, 2012, the blue ink hotel contract also dated June 15, 2012 but signed on June 20, 2012 notes that the seller of the property described as the "Howard Johnson Hotel in Williams Lake, B.C." was Snowland Sporting Goods Ltd. and Kuldip Singh Badesha, the possession date was June 30, 2012, and the adjustment date or closing date was August 31,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addendum to the hotel contract was identical to the red ink copy, except for some handwritten additions by Mr. Banwait, and later some handwritten changes by Manbir Banwait, including the legal description of the property. At the end of the paragraph or sentence dealing with the $50,000 commission, Mr. Banwait wrote "THIS COMMISSION IS NON-REFUNDABLE". There is no dispute about these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the end of the paragraph or sentence which reads: "There is no power to some of the buildings back of the motel and the seller to provide the power to all the existing buildings on seller's expense on or before completion date August 31/2012", Mr. Banwait wrote: "AND THE DEMAGED (sic) ROOMS IN THESE BUILDINGS TO BE REPAIRED BY THE SELLER ON OR BEFORE THE COMPLETION DATE" ("the damaged rooms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a dispute about the damaged rooms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Young Street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Young Street contract of purchase and sale is dated June 15, 2012, and signed by Mr. Badesha on June 20, 2012. The seller is noted as 0909043 Ltd. and the buyer is noted as Jasjit Singh Aujla. The purchase price is $4,800,000, a $50,000 deposit forms part of the purchase price, the completion date and possession date is August 31, 2012 and the adjustments date is June 30,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Similar to the hotel contract, on June 20, 2012 at Tim Hortons, Mr. Banwait wrote in the addendum that the commission was non-refundable, and Mr. Badesha and Mr. Aujla initialled the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addendum includes the following typed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will lease back the whole property on a 5 year term and will pay $20,000.00 per month for the month of July 2012 and August 2012 and will pay $30,000.00 triple starting from September first/2012 until September 30/2017 net with 5 year option to renew on same terms and conditions. The cost of major maintenance inside or outside of the subject property shall be paid by the buyer who becomes the landlord upon completion of this transaction and all the cost of minor maintenance of the building inside or outside shall be paid by the seller who becomes the tenant after the compilation of this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the fundamental condition of this contract that the seller agree and the buyer agree to buy 100% shares of the company 0909043 BC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to assume all the obligation held under first mortgage in the amount of approx. 3,000,000.00 with Envision Credit Union Surrey.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to lease back the whole property and becomes the tenant and the buyer becomes the landlord of the subject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tenant hereby has the first right of refusal to buy the subject property from the landlord. Also if the tenant sell the business, he may assign the lease to the buyer of the business with landlord's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the end of the typed addendum, Mr. Badesha wrote the following words, and the additional clause was initialled by Mr. Badesha and Mr. Aujla: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BANK [ACCOUNTS] UNDER THE SUBJECT COMPANY 0909043 B.C. LTD. TO BE ASSIGNED TO THE BUYER AND THE BUYER WILL [HAVE] FULL ACCESS TO THIS ACCOUNT ON OR BEFORE JULY 1ST/2012.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Page 2 of the addendum includes the following clauses: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$50,000 deposit is to be released directly to the seller - 0909043 BC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Buyer and seller acknowledges that 0909043 BC Ltd. will provide a draft payable to Lighthouse Realty Ltd. in the amount of $50,000 upon receipt of the deposit funds, which will form a part of the commissions payable to Jasbir Banwait.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Aujla testified that he asked Mr. Banwait for copies of the contracts, but Mr. Banwait was leaving the country the next day. He obtained copies of the contracts "a couple of weeks later," or on July 17 or 18 when he went to Abbotsford and picked them up from Manbir Banwait.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EVENTS LEADING UP TO THE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Badesha testified that the second time he went to the hotel property was on June 28, 2012 before the closing. He spent most of the next three days with Mr. Aujla and Mr. Kaler showing him the operations of the hotel. He took possession the early morning of July 1 when Mr. Aujla and Mr. Kaler left the property at around 2:00 a.m. However, the evening before he took possession, at about 11:00 p.m. on June 30, a liquor inspector named Holly issued a warning slip about the pub being overcrowded, and around the end of July she shut the pub down for 10 days. As a result, pub revenue was lost for 10 days, and when the pub was re-opened, many of the former clientele had gone other places to drink and never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Aujla insisted in direct and cross-examination that Mr. Badesha obtained possession at 6:00 p.m. on June 30, the stampede weekend, and that Mr. Badesha even interviewed and hired a server the night the incident with the liquor inspector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However, in his examination for discovery, Mr. Aujla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864 Q Mr. Badesha took over possession the day after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865 Q -- that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same night. Please sir, June 30th, he got the key. 11:30 P.M., before the pub close, he and my partner give all the keys, everything same night, June 30th.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869 Q Sir, you've said in your pleadings that Mr. Badesha took over July 1st, and that's when he took over possession, isn't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July 1st, yes, yes, sir.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870 Q And you were in possession on June 30th, weren't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30th,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871 Q And that's when the incident happened, isn't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sir.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Aujla tried to wiggle his way out of the answers he gave on his examination for discovery with a number of excuses, such as he was mistaken, he did not understand the question or how his answer came out the way it did. However, I do not believe him because the question was clear and he volunteered his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Aujla's evidence relating to when Mr. Badesha obtained possession and the pub incident is typical of his testimony throughout the trial. He was frequently unresponsive to questions he was asked, and frequently gave answers that were long and at times incomprehensible, implausible, or defied common sense. His evidence was often internally inconsistent, and inconsistent with documentary evidence. As Mr. Badesha contends, it was plainly evidence that Mr. Aujla was loath to answer even simple questions when he was concerned that his answer, however innocuous, might hurt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Aujla never paid the second $50,000 deposit on or before June 22, 2012 (or at any date thereafter) as required by the Young Street contract. He insisted that he paid the second deposit, and then offered various explanations for why it was not paid to Lighthouse Realty, including an alleged agreement with Mr. Banwait that he pay $25,000 directly to Mr. Badesha and that the other $25,000 would be offset against monies that were owing, an alleged agreement whereby Mr. Banwait agreed to waive the second deposit which formed part of his commission so that he could give $100,000 to Mr. Badesha for his failure to deliver power to the back buildings. At another point, he testified that he transferred $50,000 in insurance monies to Snowland's RBC account, but in cross-examination, the funds were transfers of loan monies. Little of what Mr. Aujla said made sense, and more often than not, his allegations were never put to Mr. Banwait or Mr. Badesha during their cross-examination. I give little weight to Mr. Aujla's explanations for his failure to pay the second $50,000 deposit. His evidence is simply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were also matters relating to the hotel contract that Mr. Badesha became aware of, that could not be remedied prior to the August 31, 2012 closing. They included the fact that there was no Howard Johnson franchise, the power would not be restored to the back buildings by August 31, and the rooms in the back buildings would not be repaired by August 31, 2012. I will deal with each of these matters.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Howard Johnson franchise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Badesha testified that when he took possession of the hotel he noticed that there were no documents relating to the Howard Johnson franchise, only documents relating to the Williams Inn. Some time later, before August 31, 2012 when he arrived at the hotel, he found that the Howard Johnson sign had been removed, and learned that Mr. Aujla had arranged for its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Badesha complained to Mr. Banwait who, in turn, complained to Mr. Aujla who stated that they just had to pay some fees. However, despite repeated questions by Mr. Banwait about the Howard Johnson franchise, Mr. Aujla never told the truth. There was no Howard Johnson franchise -- and there was no franchise at the time he was negotiating the sale of the hotel to Mr. Badesha.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the material time, the Vancouver law firm Hunter Litigation Chambers was litigation counsel to Howard Johnson in relation to the hotel's Howard Johnson franchise. By letter dated March 15, 2012, Claire Hunter of the firm Hunter Litigation Chambers wrote to Snowland "c/o Rajendar Kumar Gautam", and sent a copy of the letter to 494 Ltd. care of Mr. Aujla by e-mail, and to Rajdeep Deol of the law firm Pinpal &amp; Associates by e-mail. Mr. Aujla testified that he never received a copy the letter because the e-mail address is his son Tajinder's e-mail address, but his lawyer Mr. Deol "told me what's in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letter dated March 15, 2012 confirms that Howard Johnson had terminated the franchise agreement dated January 7, 2011 between Howard Johnson and Snowland for breaches of the franchise agreement, and as a consequence, Snowland "must immediately stop using any of Howard Johnson's materials, signage, systems, (including the System and Reservation System), or anything that could reasonably lead a customer to believe that [Snowland's] hotel property in Williams Lake is affiliated with Howard Johnson." The letter further demands payment of liquidated damages in the amount of $96,320, an outstanding account of $11,759.95, and franchise fees of $957.65, for a total of $109,037.60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An action was commenced by Howard Johnson against Snowland on May 30,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At no time prior to the signing of the hotel contract, did Mr. Aujla ever inform or suggest to Mr. Banwait or Mr. Aujla that the Howard Johnson franchise had been terminated on or before March 15, 2012, and that Snowland owed Howard Johnson nearly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At no time prior to the completion date, did Mr. Aujla inform Mr. Banwait or Mr. Aujla that Snowland was in litigation with Howard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Aujla insisted in cross-examination that when he phoned Mr. Banwait in April 2012, he knew the Howard Johnson franchise had been cancelled, and he told Mr. Banwait about it in the phone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Aujla also testified that he told Mr. Banwait "when he put this clause" in the contract relating to the franchise, that he had a phone call from his lawyer, Mr. Deol, who told him that Howard Johnson was willing to give him a franchise for 44 rooms, if they completed an application and paid the $10,000 fee. Mr. Aujla, almost in the same breathe, then testified that he told Mr. Banwait before they signed the hotel contract that he had a phone call from his lawyer's office that Howard Johnson was willing to give 44 rooms, and he could put in the contract a clause that if they got the franchise, Mr. Badesha had to take the franchise. But the wording Mr. Banwait put in the contract was different and "I didn't take serious" because "I thought the lawyer [Mr. Deol] told me they [are] willing to give 44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With respect to the Howard Johnson clause red inked contract signed on June 15, Mr. Aujla similarly testified that Mr. Banwait never put the word "if", meaning, if they got the franchise, but "I didn't take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another point in his cross-examination, Mr. Aujla testified that before he signed the hotel contract on June 20, his lawyer Mr. Deol called him and told him that Howard Johnson was now willing to reinstate the franchise for 44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However, Mr. Aujla's evidence is inconsistent with the letter dated June 18, 2012 from Claire Hunter, counsel for Howard Johnson, to Rajdeep Deol, Mr. Aujla's counsel at the time. It is clear that the franchise had been cancelled, but that Howard Johnson was prepared to consider an application for a franchise -- not willing to reinstate the franchise.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Aujla completed an application for a Howard Johnson franchise in the name of Mr. Badesha, without Mr. Badesha's knowledge, and purportedly paid a $10,000 application fee. In his examination for discovery,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670 Q Because pursuant to the contract you were supposed to deliver the Howard Johnson franchise, and that's why you were prepared to pay the $10,000 fee;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can be no dispute that the hotel contract on its face is for the sale of a Howard Johnson hotel and that the buyer had "to assume all the terms and conditions of the contract signed by the seller with Howard Johnson franchise for only 44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Aujla clearly knew at the time he was negotiating and signed the hotel contract that there was no Howard Johnson franchise and that Snowland was not permitted to use or do anything that suggested that the hotel was in any way related to Howard Johnson. Similarly, I find that the information package was prepared by Mr. Banwait on false information from Mr. Aujla that the hotel was a Howard Johnson hotel.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Power not restored by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Banwait testified that before the closing was to take place on August 31, 2012 Mr. Badesha who was in possession of the hotel property complained to him that nothing was being done by Mr. Aujla regarding restoration of electric power. He then spoke to Mr. Aujla who told him that the work for restoring the power and repairing the damaged rooms would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Aujla testified that at the end of June 2012 he spoke to Glen Doughty of Cariboo Sterling Electric, an electrical contractor in Williams Lake, who told him that the power could not be restored until October 2012 or as late as summer 2013. He then went on to suggest that at a meeting with Mr. Kaler and Mr. Banwait, he and Mr. Kaler agreed with Mr. Banwait's proposal that he waive his $50,000 deposit fee, Mr. Kaler pay him another $50,000, and he would give the $100,000 to Mr. Badesha to look after the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suggestion that Mr. Banwait would waive his deposit and pay $50,000 to Mr. Badesha so that he could restore the power not only defies common sense, it contradicts Mr. Badesha's evidence that Mr. Aujla told him that the power would be restored and the rooms repaired prior to the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Doughty was called as a witness by Mr. Aujla, but he contradicted Mr. Aujla's evidence that they spoke to each other before August 2012. Mr. Doughty testified that in about March 2012, he prepared an initial quote for the insurance company for the cost of restoring power to building 2. The power had to come from building 5, which was the subject of a do not occupy order. He then prepared a second quote in August 2012 that involved an aerial crossing but that was rejected by BC Hydro. Instead he was required to meet certain demands by BC Hydro and the city to install a new underground power source into building 5, and from there an electrical feed to buildings 2 and 3. The costs of the upgrades were to be borne not by the insurer but by the owner. He prepared a third quote in June or July 2013 and it was only after he prepared his third quote (which was the same as the second quote, but with the addition of taxes) that he had any discussion with Mr. Aujla.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Doughty testified that depending on how motivated people were to get things done, the power requirements could have been completed by June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Damaged rooms not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was evident to Mr. Badesha that the damaged rooms would not be repaired prior to the August 31 completion date. Mr. Aujla maintains that the damaged rooms clause was inserted after he signed the contract, and his initials are a forgery. I will deal with this issue later in these reasons. However, Mr. Banwait testified that after Mr. Badesha complained to him that the damaged rooms were not being repaired, he spoke to Mr. Aujla who said the work would be done soon. At one point, Mr. Aujla suggested to him that Mr. Badesha should do all of the work, including repair of rooms, and he should get a quote to find out how much it would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Badesha did just that. He obtained a quote dated July 27, 2012 from BCL General Contracting that set out the cost for repairing the vacant units in buildings 2 and 3, water damage in building 5 and other work, for $176,500, excluding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AUJLA FAILS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There is no dispute that Mr. Badesha was ready, willing, and able to complete on August 31, 2012. Through counsel, he made it clear that notwithstanding the various breaches, he was ready, willing, and able to complete the swap agreement, reserving his right to seek all available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Tony Sandhu is a lawyer with the law firm Linley Welwood LLP in Abbotsford. Mr. Sandhu testified that the week of August 20, 2012 he was retained by Mr. Badesha, Mr. Pannu and Mr. Rai to act for their numbered company 090 Ltd. and as the solicitor for the swap agreement and share transaction. Gurminder Singh was the lawyer acting for Mr. Aujla and his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Sandhu testified that in order to complete the transaction he needed information from Mr. Singh, including Snowland's minute book so that he knew who owned the shares in Snowland, and as Mr. Badesha and his partners were to assume the mortgage, he also required particulars of the mortgage. Without the minute book, he could not prepare a transfer of the shares, and the transaction could not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Correspondence between Mr. Sandhu and Mr. Singh indicates that Mr. Sandhu was unsuccessful in having Mr. Aujla deliver the minute book to him. Mr. Aujla says otherwise. He claims that he delivered the minute book to his lawyer. I do not believe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Aujla's evidence is contradictory. He testified that Mr. Singh was not his lawyer, but also testified that he instructed Mr. Singh to complete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his examination for discovery, Mr. Aujla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346 Q All right. Well, you met with Gurminder Singh in August of 2012;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347 Q And you instructed him to tell Mr. Sandhu that you were ready to complete the transaction;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 told Gurminder I'm ready to complete,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However, Mr. Aujla failed to complete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was made clear to Mr. Aujla in correspondence between counsel that the parties attempted to negotiate amendments to the contracts, without prejudice to the plaintiffs' rights under the original contracts to seek specific performance and/or damages for breaches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closing argument, Mr. Aujla took little or no issue with Mr. Badesha's complaints that in breach of the hotel contract, there was no Howard Johnson franchise, the defendants failed to provide power or repair the damaged rooms. Rather Mr. Aujla focussed on the issues as set out in paragraph 3 of these reasons. Before I deal with those issues, I will deal with the law on whether contracts are sufficiently certain to be enforceable, evidence relating to the negotiations, and the use of extrinsic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law relating to whether the contracts are sufficiently certain to be enforceable, is set out in </w:t>
      </w:r>
      <w:r>
        <w:rPr>
          <w:rFonts w:ascii="arial" w:eastAsia="arial" w:hAnsi="arial" w:cs="arial"/>
          <w:i/>
          <w:color w:val="000000"/>
          <w:sz w:val="20"/>
          <w:lang w:val="en-US" w:eastAsia="en-US" w:bidi="ar-SA"/>
        </w:rPr>
        <w:t>Hoban Construction Ltd. v. Alexander</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2012 BCCA 75</w:t>
        </w:r>
      </w:hyperlink>
      <w:r>
        <w:rPr>
          <w:rFonts w:ascii="arial" w:eastAsia="arial" w:hAnsi="arial" w:cs="arial"/>
          <w:color w:val="000000"/>
          <w:sz w:val="20"/>
          <w:lang w:val="en-US" w:eastAsia="en-US" w:bidi="ar-SA"/>
        </w:rPr>
        <w:t xml:space="preserve"> at paras. 47-48: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However, the inquiry is not whether the contracts were competently drafted, but rather whether they disclose the parties' intentions as to the </w:t>
      </w:r>
      <w:r>
        <w:rPr>
          <w:rFonts w:ascii="arial" w:eastAsia="arial" w:hAnsi="arial" w:cs="arial"/>
          <w:color w:val="000000"/>
          <w:sz w:val="20"/>
          <w:u w:val="single"/>
          <w:lang w:val="en-US" w:eastAsia="en-US" w:bidi="ar-SA"/>
        </w:rPr>
        <w:t>substance</w:t>
      </w:r>
      <w:r>
        <w:rPr>
          <w:rFonts w:ascii="arial" w:eastAsia="arial" w:hAnsi="arial" w:cs="arial"/>
          <w:color w:val="000000"/>
          <w:sz w:val="20"/>
          <w:lang w:val="en-US" w:eastAsia="en-US" w:bidi="ar-SA"/>
        </w:rPr>
        <w:t xml:space="preserve"> of their agreement. In </w:t>
      </w:r>
      <w:r>
        <w:rPr>
          <w:rFonts w:ascii="arial" w:eastAsia="arial" w:hAnsi="arial" w:cs="arial"/>
          <w:i/>
          <w:color w:val="000000"/>
          <w:sz w:val="20"/>
          <w:lang w:val="en-US" w:eastAsia="en-US" w:bidi="ar-SA"/>
        </w:rPr>
        <w:t>Marquest Industries Ltd. v. Willows Poultry Farms Ltd.</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(1968), 1 D.L.R. (3d) 513</w:t>
        </w:r>
      </w:hyperlink>
      <w:r>
        <w:rPr>
          <w:rFonts w:ascii="arial" w:eastAsia="arial" w:hAnsi="arial" w:cs="arial"/>
          <w:color w:val="000000"/>
          <w:sz w:val="20"/>
          <w:lang w:val="en-US" w:eastAsia="en-US" w:bidi="ar-SA"/>
        </w:rPr>
        <w:t xml:space="preserve"> (B.C.C.A.), the majority outlined the role of the court at 517-18: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first place, consideration must be given to the duty of a Court and the rules it should apply, where a claim is made that a portion of a commercial agreement between two contracting parties is void for uncertainty or, to put it another way, is meaningless. The primary rule of construction has been expressed by the maxim, </w:t>
      </w:r>
      <w:r>
        <w:rPr>
          <w:rFonts w:ascii="arial" w:eastAsia="arial" w:hAnsi="arial" w:cs="arial"/>
          <w:i/>
          <w:color w:val="000000"/>
          <w:sz w:val="20"/>
          <w:lang w:val="en-US" w:eastAsia="en-US" w:bidi="ar-SA"/>
        </w:rPr>
        <w:t>ut res magis valeat quam pereat</w:t>
      </w:r>
      <w:r>
        <w:rPr>
          <w:rFonts w:ascii="arial" w:eastAsia="arial" w:hAnsi="arial" w:cs="arial"/>
          <w:color w:val="000000"/>
          <w:sz w:val="20"/>
          <w:lang w:val="en-US" w:eastAsia="en-US" w:bidi="ar-SA"/>
        </w:rPr>
        <w:t xml:space="preserve"> or as paraphrased in English, "a deed shall never be void where the words may be applied to any extent to make it good". The maxim has been basic to such authoritative decisions as </w:t>
      </w:r>
      <w:r>
        <w:rPr>
          <w:rFonts w:ascii="arial" w:eastAsia="arial" w:hAnsi="arial" w:cs="arial"/>
          <w:i/>
          <w:color w:val="000000"/>
          <w:sz w:val="20"/>
          <w:lang w:val="en-US" w:eastAsia="en-US" w:bidi="ar-SA"/>
        </w:rPr>
        <w:t>Scammell v. Ouston</w:t>
      </w:r>
      <w:r>
        <w:rPr>
          <w:rFonts w:ascii="arial" w:eastAsia="arial" w:hAnsi="arial" w:cs="arial"/>
          <w:color w:val="000000"/>
          <w:sz w:val="20"/>
          <w:lang w:val="en-US" w:eastAsia="en-US" w:bidi="ar-SA"/>
        </w:rPr>
        <w:t xml:space="preserve">, [1941] 1 All. E.R. 14; </w:t>
      </w:r>
      <w:r>
        <w:rPr>
          <w:rFonts w:ascii="arial" w:eastAsia="arial" w:hAnsi="arial" w:cs="arial"/>
          <w:i/>
          <w:color w:val="000000"/>
          <w:sz w:val="20"/>
          <w:lang w:val="en-US" w:eastAsia="en-US" w:bidi="ar-SA"/>
        </w:rPr>
        <w:t>Wells v. Blain</w:t>
      </w:r>
      <w:r>
        <w:rPr>
          <w:rFonts w:ascii="arial" w:eastAsia="arial" w:hAnsi="arial" w:cs="arial"/>
          <w:color w:val="000000"/>
          <w:sz w:val="20"/>
          <w:lang w:val="en-US" w:eastAsia="en-US" w:bidi="ar-SA"/>
        </w:rPr>
        <w:t xml:space="preserve">, [1927] 1 D.L.R. 687, [1927] 1 W.W.R. 223; </w:t>
      </w:r>
      <w:r>
        <w:rPr>
          <w:rFonts w:ascii="arial" w:eastAsia="arial" w:hAnsi="arial" w:cs="arial"/>
          <w:i/>
          <w:color w:val="000000"/>
          <w:sz w:val="20"/>
          <w:lang w:val="en-US" w:eastAsia="en-US" w:bidi="ar-SA"/>
        </w:rPr>
        <w:t>Ottawa Electric Co. v. St. Jacques</w:t>
      </w:r>
      <w:r>
        <w:rPr>
          <w:rFonts w:ascii="arial" w:eastAsia="arial" w:hAnsi="arial" w:cs="arial"/>
          <w:color w:val="000000"/>
          <w:sz w:val="20"/>
          <w:lang w:val="en-US" w:eastAsia="en-US" w:bidi="ar-SA"/>
        </w:rPr>
        <w:t xml:space="preserve"> (1902), 31 S.C.R. 636, as well as many others, which establish that </w:t>
      </w:r>
      <w:r>
        <w:rPr>
          <w:rFonts w:ascii="arial" w:eastAsia="arial" w:hAnsi="arial" w:cs="arial"/>
          <w:color w:val="000000"/>
          <w:sz w:val="20"/>
          <w:u w:val="single"/>
          <w:lang w:val="en-US" w:eastAsia="en-US" w:bidi="ar-SA"/>
        </w:rPr>
        <w:t>every effort should be made by a Court to find a meaning, looking at substance and not mere form, and that difficulties in interpretation do not make a clause bad as not being capable of interpretation, so long as a definite meaning can properly be extracted.</w:t>
      </w:r>
      <w:r>
        <w:rPr>
          <w:rFonts w:ascii="arial" w:eastAsia="arial" w:hAnsi="arial" w:cs="arial"/>
          <w:color w:val="000000"/>
          <w:sz w:val="20"/>
          <w:lang w:val="en-US" w:eastAsia="en-US" w:bidi="ar-SA"/>
        </w:rPr>
        <w:t xml:space="preserve"> In other words, every clause in a contract must, if possible, be given effect to. Also, as stated as early as 1868 in </w:t>
      </w:r>
      <w:r>
        <w:rPr>
          <w:rFonts w:ascii="arial" w:eastAsia="arial" w:hAnsi="arial" w:cs="arial"/>
          <w:i/>
          <w:color w:val="000000"/>
          <w:sz w:val="20"/>
          <w:lang w:val="en-US" w:eastAsia="en-US" w:bidi="ar-SA"/>
        </w:rPr>
        <w:t>Gwyn v. Neath Canal Navigation Co.</w:t>
      </w:r>
      <w:r>
        <w:rPr>
          <w:rFonts w:ascii="arial" w:eastAsia="arial" w:hAnsi="arial" w:cs="arial"/>
          <w:color w:val="000000"/>
          <w:sz w:val="20"/>
          <w:lang w:val="en-US" w:eastAsia="en-US" w:bidi="ar-SA"/>
        </w:rPr>
        <w:t xml:space="preserve"> (1868), L.R. 3 Ex. 209, that </w:t>
      </w:r>
      <w:r>
        <w:rPr>
          <w:rFonts w:ascii="arial" w:eastAsia="arial" w:hAnsi="arial" w:cs="arial"/>
          <w:color w:val="000000"/>
          <w:sz w:val="20"/>
          <w:u w:val="single"/>
          <w:lang w:val="en-US" w:eastAsia="en-US" w:bidi="ar-SA"/>
        </w:rPr>
        <w:t>if the real intentions of the parties can be collected from the language within the four corners of the instrument, the Court must give effect to such intentions by supplying anything necessarily to be inferred and rejecting whatever is repugnant to such real intentions so ascertained.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Clause 10 of the contract is admittedly a highly inartistic piece of draftsmanship and clearly poses difficulties in construction.</w:t>
      </w:r>
      <w:r>
        <w:rPr>
          <w:rFonts w:ascii="arial" w:eastAsia="arial" w:hAnsi="arial" w:cs="arial"/>
          <w:color w:val="000000"/>
          <w:sz w:val="20"/>
          <w:lang w:val="en-US" w:eastAsia="en-US" w:bidi="ar-SA"/>
        </w:rPr>
        <w:t xml:space="preserve"> However, keeping in mind the rules of interpretation which I have outlined, and approaching the terms of the contract and cl. 10 in what I consider a "reasonable and business manner" (see </w:t>
      </w:r>
      <w:r>
        <w:rPr>
          <w:rFonts w:ascii="arial" w:eastAsia="arial" w:hAnsi="arial" w:cs="arial"/>
          <w:i/>
          <w:color w:val="000000"/>
          <w:sz w:val="20"/>
          <w:lang w:val="en-US" w:eastAsia="en-US" w:bidi="ar-SA"/>
        </w:rPr>
        <w:t>Wells v. Blain</w:t>
      </w:r>
      <w:r>
        <w:rPr>
          <w:rFonts w:ascii="arial" w:eastAsia="arial" w:hAnsi="arial" w:cs="arial"/>
          <w:color w:val="000000"/>
          <w:sz w:val="20"/>
          <w:lang w:val="en-US" w:eastAsia="en-US" w:bidi="ar-SA"/>
        </w:rPr>
        <w:t xml:space="preserve"> at p. 691), it is my opinion that cl. 10 is not so uncertain as to be meaningless. On the contrary, </w:t>
      </w:r>
      <w:r>
        <w:rPr>
          <w:rFonts w:ascii="arial" w:eastAsia="arial" w:hAnsi="arial" w:cs="arial"/>
          <w:color w:val="000000"/>
          <w:sz w:val="20"/>
          <w:u w:val="single"/>
          <w:lang w:val="en-US" w:eastAsia="en-US" w:bidi="ar-SA"/>
        </w:rPr>
        <w:t>I consider it has a clear meaning but is badly expressed.</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w:t>
      </w:r>
      <w:r>
        <w:rPr>
          <w:rFonts w:ascii="arial" w:eastAsia="arial" w:hAnsi="arial" w:cs="arial"/>
          <w:i/>
          <w:color w:val="000000"/>
          <w:sz w:val="20"/>
          <w:lang w:val="en-US" w:eastAsia="en-US" w:bidi="ar-SA"/>
        </w:rPr>
        <w:t>Langley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Langley Lo-Cost Builders Ltd. v. 474835 B.C. Ltd.</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2000 BCCA 365</w:t>
        </w:r>
      </w:hyperlink>
      <w:r>
        <w:rPr>
          <w:rFonts w:ascii="arial" w:eastAsia="arial" w:hAnsi="arial" w:cs="arial"/>
          <w:color w:val="000000"/>
          <w:sz w:val="20"/>
          <w:lang w:val="en-US" w:eastAsia="en-US" w:bidi="ar-SA"/>
        </w:rPr>
        <w:t xml:space="preserve">] before citing </w:t>
      </w:r>
      <w:r>
        <w:rPr>
          <w:rFonts w:ascii="arial" w:eastAsia="arial" w:hAnsi="arial" w:cs="arial"/>
          <w:i/>
          <w:color w:val="000000"/>
          <w:sz w:val="20"/>
          <w:lang w:val="en-US" w:eastAsia="en-US" w:bidi="ar-SA"/>
        </w:rPr>
        <w:t>Marquest Industries</w:t>
      </w:r>
      <w:r>
        <w:rPr>
          <w:rFonts w:ascii="arial" w:eastAsia="arial" w:hAnsi="arial" w:cs="arial"/>
          <w:color w:val="000000"/>
          <w:sz w:val="20"/>
          <w:lang w:val="en-US" w:eastAsia="en-US" w:bidi="ar-SA"/>
        </w:rPr>
        <w:t>, McEachern C.J.B.C. stated the following at para. 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Having determined that the legal force of the arrangements represented by the communications I have described is not contingent upon the preparation of a formal document, it is necessary to consider what the terms of the bargain are and whether they are legally sufficient to constitute a binding agreement. </w:t>
      </w:r>
      <w:r>
        <w:rPr>
          <w:rFonts w:ascii="arial" w:eastAsia="arial" w:hAnsi="arial" w:cs="arial"/>
          <w:color w:val="000000"/>
          <w:sz w:val="20"/>
          <w:u w:val="single"/>
          <w:lang w:val="en-US" w:eastAsia="en-US" w:bidi="ar-SA"/>
        </w:rPr>
        <w:t>This analysis is carried out according to the standard rules of contract construction: give the words their plain and ordinary meaning where that meaning does not conflict with the context of the communications as a whole. Where there is ambiguity, extrinsic evidence may be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[Underline emphasis added in </w:t>
      </w:r>
      <w:r>
        <w:rPr>
          <w:rFonts w:ascii="arial" w:eastAsia="arial" w:hAnsi="arial" w:cs="arial"/>
          <w:i/>
          <w:color w:val="000000"/>
          <w:sz w:val="20"/>
          <w:lang w:val="en-US" w:eastAsia="en-US" w:bidi="ar-SA"/>
        </w:rPr>
        <w:t>Hoban Construction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With respect to the evidence relating to the negotiations between the parties, McEachern C.J.B.C. in </w:t>
      </w:r>
      <w:r>
        <w:rPr>
          <w:rFonts w:ascii="arial" w:eastAsia="arial" w:hAnsi="arial" w:cs="arial"/>
          <w:i/>
          <w:color w:val="000000"/>
          <w:sz w:val="20"/>
          <w:lang w:val="en-US" w:eastAsia="en-US" w:bidi="ar-SA"/>
        </w:rPr>
        <w:t>Langley</w:t>
      </w:r>
      <w:r>
        <w:rPr>
          <w:rFonts w:ascii="arial" w:eastAsia="arial" w:hAnsi="arial" w:cs="arial"/>
          <w:color w:val="000000"/>
          <w:sz w:val="20"/>
          <w:lang w:val="en-US" w:eastAsia="en-US" w:bidi="ar-SA"/>
        </w:rPr>
        <w:t xml:space="preserve"> stated at para. 29:</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To What did the Parties Agree?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In considering this question it is important to remember that negotiations between the parties are not relevant in determining the meaning of the language used by the parties. This is because parties often change their views and positions during negotiations. The fact that the parties were in negotiations, and the reasons for these negotiations, however, including the commercial objectives of the parties is relevant as a part of the factual matrix, or factual underpinning of the agreement: </w:t>
      </w:r>
      <w:r>
        <w:rPr>
          <w:rFonts w:ascii="arial" w:eastAsia="arial" w:hAnsi="arial" w:cs="arial"/>
          <w:i/>
          <w:color w:val="000000"/>
          <w:sz w:val="20"/>
          <w:lang w:val="en-US" w:eastAsia="en-US" w:bidi="ar-SA"/>
        </w:rPr>
        <w:t>Prenn v. Simmonds</w:t>
      </w:r>
      <w:r>
        <w:rPr>
          <w:rFonts w:ascii="arial" w:eastAsia="arial" w:hAnsi="arial" w:cs="arial"/>
          <w:color w:val="000000"/>
          <w:sz w:val="20"/>
          <w:lang w:val="en-US" w:eastAsia="en-US" w:bidi="ar-SA"/>
        </w:rPr>
        <w:t>, [1971] 3 All E.R. 237 (H.L.). In this case, for example, the fact that Mr. Al Johnson was about to be examined for discovery in the foreclosure action where there were allegations of fraud, and the further fact that he did not look forward to that experience, is one of the reasons why the parties were trying to reach an accommodation. Also in this connection, it has often been held that ambiguity is not a pre-condition to the admission and consideration of the factual matrix so long as extrinsic evidence is not used to create an ambiguity that otherwise does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With respect to the use of extrinsic evidence in interpreting a contract, the Court of Appeal in </w:t>
      </w:r>
      <w:r>
        <w:rPr>
          <w:rFonts w:ascii="arial" w:eastAsia="arial" w:hAnsi="arial" w:cs="arial"/>
          <w:i/>
          <w:color w:val="000000"/>
          <w:sz w:val="20"/>
          <w:lang w:val="en-US" w:eastAsia="en-US" w:bidi="ar-SA"/>
        </w:rPr>
        <w:t>Water Street Pictures Ltd. v. Forefront Releasing Inc.</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2006 BCCA 459</w:t>
        </w:r>
      </w:hyperlink>
      <w:r>
        <w:rPr>
          <w:rFonts w:ascii="arial" w:eastAsia="arial" w:hAnsi="arial" w:cs="arial"/>
          <w:color w:val="000000"/>
          <w:sz w:val="20"/>
          <w:lang w:val="en-US" w:eastAsia="en-US" w:bidi="ar-SA"/>
        </w:rPr>
        <w:t xml:space="preserve"> stated at paras. 23 to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Recourse to extrinsic evidence to aid in the interpretation of an agreement is the court's last resort. It is only when the intentions of the parties cannot be objectively determined from the words they have chosen to employ, such that there is ambiguity, that the law permits consideration to be given to evidence of their conduct in making their agreement and in fulfilling their obligations. If it were otherwise, the certainty that is essential to documenting commercial transactions would be seriously undermined. The two-step approach to be taken has been succinctly stated by the Manitoba Court of Appeal in </w:t>
      </w:r>
      <w:r>
        <w:rPr>
          <w:rFonts w:ascii="arial" w:eastAsia="arial" w:hAnsi="arial" w:cs="arial"/>
          <w:i/>
          <w:color w:val="000000"/>
          <w:sz w:val="20"/>
          <w:lang w:val="en-US" w:eastAsia="en-US" w:bidi="ar-SA"/>
        </w:rPr>
        <w:t>Geoffrey L. Moore Realty Inc. v. Manitoba Motor League</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[2003] 9 W.W.R. 385</w:t>
        </w:r>
      </w:hyperlink>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2003 MBCA 71</w:t>
        </w:r>
      </w:hyperlink>
      <w:r>
        <w:rPr>
          <w:rFonts w:ascii="arial" w:eastAsia="arial" w:hAnsi="arial" w:cs="arial"/>
          <w:color w:val="000000"/>
          <w:sz w:val="20"/>
          <w:lang w:val="en-US" w:eastAsia="en-US" w:bidi="ar-SA"/>
        </w:rPr>
        <w:t xml:space="preserve"> at para. 26: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[26] In brief summary then, to determine the intentions of the parties expressed in a written contract, one looks to the text of the contract as a whole. In doing so, meaning is given to all of the words in the text, if possible, and the absence of words may also be considered. If necessary, the text is considered in light of the surrounding circumstances as at the time of execution of the contract. The goal is to determine the objective intentions of the parties in the sense of a reasonable person in the context of those surrounding circumstances and not the subjective intentions of the parties. If, after that analysis, the text in question is ambiguous, extrinsic evidence may be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Thus, the court looks first to the words of the agreement, read as a whole, aided, if necessary, by evidence of the circumstances or what is referred to as the factual matrix existing when the agreement was made. Such evidence is generally restricted to circumstances known to both parties that illuminate the meaning a reasonable person would give to the words employed: </w:t>
      </w:r>
      <w:r>
        <w:rPr>
          <w:rFonts w:ascii="arial" w:eastAsia="arial" w:hAnsi="arial" w:cs="arial"/>
          <w:i/>
          <w:color w:val="000000"/>
          <w:sz w:val="20"/>
          <w:lang w:val="en-US" w:eastAsia="en-US" w:bidi="ar-SA"/>
        </w:rPr>
        <w:t>Glaswegian Enterprises Inc. v. BC Tel Mobility Cellular Inc.</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(1997), 49 B.C.L.R. (3d) 317</w:t>
        </w:r>
      </w:hyperlink>
      <w:r>
        <w:rPr>
          <w:rFonts w:ascii="arial" w:eastAsia="arial" w:hAnsi="arial" w:cs="arial"/>
          <w:color w:val="000000"/>
          <w:sz w:val="20"/>
          <w:lang w:val="en-US" w:eastAsia="en-US" w:bidi="ar-SA"/>
        </w:rPr>
        <w:t xml:space="preserve"> (C.A.) at paras. 18 to 20. See also Lord Hoffman's discussion of the principles of interpretation in </w:t>
      </w:r>
      <w:r>
        <w:rPr>
          <w:rFonts w:ascii="arial" w:eastAsia="arial" w:hAnsi="arial" w:cs="arial"/>
          <w:i/>
          <w:color w:val="000000"/>
          <w:sz w:val="20"/>
          <w:lang w:val="en-US" w:eastAsia="en-US" w:bidi="ar-SA"/>
        </w:rPr>
        <w:t>Investors Compensation Scheme Ltd. v. West Bromwich Building Society</w:t>
      </w:r>
      <w:r>
        <w:rPr>
          <w:rFonts w:ascii="arial" w:eastAsia="arial" w:hAnsi="arial" w:cs="arial"/>
          <w:color w:val="000000"/>
          <w:sz w:val="20"/>
          <w:lang w:val="en-US" w:eastAsia="en-US" w:bidi="ar-SA"/>
        </w:rPr>
        <w:t xml:space="preserve"> (1997), [1998] 1 W.L.R. 896 (H.L.). The wording of the agreement must not, however, be overwhelmed by a contextual analysis: </w:t>
      </w:r>
      <w:r>
        <w:rPr>
          <w:rFonts w:ascii="arial" w:eastAsia="arial" w:hAnsi="arial" w:cs="arial"/>
          <w:i/>
          <w:color w:val="000000"/>
          <w:sz w:val="20"/>
          <w:lang w:val="en-US" w:eastAsia="en-US" w:bidi="ar-SA"/>
        </w:rPr>
        <w:t>Black Swan Gold Mines Ltd. v. Goldbelt Resources Ltd.</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(1996), 25 B.C.L.R. (3d) 285</w:t>
        </w:r>
      </w:hyperlink>
      <w:r>
        <w:rPr>
          <w:rFonts w:ascii="arial" w:eastAsia="arial" w:hAnsi="arial" w:cs="arial"/>
          <w:color w:val="000000"/>
          <w:sz w:val="20"/>
          <w:lang w:val="en-US" w:eastAsia="en-US" w:bidi="ar-SA"/>
        </w:rPr>
        <w:t xml:space="preserve"> (C.A.) at para. 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If, after undertaking the first step of the analysis, the text is ambiguous, extrinsic evidence becomes admissible for the purpose of resolving the ambiguity and determining what was actually agreed. But there must be a true ambiguity before recourse can be had to evidence of the way in which the parties conducted themselves. It is well recognized that a court is not to search for ambiguity. In </w:t>
      </w:r>
      <w:r>
        <w:rPr>
          <w:rFonts w:ascii="arial" w:eastAsia="arial" w:hAnsi="arial" w:cs="arial"/>
          <w:i/>
          <w:color w:val="000000"/>
          <w:sz w:val="20"/>
          <w:lang w:val="en-US" w:eastAsia="en-US" w:bidi="ar-SA"/>
        </w:rPr>
        <w:t>Melanesian Mission Trust Board v. Australian Mutual Provident Society</w:t>
      </w:r>
      <w:r>
        <w:rPr>
          <w:rFonts w:ascii="arial" w:eastAsia="arial" w:hAnsi="arial" w:cs="arial"/>
          <w:color w:val="000000"/>
          <w:sz w:val="20"/>
          <w:lang w:val="en-US" w:eastAsia="en-US" w:bidi="ar-SA"/>
        </w:rPr>
        <w:t>, [1996] UKPC 53, [1996] J.C.J. No. 63 at para. 9, Lord Hope of Craighead expressed the caution a court must exercise in this regard,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 The approach which must be taken to the construction of a clause in a formal document of this kind is well settled. The intention of the parties is to be discovered from the words used in the document. Where ordinary words have been used they must be taken to have been used according to the ordinary meaning of these words. If their meaning is clear and unambiguous, effect must be given to them because that is what the parties are taken to have agreed to by their contract. Various rules may be invoked to assist interpretation in the event that there is an ambiguity. But it is not the function of the court, when construing a document, to search for an ambiguity. Nor should the rules which exist to resolve ambiguities be invoked in order to create an ambiguity which, according to the ordinary meaning of the words, is not there. So the starting point is to examine the words used in order to see whether they are clear and unambiguous. It is of course legitimate to look at the document as a whole and to examine the context in which these words have been used, as the context may affect the meaning of the words. But unless the context shows that the ordinary meaning cannot be given to them or that there is an ambiguity, the ordinary meaning of the words which have been used in the document must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There is no dispute that Mr. Badesha and Mr. Aujla agreed to enter into binding legal relations. The issue is whether the essential terms of the contracts are so vague and uncertain so as to be incapable of reasonable interpretation, and therefore, meaningless: </w:t>
      </w:r>
      <w:r>
        <w:rPr>
          <w:rFonts w:ascii="arial" w:eastAsia="arial" w:hAnsi="arial" w:cs="arial"/>
          <w:i/>
          <w:color w:val="000000"/>
          <w:sz w:val="20"/>
          <w:lang w:val="en-US" w:eastAsia="en-US" w:bidi="ar-SA"/>
        </w:rPr>
        <w:t>Hoban Construction</w:t>
      </w:r>
      <w:r>
        <w:rPr>
          <w:rFonts w:ascii="arial" w:eastAsia="arial" w:hAnsi="arial" w:cs="arial"/>
          <w:color w:val="000000"/>
          <w:sz w:val="20"/>
          <w:lang w:val="en-US" w:eastAsia="en-US" w:bidi="ar-SA"/>
        </w:rPr>
        <w:t xml:space="preserve"> at para.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Turning now to the issues as framed by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(a) Is the contract enforceable for lacking an essential term:</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namely the proper parties to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Badesha contends that at the material time there was no issue with regard to the terms or enforceability of the swap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Badesha and his two partners Mr. Pannu and Mr. Rai were the shareholders of 090 Ltd. which owned the Young Street Property, and Mr. Aujla, Mrs. Kaler (for the benefit of Mr. Kaler) and Tajinder were shareholders of 494 Ltd. that owned the shares of Snowland, which in turn owned the hotel property. Mr. Badesha at all times had the authority to bind his two partners. Mr. Aujla had the authority to bind 494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At trial, Mr. Aujla testified that he had the authority to, and was prepared to complete both contracts on August 31, 2012. He retained a solicitor to do so. Neither he, nor his solicitor, ever made any complaint or raised any concern about uncertainty regarding the parties or any other aspect of the contract as being an impediment to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There is no evidence from any of the lawyers that Mr. Aujla expressed to them any uncertainty about the terms of the contract. Mr. Aujla counterclaimed for specific performance of the swap agreement, and until the first day of trial date, took the position that the swap agreement was enforceable despite the parties not being properly named.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Mr. Aujla relies on </w:t>
      </w:r>
      <w:r>
        <w:rPr>
          <w:rFonts w:ascii="arial" w:eastAsia="arial" w:hAnsi="arial" w:cs="arial"/>
          <w:i/>
          <w:color w:val="000000"/>
          <w:sz w:val="20"/>
          <w:lang w:val="en-US" w:eastAsia="en-US" w:bidi="ar-SA"/>
        </w:rPr>
        <w:t>Rana v. Nagra</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2011 BCCA 392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Rana</w:t>
      </w:r>
      <w:r>
        <w:rPr>
          <w:rFonts w:ascii="arial" w:eastAsia="arial" w:hAnsi="arial" w:cs="arial"/>
          <w:color w:val="000000"/>
          <w:sz w:val="20"/>
          <w:lang w:val="en-US" w:eastAsia="en-US" w:bidi="ar-SA"/>
        </w:rPr>
        <w:t>)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It is a trite principle of law that in order for an agreement to be binding between the parties they must have reached consensus on the essential terms of their contract. Viscount Dunedin expressed the principle in the decision of </w:t>
      </w:r>
      <w:r>
        <w:rPr>
          <w:rFonts w:ascii="arial" w:eastAsia="arial" w:hAnsi="arial" w:cs="arial"/>
          <w:i/>
          <w:color w:val="000000"/>
          <w:sz w:val="20"/>
          <w:lang w:val="en-US" w:eastAsia="en-US" w:bidi="ar-SA"/>
        </w:rPr>
        <w:t>May and Butcher, Limited v. The King</w:t>
      </w:r>
      <w:r>
        <w:rPr>
          <w:rFonts w:ascii="arial" w:eastAsia="arial" w:hAnsi="arial" w:cs="arial"/>
          <w:color w:val="000000"/>
          <w:sz w:val="20"/>
          <w:lang w:val="en-US" w:eastAsia="en-US" w:bidi="ar-SA"/>
        </w:rPr>
        <w:t>, [1934] 2 K.B. 17 at 21 (H.L.)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be a good contract there must be a concluded bargain, and a concluded contract is one which settles everything that is necessary to be settled and leaves nothing to be settled by agreement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5th ed. (Toronto: Thomson Carswell, 2006), the author stated the principle and gave an example at 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this means is that the parties must have evinced clear agreement on the essential terms of the intended contract. For example, for an agreement for a lease to be valid, it has to show the parties, a description of the premises to be demised, the commencement and duration of the term, the rent, if any, and all the material terms of the contract not being matters incident to the relation of landlord and tenant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of an agreement for the sale and purchase of an asset, there can be no doubt that one of the essential terms is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Rana</w:t>
      </w:r>
      <w:r>
        <w:rPr>
          <w:rFonts w:ascii="arial" w:eastAsia="arial" w:hAnsi="arial" w:cs="arial"/>
          <w:color w:val="000000"/>
          <w:sz w:val="20"/>
          <w:lang w:val="en-US" w:eastAsia="en-US" w:bidi="ar-SA"/>
        </w:rPr>
        <w:t>, the purchase price was found to be uncertain. The share purchase agreement provided for the sale of shares for a certain sum, with a provision that if either party considered adjustments to the purchase price was necessary, the matter would be arbitrated. The Court of Appeal dismissed the plaintiffs' appeal on the basis that the terms of the agreement gave no guidance as to the nature of any adjustments, the basis upon which adjustments were to be made, or what types of adjustments were to be arbitrated. Additionally, there is no law, custom, or objective standard that an arbitrator could rely on to determine what adjustments were appropriate, and therefore what an arbitrator was to arbitrate was neither clear nor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Mr. Aujla also relies on </w:t>
      </w:r>
      <w:r>
        <w:rPr>
          <w:rFonts w:ascii="arial" w:eastAsia="arial" w:hAnsi="arial" w:cs="arial"/>
          <w:i/>
          <w:color w:val="000000"/>
          <w:sz w:val="20"/>
          <w:lang w:val="en-US" w:eastAsia="en-US" w:bidi="ar-SA"/>
        </w:rPr>
        <w:t>Strata Plan VIS6599 v. Strata Plan VIS4843</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2013 BCSC 1263</w:t>
        </w:r>
      </w:hyperlink>
      <w:r>
        <w:rPr>
          <w:rFonts w:ascii="arial" w:eastAsia="arial" w:hAnsi="arial" w:cs="arial"/>
          <w:color w:val="000000"/>
          <w:sz w:val="20"/>
          <w:lang w:val="en-US" w:eastAsia="en-US" w:bidi="ar-SA"/>
        </w:rPr>
        <w:t xml:space="preserve"> at para. 80, that the essential terms of a contract are the parties to the contract, the subject-matter of the contract, and the price to be paid by each party for the performance of the other party. If an essential term is missing, an alleged agreement will be uncertain and unenforceable. The onus is on the party relying on a contract to prove on a balance of probabilities the terms of the contract that he or she seeks to enforce: </w:t>
      </w:r>
      <w:r>
        <w:rPr>
          <w:rFonts w:ascii="arial" w:eastAsia="arial" w:hAnsi="arial" w:cs="arial"/>
          <w:i/>
          <w:color w:val="000000"/>
          <w:sz w:val="20"/>
          <w:lang w:val="en-US" w:eastAsia="en-US" w:bidi="ar-SA"/>
        </w:rPr>
        <w:t>Cutts v. Alterra Property Group Ltd.</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2013 BCSC 1951</w:t>
        </w:r>
      </w:hyperlink>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Aujla contends that on all of the evidence, the swap agreement was a share purchase agreement so that the parties could avoid paying property transfer tax on what was essentially two property transactions. However, the swap agreement is impossible to perform because the hotel contract requires Snowland and Mr. Aujla to sell their shares in Snowland, when the only shareholder of Snowland is 494 Ltd., and 494 Ltd. is not a party to the swap agreement. As the parties are an essential term of the swap agreement, their absence makes the swap agreement unenforceable. If the hotel contract fails, then the Young Street contract also fails as it is dependent on the hotel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Aujla argues that the Young Street contract also fails independently because, like the hotel contract, it fails to name the proper parties to the agreement. 090 Ltd. is named as the seller on the Young Street contract, but 090 BC has no capacity to sell its own shares. The shareholders of 090 Ltd. are Mr. Badesha and his partners Harvinder Rai and Sarbjit Pannu, and the only persons who can be the sellers. Neither Mr. Rai nor Mr. Pannu is a party to the Young Street contract, and thus an essential term of the contract is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Mr. Badesha relies on the Court of Appeal decision in </w:t>
      </w:r>
      <w:r>
        <w:rPr>
          <w:rFonts w:ascii="arial" w:eastAsia="arial" w:hAnsi="arial" w:cs="arial"/>
          <w:i/>
          <w:color w:val="000000"/>
          <w:sz w:val="20"/>
          <w:lang w:val="en-US" w:eastAsia="en-US" w:bidi="ar-SA"/>
        </w:rPr>
        <w:t>Topgro Greenhouses Ltd. v. Houweling</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2006 BCCA 183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The fundamental impediment to Topgro's claim of rescission of the contract between Mr. Houweling and Mr. De Vries is that Topgro was not a party to the contract it claimed should be rescinded. Topgro could have attacked the contract between Mr. De Vries and Mr. Houweling by claiming that Mr. De Vries breached the shareholders agreement by entering into a contract with Mr. Houweling that was in contravention of the shareholders agreement. But Topgro made no such allegation. More importantly, Topgro never joined Mr. De Vries as a party to this action. Nevertheless, it claimed relief that, if granted, would fundamentally affect Mr. De Vries' rights under his agreement with Mr. Houweling.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In the case at bar, Topgro was not a party to the share purchase agreement between Mr. De Vries and Mr. Houweling. Topgro's role under the shareholders agreement would seem to be limited to ratifying the share purchase by Mr. Houweling. If Topgro intended to claim relief that would affect both Mr. De Vries and Mr. Houweling (and rescission of their contract would presumably affect them both), then Mr. De Vries was an essential party to be joined in Topgro's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The question of what makes a party necessary to an action was discussed in </w:t>
      </w:r>
      <w:r>
        <w:rPr>
          <w:rFonts w:ascii="arial" w:eastAsia="arial" w:hAnsi="arial" w:cs="arial"/>
          <w:i/>
          <w:color w:val="000000"/>
          <w:sz w:val="20"/>
          <w:lang w:val="en-US" w:eastAsia="en-US" w:bidi="ar-SA"/>
        </w:rPr>
        <w:t>Orman v. Canadian Mountain Minerals Ltd.</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(2000), 268 A.R. 338</w:t>
        </w:r>
      </w:hyperlink>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86 Alta. L.R. (3d) 307</w:t>
        </w:r>
      </w:hyperlink>
      <w:r>
        <w:rPr>
          <w:rFonts w:ascii="arial" w:eastAsia="arial" w:hAnsi="arial" w:cs="arial"/>
          <w:color w:val="000000"/>
          <w:sz w:val="20"/>
          <w:lang w:val="en-US" w:eastAsia="en-US" w:bidi="ar-SA"/>
        </w:rPr>
        <w:t xml:space="preserve"> (Q.B.) at para. 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that a party is not necessary merely because he has an interest in the matter. A party is necessary only if the questions involved in the action cannot be adjudicated upon without him being made a party, or if it is necessary to add him so that he should be bound by the result of the action: </w:t>
      </w:r>
      <w:r>
        <w:rPr>
          <w:rFonts w:ascii="arial" w:eastAsia="arial" w:hAnsi="arial" w:cs="arial"/>
          <w:i/>
          <w:color w:val="000000"/>
          <w:sz w:val="20"/>
          <w:lang w:val="en-US" w:eastAsia="en-US" w:bidi="ar-SA"/>
        </w:rPr>
        <w:t>Fullwood and Fullwood v. Master Excavators Ltd. et al</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(1981), 34 A.R. 541</w:t>
        </w:r>
      </w:hyperlink>
      <w:r>
        <w:rPr>
          <w:rFonts w:ascii="arial" w:eastAsia="arial" w:hAnsi="arial" w:cs="arial"/>
          <w:color w:val="000000"/>
          <w:sz w:val="20"/>
          <w:lang w:val="en-US" w:eastAsia="en-US" w:bidi="ar-SA"/>
        </w:rPr>
        <w:t xml:space="preserve"> at pg. 550.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The decisions referred to in </w:t>
      </w:r>
      <w:r>
        <w:rPr>
          <w:rFonts w:ascii="arial" w:eastAsia="arial" w:hAnsi="arial" w:cs="arial"/>
          <w:i/>
          <w:color w:val="000000"/>
          <w:sz w:val="20"/>
          <w:lang w:val="en-US" w:eastAsia="en-US" w:bidi="ar-SA"/>
        </w:rPr>
        <w:t>Orman</w:t>
      </w:r>
      <w:r>
        <w:rPr>
          <w:rFonts w:ascii="arial" w:eastAsia="arial" w:hAnsi="arial" w:cs="arial"/>
          <w:color w:val="000000"/>
          <w:sz w:val="20"/>
          <w:lang w:val="en-US" w:eastAsia="en-US" w:bidi="ar-SA"/>
        </w:rPr>
        <w:t xml:space="preserve"> and the above passage were in regard to applications by a third party to be joined in an ongoing action and relate specifically to the Alberta Rules of Court, although the definition has a general application. Based on this definition, I conclude that Mr. De Vries was a necessary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Badesha also relies on Supreme Court Civil Rule 22-5(9):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Misjoinder or nonjoinder of parties</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proceeding must not be defeated by reason of the misjoinder or nonjoinder of a party and the court may deal with the matter in controversy so far as it affects the rights and interests of the parties before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my view, there is little merit to Mr. Aujla's argument that the swap agreement is unenforceable as it fails to name the proper parties who are also not before this Court. The shareholders of 494 Ltd. are Mr. Aujla, Tajinder, and Mrs. Kaler. Mr. Banwait testified that Mr. Aujla told him that he had the consent of both Tajinder and Mrs. Kaler to sell their respective shares and Mr. Aujla testified that he had the consent of Tajinder and Mrs. Kaler to sell their respective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Banwait testified that before the contracts were signed, he had a couple of meetings with Harvinder Rai and Sarbjit Pannu and understood from them that Mr. Badesha had signing authority for both of them. Mr. Badesha testified that he had signing authority for both of his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When Mr. Banwait was asked in cross-examination why he did not note Mrs. Kaler as the seller of the Snowland shares, he testified that in the presence of Mr. Kaler, Mr. Aujla told him that he had signing authority for Snowland, Mr. Kaler never disputed that fact, and Mr. Kaler was present at the Tim Hortons when Mr. Aujla signed the two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Badesha and Mr. Aujla clearly understood that the swap agreement was a share purchase agreement, or what was essentially two property transactions, and that they both had the consents of the necessary parties to transfer their respective shares. Mr. Aujla, by his response to civil claim, admitted that Snowland was owned and controlled by him, and that to facilitate the swap agreement, he would purchase all of the shares in 090 Ltd., and Mr. Badesha would purchase all of the shares of Snowland. By his third party notice, Mr. Aujla also alleged that the Kalers knew of the material terms of the swap agreement, approved the swap transaction, Mr. Kaler instructed Mrs. Kaler to sell her shares in Snowland as part of the swap transaction, and Mr. Kaler was present when the contracts were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Aujla commenced a separate action against the Kalers and obtained default judgment against them. Mr. Aujla also served the Kalers with the third party notice and they again failed to respond. I see no useful purpose in adding the Kalers or Mr. Badesha's partners to the action. The matters in issue can be adjudicated upon without them being made a party. I do not find that the failure to add them as parties to the swap agreement renders the swap agreement so vague, uncertain, or meaningless.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All of the parties had legal representation prior to and at the time of closing. There was never any suggestion that other persons or corporations needed to be made a party to either of the contracts. The intention of the parties and their business partners is not contested, and it is not contested that at all times Mr. Badesha and Mr. Aujla had the authority to act for their respective business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All of the parties were in agreement as to what the bargain was, who the relevant parties were, and what needed to be done to effect the swap. Ultimately, both parties sued for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As Mr. Badesha contends, the court should have no doubt about what the agreement was about because the parties had no doubt what the agreement was about. Mr. Aujla merely seeks to avoid his contractual obligations under the penalty clause and raises as a defence, the issue of the incorrect naming of parties to the swap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 (b) Does the hotel contract contain a fraudulently inserted term; or a term on which there was </w:t>
      </w:r>
      <w:r>
        <w:rPr>
          <w:rFonts w:ascii="arial" w:eastAsia="arial" w:hAnsi="arial" w:cs="arial"/>
          <w:b/>
          <w:i/>
          <w:color w:val="000000"/>
          <w:sz w:val="20"/>
          <w:lang w:val="en-US" w:eastAsia="en-US" w:bidi="ar-SA"/>
        </w:rPr>
        <w:t>no consensus ad idem</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This issue relates to the damaged rooms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Badesha testified that before they met at Tim Hortons on June 20, 2012 he spoke to Mr. Banwait about the damaged rooms that had to be repaired before the completion date, and he raised the issue again at the meeting at Tim Hortons. Mr. Banwait then added the damaged rooms clause, and both he and Mr. Aujla initialled his handwritten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Banwait testified that Mr. Badesha and Mr. Aujla were sitting with him at Tim Hortons, when Mr. Badesha said that the damaged rooms had to be repaired. Mr. Aujla replied that it would not cost too much, maybe $20,000 to $25,000, and that they were willing to repair the damaged rooms. He then wrote the damaged rooms clause and, adjacent to the clause, drew a circle and a square, and saw Mr. Badesha initial the circle and Mr. Aujla initial the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Aujla testified that he, Tajinder, and Mr. Kaler met Mr. Banwait at the Tim Hortons on June 20, and Mr. Banwait had the contracts. Mr. Badesha was not present at the meeting, but his initials were already in the little hand drawn circles adjacent to the handwritten changes to the contract. That is why Mr. Banwait drew little boxes to the right of Mr. Badesha's initialled circles, so that he could initial the changes. However, the handwritten damaged room clause was not there when he signed the contract on June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Aujla testified that he asked Mr. Banwait for copies of the signed contracts, but Mr. Banwait was leaving for Europe the next day and so he obtained copies of the contracts from Manbir Banwait a couple of weeks or so later. When he obtained a copy of the signed contract from Manbir Banwait, he saw that the damaged rooms clause had been added and his purported initials next to the clause were not his. He phoned Mr. Banwait and asked him why he inserted the clause and "who did my initials?" Mr. Banwait told him not to worry, he was not giving a copy of that contract to Mr. Badesha, and he would not tell Mr. Badesha about the damaged rooms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his examination for discovery, Mr. Aujla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267 Q And when was the first time that you say you noticed that this handwriting was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When -- soon I see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268 Q So as soon as you got it from Mr. Banwait, you noticed this handwriting?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269 Q Okay. And this was at his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don't know where he's 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270 Q Well, no, sir, you went to his office to pick up the document?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271 Q You met with him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272 Q He gave you this copy you say?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273 Q Okay. And you noticed while you were still at his office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 I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274 Q -- this handwriting?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took the copy. Didn't read in the office. We met. We had coffee together. I came home. When I go through the contract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275 Q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then I phone him. I said, Mr. Banwait, we sold as it is. What is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276 Q So sometime in late July, you go to his office, you pick up a copy of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277 Q And you say it's later that night that you call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sometime in the evening,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278 Q Okay. So do you remember the language you used when you spoke to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Very politely asked, why did this. He said, don't worry.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279 Q But how did he know what you were referring to when you said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write the contract. I said, we sold the hotel as it is, no damaged room repair, so why -- why -- what is this? He said -- why you write this? He said, don't worry, that's -- that's between you and me. I'm not going to give copy to Mr. Badesha. That's he told on the phone.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282 Q But did he give you any explanation as to why he did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He -- he told me -- yes, he gave explanation. He said, if your part -- if you can repair the room, whatever the money, we can collect from your partner.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Both parties called expert witnesses to provide an opinion on whether Mr. Aujla's initials next to the damaged room clause were his or a forgery. There is no dispute that Mr. Aujla initials his documents with the initials JS, presumably referring to the first two words of his name Jasjit Singh Aujla.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Jean M. Kovacs is a forensic document examiner who was employed for 26 years by as an examiner of questioned documents in the RCMP Forensic Laboratory. Mr. Kovacs in his report dated March 4, 2014 concludes that he is "unable to either identify or eliminate" Mr. Aujla as having written the questioned initials next to the damaged rooms clause. At trial, he put it another way: based on all of factors that he considered, including a microscopic examination, "it fell right in the middle of the range" and he could not say "one way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Dan C. Purdy has been a forensic document examiner since 1969, was employed by the RCMP from 1985 to 1999 in the forensic laboratories, and from 1989 to 1999 was chief scientist. Mr. Purdy is of the opinion that it is highly probable that Mr. Aujla did not write the questioned JS initials next to the damaged rooms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Badesha argues that Mr. Kovacs was straightforward, conceded points where appropriate, but did not change his opinion. Mr. Purdy, on the other hand, was clearly irritated when he was challenged on cross-examination, and he was unwilling to concede common sense observations about the specimen samples of Mr. Aujla's handwritten initials.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prefer to base my findings, not on the expert evidence, but on Mr. Aujla's dealings with his lawyer and with Tajinder after he obtained a copy of the signed hotel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Aujla repeatedly stated on cross-examination that he did not remember taking the contracts to his lawyer Rand Buckley for advice. However, in his examination for discovery on August 6, 2014,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1248 Q When did you go to a lawyer Grant Buckley about the -- well, let's start with that. When did you go and see this lawyer?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remember. In July sometime. He's my family lawyer.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1249 Q Who is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Grant Buckley.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1250 Q Okay. So did you go see Mr. Buckley in July 2012 about the term in the contract or dealing with the insurance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Not dealing for anything. Just to get advice. That's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1251 Q About what?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To get the power before the -- if we can't get power before completion. And he said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1252 Q So was there anything else or was that the main topic?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And clause of repair room too.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1253 Q And you discussed with him the clause regarding the repairs to the 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Um, how I can explain. Not repair room. Discuss about the contract copies when we go through there [are] so many mistakes. He found it. He said he advise me next time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1254 Q So Mr. Buckley has been your lawyer for some considerable period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1255 Q How many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Over ten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1258 Q And I haven't seen any documents, but you will agree with me that Mr. Buckley never sent any letter to Mr. Badesha or his companies or his lawyers about any problems with the contract, did 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didn't ask.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1259 Q Right. But you'll agree with me that he never took any steps with respect to the contract, did 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never asked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Common sense tells me that if a reasonable man observes that a clause imposing additional liability on him has been fraudulently inserted without his consent, and he takes the contract to his lawyer for advice, he would inform the lawyer about the fraudulently inserted clause, and his forged signature. Mr. Aujla did not do that. Instead he testified that he never asked his lawyer to take any steps with respect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Tajinder testified. He is a part time residential realtor, lives with his father Mr. Aujla, and they (father and son) have done various real estate deals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Tajinder denies that he knows Deep Brar, or that he ever drove to Williams Lake with Mr. Banwait and Mr. Brar. He denies giving photographs of the hotel to Mr. Banwait, or ever discussing the sale of the hotel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If I accept Mr. Aujla's evidence, Tajinder was at Tim Hortons when his father signed the hotel contract on June 20, 2012. However, Tajinder testified that he had no discussion with his father about the hotel contract or the Young Street contract until October 2012 when this litigation was commenced, and that it was not until November 2012 that his father discussed the damaged room clause and his forged initials. However, he agrees that his father is strong willed businessman, and he is not someone who would agree with something that he was not totally in favour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my view, Tajinder's evidence defies common sense. I do not believe him. He and his father live in the same house, they do real estate deals together, they are partners in the hotel property, they both worked at the hotel, and the damaged rooms clause imposed additional liability on them as sellers of the property. There is no air of reality with either Mr. Aujla's evidence or Tajinder's evidence about the damaged rooms clause and the forged initials. Common sense tells me that if Mr. Aujla's initials had been forged, he would not have waited for five months before ever raising the issue with Tajinder.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prefer the evidence of Mr. Banwait and Mr. Badesha to the evidence of Mr. Aujla and Tajinder. Mr. Banwait and Mr. Badesha generally gave their evidence in a straightforward manner, and their evidence was internally consistent. Mr. Aujla's evidence was otherwise, and I could not help but gain the impression that he made up much of his evidence as he went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conclude that the hotel contract does not contain a fraudulently inserted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Next, Mr. Aujla argues that there was no discussion or agreement about the number of rooms that needed repair, and there was therefore no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 However, Mr. Badesha and Mr. Banwait never saw all of the rooms, and were unable to see all of the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damaged rooms clause and the preceding clause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power to some of the buildings back of the motel and the seller to provide the power to all the existing buildings on seller's expense on or before completion date August 31/2012.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[damaged] rooms in these buildings to be repaired by the seller on or before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find that there was a meeting of the minds in connection with the damaged rooms clause. The factual matrix included the fact that a fire that destroyed building 4 caused consequential damage to rooms in other buildings. Snowland was receiving insurance proceeds as a result of the fire, and it was agreed that the damaged rooms would be repaired by Snowland. There is no need to include the number of rooms in the clause or the contract, in order to make the term of the contract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contracts as written are therefore sufficiently certain to be enforceable, there is no dispute that the two contracts are dependent on each other, and the issue of rectification need not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Is the $500,000 damages clause in each of the contracts a penalty clause; if so, should Mr. Aujla be granted relief from the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Badesha testified that a few days before he and Mr. Aujla signed the contracts, he had a couple of phone discussions with Mr. Banwait about the $500,000 penalty clause. Mr. Banwait told him that Mr. Aujla wanted the clause in the contract, and he was fine with it because he and his partners had no intention of backing out of the deal; they were going to "finish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Banwait testified that when he started talking with Mr. Aujla about the sale of the hotel in 2011, Mr. Aujla was "so motivated" and wanted the hotel "sold badly". When they began negotiating the sale of the hotel with Mr. Badesha, Mr. Aujla told him that they wanted to make sure that the deal went through. On or about June 10 or 11, Mr. Aujla instructed him to include the $500,000 clause because he wanted to make sure that "it will be a firm contract" and that "nobody can step out of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Aujla contradicted the evidence of Mr. Badesha and Mr. Banwait, and testified that he does business and has never seen a clause like this before. He claims that it was Mr. Banwait who suggested that the clause will benefit both parties. He thought that was a good idea and agreed to the $500,000 penalty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Aujla's evidence on this point was contradicted by the evidence of Herpal Singh Kandola, who is otherwise known as Paul Kandola.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Kandola is 54 years old and has lived in Williams Lake since July 1986. For over 18 years, he has operated a furniture, appliance, and electronics store just down the street from the hotel. The store's warehouse is kitty-corner to the hotel, and Mr. Kandola went to the hotel's Chinese restaurant three or four times a week because he "loved their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Kandola knew the previous owner of the hotel, Raj Gautam. In July 2011 Mr. Gautam asked him to come over to the hotel the day he was selling the hotel so that he could meet the new owners. He did, and he was introduced to Mr. Aujla and Harry, or Harchet Kaler. Either that day or the next, he also met Tajinder.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Because he was at the restaurant several times a week, he saw Mr. Aujla, Tajinder, and Mr. Kaler for the first month that they were running the hotel. After that, he saw Mr. Aujla and Mr. Kaler whenever they came up to Williams Lake, or sometimes, Mr. Kaler phoned him and told him that they were in town, or coming up to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Kandola was at the hotel so frequently that he and the two men would order in pizza, and sit in the hotel lobby eating pizza. Occasionally he even answered the hotel phone. He knew the room rates, and had discussions with Mr. Aujla and Mr. Kaler about the room rates for Williams Inn, and the rates that Howard Johnson set, and the fact that they had to pay Howard Johnson a five percent hotel fee. At one point he learned that the hotel was no longer a Howard Johnson, and that was before Mr. Badesha took over the running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Kandola testified that by October or November 2011 Mr. Kaler and Mr. Aujla expressed their intention of selling the hotel property. One Friday in October or November 2011 Mr. Kaler asked him to come to the hotel pub because he had a guest coming into town. At the pub he met Mr. Aujla and Mr. Kaler, and was introduced to Jasbir, a realtor who had come to town for the weekend. Jasbir told him that Mr. Aujla had called him to see if he could find a buyer for the hotel. Jasbir told Mr. Aujla that he wanted to look at the property so he could describe the layout, and list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Kandola testified that afterwards, in every discussion he had with Mr. Aujla, Mr. Aujla talked about his desire to sell or get rid of the hotel. At one point Mr. Aujla even asked him to take shares in the business so he could keep an eye on things, but he has no interest in the hotel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the week before the July 1, 2012 long weekend, which was also the weekend of the Williams Lake Stampede, Mr. Aujla came over to his retail store just after he had finished having lunch, sometime between 1:00 p.m. and 1:30 p.m. Mr. Aujla sat down on a chesterfield and started talking. He said that he sold the hotel, and one of the men he sold it to was named Badesha. Mr. Aujla asked him if he knew him because he used to live in Williams Lake. He (Mr. Kandola) asked what his name was, and Mr. Aujla replied, Kuldip Badesha. Mr. Kandola said he did not remember that name in the town, but he knew some other Badeshas.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Kandola testified that they started discussing the sale of the hotel for $3.3 million, and he asked, "how did you sucker these guys in?" Mr. Aujla replied, "I'm a business guy. I know how to wheel and deal", and told him that they would be taking over the coming long weekend, and he was going to Abbotsford and bringing them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Kandola testified that he asked Mr. Aujla what would happen if they backed out of the deal once they saw the place, the town, and how the business is. Mr. Aujla replied, "They can't. I put a clause in. If they back out of the deal, or I don't do things I'm supposed to do: we have a $500,000 penalty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Kandola testified that he told Mr. Aujla that he had never heard of this type of deal, and he does real estate deals. They spoke in Punjabi, and the word that Mr. Aujla used was munkhrana, meaning that you cannot back out. Mr. Aujla told him that he had insisted that the realtor put the penalty clause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Kandola testified that during their conversation, he mentioned to Mr. Aujla about the lack of power to the buildings, and Mr. Aujla told him that "we're supposed to get that up and running" for the new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On cross-examination, Mr. Kandola denied the suggestion that Mr. Aujla never came to his store, and rhetorically asked how he got two cushions. He said that Mr. Aujla came into his store one day, took two cushions and never paid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Aujla agrees that he met Mr. Kandola at the hotel office in July 2011, but denies ever discussing the penalty clause with Mr. Kandola, denies ever going to Mr. Kandola's retail store, and denies Mr. Kandola's evidence that there was a meeting in October or November 2011 where Mr. Banwait was present and he was asking Mr. Banwait to assist him in selling the hotel. Instead Mr. Aujla testified that he left for India in October 23, 2011 and returned December 12, 2011. When asked in direct examination if there was any meeting between himself, Mr. Kandola, and Mr. Banwait prior to October 23, he stated, "absolutely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Kandola was not aware that he would be testifying at trial until about a week before he testified. He has no axe to grind with Mr. Aujla or Mr. Badesha. His evidence was not shaken on cross-examination. Rather, he became more emphatic and certain about certain matters, and testified that following the fire, a generator was serving building 5 because he walked around the property with Mr. Kaler and they went into building 5 where people had been living and checked on the laundry machines, and made sure the water pipes were not frozen. He also testified that no one was living in building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Despite Mr. Aujla's protestations, I prefer the evidence of Mr. Kandola to the evidence of Mr. Aujla. Mr. Kandola's evidence is consistent with Mr. Banwait's evidence, and Mr. Aujla tends to simply deny or distance himself from any evidence that is not favourable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Is the $500,000 damages clause in each of the contracts a penalty clause; if so, ought Mr. Aujla be granted relief from the penalty?</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overriding principle regarding the $500,000 damages clause is that parties are free to contract with each other as they see fit: </w:t>
      </w:r>
      <w:r>
        <w:rPr>
          <w:rFonts w:ascii="arial" w:eastAsia="arial" w:hAnsi="arial" w:cs="arial"/>
          <w:i/>
          <w:color w:val="000000"/>
          <w:sz w:val="20"/>
          <w:lang w:val="en-US" w:eastAsia="en-US" w:bidi="ar-SA"/>
        </w:rPr>
        <w:t>J.G. Collins Insurance Agencies Ltd. v. Elsley Estate</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[1978] 2 S.C.R. 916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Elsley Estate</w:t>
      </w:r>
      <w:r>
        <w:rPr>
          <w:rFonts w:ascii="arial" w:eastAsia="arial" w:hAnsi="arial" w:cs="arial"/>
          <w:color w:val="000000"/>
          <w:sz w:val="20"/>
          <w:lang w:val="en-US" w:eastAsia="en-US" w:bidi="ar-SA"/>
        </w:rPr>
        <w:t>) at 937: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evident that the power to strike down a penalty clause is a blatant interference with freedom of contract and is designed for the sole purpose of providing relief against oppression for the party having to pay the stipulated sum. It has no place where there is no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Maxam Opportunities Fund Limited Partnership v. Greenscape Capital Group Inc., </w:t>
      </w:r>
      <w:hyperlink r:id="rId663" w:history="1">
        <w:r>
          <w:rPr>
            <w:rFonts w:ascii="arial" w:eastAsia="arial" w:hAnsi="arial" w:cs="arial"/>
            <w:i/>
            <w:color w:val="0077CC"/>
            <w:sz w:val="20"/>
            <w:u w:val="single"/>
            <w:shd w:val="clear" w:color="auto" w:fill="FFFFFF"/>
            <w:lang w:val="en-US" w:eastAsia="en-US" w:bidi="ar-SA"/>
          </w:rPr>
          <w:t>2013 BCCA 460</w:t>
        </w:r>
      </w:hyperlink>
      <w:r>
        <w:rPr>
          <w:rFonts w:ascii="arial" w:eastAsia="arial" w:hAnsi="arial" w:cs="arial"/>
          <w:color w:val="000000"/>
          <w:sz w:val="20"/>
          <w:lang w:val="en-US" w:eastAsia="en-US" w:bidi="ar-SA"/>
        </w:rPr>
        <w:t>, the Court of Appeal stated, in obiter,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This court has ruled that the following approach is to be taken to payments that are stipulated to be payable on a breach of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where the issue is whether a contractual clause is for liquidated damages or is a penalty:</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of "penalty" or "liquidated damages" is to be answered as at the date of the making of the agreement;</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is "liquidated damages", that is the end of the matter, but, if the answer is "penalty"; then,</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arises the next question: should relief be granted against the penalty?</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answer to that question depends upon whether to enforce the penalty would be unconscionable, and that unconscionability has to be determined at the date of the invocation of the clause.</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 21 [now s. 24] of </w:t>
      </w:r>
      <w:r>
        <w:rPr>
          <w:rFonts w:ascii="arial" w:eastAsia="arial" w:hAnsi="arial" w:cs="arial"/>
          <w:i/>
          <w:color w:val="000000"/>
          <w:sz w:val="20"/>
          <w:lang w:val="en-US" w:eastAsia="en-US" w:bidi="ar-SA"/>
        </w:rPr>
        <w:t>The Law and Equity Act</w:t>
      </w:r>
      <w:r>
        <w:rPr>
          <w:rFonts w:ascii="arial" w:eastAsia="arial" w:hAnsi="arial" w:cs="arial"/>
          <w:color w:val="000000"/>
          <w:sz w:val="20"/>
          <w:lang w:val="en-US" w:eastAsia="en-US" w:bidi="ar-SA"/>
        </w:rPr>
        <w:t xml:space="preserve"> only applies if and when stage 3 has been reached.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Gow J. in </w:t>
      </w:r>
      <w:r>
        <w:rPr>
          <w:rFonts w:ascii="arial" w:eastAsia="arial" w:hAnsi="arial" w:cs="arial"/>
          <w:i/>
          <w:color w:val="000000"/>
          <w:sz w:val="20"/>
          <w:lang w:val="en-US" w:eastAsia="en-US" w:bidi="ar-SA"/>
        </w:rPr>
        <w:t>Lee v. Skalbania</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(1987) 47 R.P.R. 162</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(1989) 4 R.P.R. (2d) xxxiii (B.C.C.A.), approved in </w:t>
      </w:r>
      <w:r>
        <w:rPr>
          <w:rFonts w:ascii="arial" w:eastAsia="arial" w:hAnsi="arial" w:cs="arial"/>
          <w:i/>
          <w:color w:val="000000"/>
          <w:sz w:val="20"/>
          <w:lang w:val="en-US" w:eastAsia="en-US" w:bidi="ar-SA"/>
        </w:rPr>
        <w:t>Liu v. Coal Harbour Properties Partnership</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2006 BCCA 385</w:t>
        </w:r>
      </w:hyperlink>
      <w:r>
        <w:rPr>
          <w:rFonts w:ascii="arial" w:eastAsia="arial" w:hAnsi="arial" w:cs="arial"/>
          <w:color w:val="000000"/>
          <w:sz w:val="20"/>
          <w:lang w:val="en-US" w:eastAsia="en-US" w:bidi="ar-SA"/>
        </w:rPr>
        <w:t xml:space="preserve"> at para. 24. See also </w:t>
      </w:r>
      <w:r>
        <w:rPr>
          <w:rFonts w:ascii="arial" w:eastAsia="arial" w:hAnsi="arial" w:cs="arial"/>
          <w:i/>
          <w:color w:val="000000"/>
          <w:sz w:val="20"/>
          <w:lang w:val="en-US" w:eastAsia="en-US" w:bidi="ar-SA"/>
        </w:rPr>
        <w:t>Hinkson Holdings Ltd. v. Silver Sea Developments Limited Partnership</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2007 BCCA 408</w:t>
        </w:r>
      </w:hyperlink>
      <w:r>
        <w:rPr>
          <w:rFonts w:ascii="arial" w:eastAsia="arial" w:hAnsi="arial" w:cs="arial"/>
          <w:color w:val="000000"/>
          <w:sz w:val="20"/>
          <w:lang w:val="en-US" w:eastAsia="en-US" w:bidi="ar-SA"/>
        </w:rPr>
        <w:t xml:space="preserve"> at para. 33 and </w:t>
      </w:r>
      <w:r>
        <w:rPr>
          <w:rFonts w:ascii="arial" w:eastAsia="arial" w:hAnsi="arial" w:cs="arial"/>
          <w:i/>
          <w:color w:val="000000"/>
          <w:sz w:val="20"/>
          <w:lang w:val="en-US" w:eastAsia="en-US" w:bidi="ar-SA"/>
        </w:rPr>
        <w:t>Maguire v. Revelstoke Mountain Resort Limited Partnership</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2010 BCSC 1618</w:t>
        </w:r>
      </w:hyperlink>
      <w:r>
        <w:rPr>
          <w:rFonts w:ascii="arial" w:eastAsia="arial" w:hAnsi="arial" w:cs="arial"/>
          <w:color w:val="000000"/>
          <w:sz w:val="20"/>
          <w:lang w:val="en-US" w:eastAsia="en-US" w:bidi="ar-SA"/>
        </w:rPr>
        <w:t xml:space="preserve"> at para 101; and 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xml:space="preserve"> (5th ed., 2006), at 776.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clause is a liquidated damages clause and will be upheld where it is considered to be a genuine pre-estimate of damages. The clause is a penalty clause if the sum is extravagant and unconscionable in comparison to the greatest loss that could conceivably be proved to have followed from the breach: </w:t>
      </w:r>
      <w:r>
        <w:rPr>
          <w:rFonts w:ascii="arial" w:eastAsia="arial" w:hAnsi="arial" w:cs="arial"/>
          <w:i/>
          <w:color w:val="000000"/>
          <w:sz w:val="20"/>
          <w:lang w:val="en-US" w:eastAsia="en-US" w:bidi="ar-SA"/>
        </w:rPr>
        <w:t>H.F. Clarke Ltd. v. Thermidaire Corp.</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[1976] 1 S.C.R. 319</w:t>
        </w:r>
      </w:hyperlink>
      <w:r>
        <w:rPr>
          <w:rFonts w:ascii="arial" w:eastAsia="arial" w:hAnsi="arial" w:cs="arial"/>
          <w:color w:val="000000"/>
          <w:sz w:val="20"/>
          <w:lang w:val="en-US" w:eastAsia="en-US" w:bidi="ar-SA"/>
        </w:rPr>
        <w:t xml:space="preserve"> at 338 (</w:t>
      </w:r>
      <w:r>
        <w:rPr>
          <w:rFonts w:ascii="arial" w:eastAsia="arial" w:hAnsi="arial" w:cs="arial"/>
          <w:i/>
          <w:color w:val="000000"/>
          <w:sz w:val="20"/>
          <w:lang w:val="en-US" w:eastAsia="en-US" w:bidi="ar-SA"/>
        </w:rPr>
        <w:t>Thermidaire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Thermidaire</w:t>
      </w:r>
      <w:r>
        <w:rPr>
          <w:rFonts w:ascii="arial" w:eastAsia="arial" w:hAnsi="arial" w:cs="arial"/>
          <w:color w:val="000000"/>
          <w:sz w:val="20"/>
          <w:lang w:val="en-US" w:eastAsia="en-US" w:bidi="ar-SA"/>
        </w:rPr>
        <w:t xml:space="preserve"> the formula for fixing damages for breach of the covenant against competition was based on gross trading profits and resulted in an amount almost three times the amount a court would order in an action for damages. The party in breach was relieved from the consequences of the penalty clause and the issue of damages remitted back to court for a determination of the damages in the ordinary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Where the exact damages that may result from a breach is not ascertainable at the time the agreement is made, depending on extrinsic evidence, the damages clause may be upheld where on its fact, the clause is not out of proportion to the probable loss. In </w:t>
      </w:r>
      <w:r>
        <w:rPr>
          <w:rFonts w:ascii="arial" w:eastAsia="arial" w:hAnsi="arial" w:cs="arial"/>
          <w:i/>
          <w:color w:val="000000"/>
          <w:sz w:val="20"/>
          <w:lang w:val="en-US" w:eastAsia="en-US" w:bidi="ar-SA"/>
        </w:rPr>
        <w:t>Tkachuk Farms Ltd. v. Le Blanc Auction Service Ltd.</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2006 SKQB 536</w:t>
        </w:r>
      </w:hyperlink>
      <w:r>
        <w:rPr>
          <w:rFonts w:ascii="arial" w:eastAsia="arial" w:hAnsi="arial" w:cs="arial"/>
          <w:color w:val="000000"/>
          <w:sz w:val="20"/>
          <w:lang w:val="en-US" w:eastAsia="en-US" w:bidi="ar-SA"/>
        </w:rPr>
        <w:t xml:space="preserve"> at para. 98, Wilkinson J. observed:</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those cases where the conceivable losses arising from a breach of covenant are not so readily quantifiable, the seminal decision of the House of Lords in </w:t>
      </w:r>
      <w:r>
        <w:rPr>
          <w:rFonts w:ascii="arial" w:eastAsia="arial" w:hAnsi="arial" w:cs="arial"/>
          <w:i/>
          <w:color w:val="000000"/>
          <w:sz w:val="20"/>
          <w:lang w:val="en-US" w:eastAsia="en-US" w:bidi="ar-SA"/>
        </w:rPr>
        <w:t>Dunlop Pneumatic Tyre Co. v. New Garage and Motor Co.</w:t>
      </w:r>
      <w:r>
        <w:rPr>
          <w:rFonts w:ascii="arial" w:eastAsia="arial" w:hAnsi="arial" w:cs="arial"/>
          <w:color w:val="000000"/>
          <w:sz w:val="20"/>
          <w:lang w:val="en-US" w:eastAsia="en-US" w:bidi="ar-SA"/>
        </w:rPr>
        <w:t xml:space="preserve"> (1915) A.C. 79 (H.L.) enunciates the doctrine in more apt terms, saying: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where the agreement is for an act other than the payment of money and the injury that may result from a breach is not ascertainable with exactness, depending upon extrinsic circumstances, a stipulation for damages, not on the face of the contract out of proportion to the probable loss, may be upheld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Volvo Truck Finance Canada Ltd. v. Premier Pacific Holdings Inc.</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2002 BCSC 1137</w:t>
        </w:r>
      </w:hyperlink>
      <w:r>
        <w:rPr>
          <w:rFonts w:ascii="arial" w:eastAsia="arial" w:hAnsi="arial" w:cs="arial"/>
          <w:color w:val="000000"/>
          <w:sz w:val="20"/>
          <w:lang w:val="en-US" w:eastAsia="en-US" w:bidi="ar-SA"/>
        </w:rPr>
        <w:t xml:space="preserve">, the petitioner loaned the first named respondent over $2.3 million to purchase five tour buses and a minibus. The vehicles were used as collateral for the loan, and the remaining respondents guaranteed the loan repayment. The first named respondent defaulted, and sought relief under s. 24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from the contractually agreed default interest rate of 18 percent. Sinclair Prowse J. found that the default interest rate was extravagant, unconscionable, and a penalty but declined to grant relief under s. 24.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With respect to the second issue (that is, whether I should exercise my power under s. 24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this power is purely discretionary. "The factors to be considered by the court in the exercise of its discretion are the conduct of the applicant, the gravity of the breaches, and the disparity between the value of the property forfeited and the damage caused by the breach: </w:t>
      </w:r>
      <w:r>
        <w:rPr>
          <w:rFonts w:ascii="arial" w:eastAsia="arial" w:hAnsi="arial" w:cs="arial"/>
          <w:i/>
          <w:color w:val="000000"/>
          <w:sz w:val="20"/>
          <w:lang w:val="en-US" w:eastAsia="en-US" w:bidi="ar-SA"/>
        </w:rPr>
        <w:t>Shiloh Spinners Ltd. v. Harding</w:t>
      </w:r>
      <w:r>
        <w:rPr>
          <w:rFonts w:ascii="arial" w:eastAsia="arial" w:hAnsi="arial" w:cs="arial"/>
          <w:color w:val="000000"/>
          <w:sz w:val="20"/>
          <w:lang w:val="en-US" w:eastAsia="en-US" w:bidi="ar-SA"/>
        </w:rPr>
        <w:t xml:space="preserve">, [1973] A.C. 69 (H.L.); </w:t>
      </w:r>
      <w:r>
        <w:rPr>
          <w:rFonts w:ascii="arial" w:eastAsia="arial" w:hAnsi="arial" w:cs="arial"/>
          <w:i/>
          <w:color w:val="000000"/>
          <w:sz w:val="20"/>
          <w:lang w:val="en-US" w:eastAsia="en-US" w:bidi="ar-SA"/>
        </w:rPr>
        <w:t>Snell's Equity</w:t>
      </w:r>
      <w:r>
        <w:rPr>
          <w:rFonts w:ascii="arial" w:eastAsia="arial" w:hAnsi="arial" w:cs="arial"/>
          <w:color w:val="000000"/>
          <w:sz w:val="20"/>
          <w:lang w:val="en-US" w:eastAsia="en-US" w:bidi="ar-SA"/>
        </w:rPr>
        <w:t xml:space="preserve">, 29th ed. (London: Sweet &amp; Maxwell, 1990), at pp. 541-2". See </w:t>
      </w:r>
      <w:r>
        <w:rPr>
          <w:rFonts w:ascii="arial" w:eastAsia="arial" w:hAnsi="arial" w:cs="arial"/>
          <w:i/>
          <w:color w:val="000000"/>
          <w:sz w:val="20"/>
          <w:lang w:val="en-US" w:eastAsia="en-US" w:bidi="ar-SA"/>
        </w:rPr>
        <w:t>Saskatchewan River Bungalows Ltd. v. Maritime Life Assurance Co.</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(1994), 115 D.L.R. (4th) 478</w:t>
        </w:r>
      </w:hyperlink>
      <w:r>
        <w:rPr>
          <w:rFonts w:ascii="arial" w:eastAsia="arial" w:hAnsi="arial" w:cs="arial"/>
          <w:color w:val="000000"/>
          <w:sz w:val="20"/>
          <w:lang w:val="en-US" w:eastAsia="en-US" w:bidi="ar-SA"/>
        </w:rPr>
        <w:t xml:space="preserve"> (S.C.C.). Although this comment was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Saskatchewan River Bungalows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it has been relied upon as authority for the factors to be considered in exercising this discretion. See </w:t>
      </w:r>
      <w:r>
        <w:rPr>
          <w:rFonts w:ascii="arial" w:eastAsia="arial" w:hAnsi="arial" w:cs="arial"/>
          <w:i/>
          <w:color w:val="000000"/>
          <w:sz w:val="20"/>
          <w:lang w:val="en-US" w:eastAsia="en-US" w:bidi="ar-SA"/>
        </w:rPr>
        <w:t>Lieber v. Canadian Group Underwriters Insurance Co.</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(2000), 18 C.C.L.I. (3d) 284</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This consideration of oppression is different than the consideration as to whether the default interest rate constituted a penalty because it was extravagant and unconscionable. Specifically, the determination of oppression is done after a consideration of the circumstances as of the time that the agreement was breached and following, whereas the determination of penalty is done after a consideration of the circumstances at the time that the agreement was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As far as the Respondents' conduct is concerned, prior to May 2000 the Respondents had breached the Agreements from time to time by failing to make all of the payments due. After May 2000, they have consistently breached the Agreements by failing to make any of the payments on the Agreements even though they have retained possession and use of the tour buses and minivan, chattels that the Respondents contend are worth $1.6 million. (There are now 4 rather 5 tour buses as one of the tour buses was reclaimed and sold over 2 years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Therefore, as far as the Respondents' conduct is concerned, for a protracted period of time they have consistently breached the Agreements by failing to pay any of the amounts owing on the Agreements and have made no apparent efforts to rectify these breaches by refinancing, even though they have had use of the chattels.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Consequently, upon considering the conduct of the Respondents, the gravity of the breaches, and the disparity between the value of the property and that damage caused by the breach, I was not satisfied that the Respondents had demonstrated that the imposition of the default interest rate constituted oppression. Given that conclusion, I decline to exercise my discretion and grant relief under s.24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MTK Auto West Ltd. v. Allen</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2003 BCSC 1613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MTK Auto West Ltd.</w:t>
      </w:r>
      <w:r>
        <w:rPr>
          <w:rFonts w:ascii="arial" w:eastAsia="arial" w:hAnsi="arial" w:cs="arial"/>
          <w:color w:val="000000"/>
          <w:sz w:val="20"/>
          <w:lang w:val="en-US" w:eastAsia="en-US" w:bidi="ar-SA"/>
        </w:rPr>
        <w:t>), Kirkpatrick J.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Where a party seeks relief from a penalty, the factors to be considered by the court include the conduct of the applicant, the gravity of the breach, and the disparity between the value of the property forfeited and the damage caused by the breach: </w:t>
      </w:r>
      <w:r>
        <w:rPr>
          <w:rFonts w:ascii="arial" w:eastAsia="arial" w:hAnsi="arial" w:cs="arial"/>
          <w:i/>
          <w:color w:val="000000"/>
          <w:sz w:val="20"/>
          <w:lang w:val="en-US" w:eastAsia="en-US" w:bidi="ar-SA"/>
        </w:rPr>
        <w:t>Shiloh Spinners Ltd. v. Harding</w:t>
      </w:r>
      <w:r>
        <w:rPr>
          <w:rFonts w:ascii="arial" w:eastAsia="arial" w:hAnsi="arial" w:cs="arial"/>
          <w:color w:val="000000"/>
          <w:sz w:val="20"/>
          <w:lang w:val="en-US" w:eastAsia="en-US" w:bidi="ar-SA"/>
        </w:rPr>
        <w:t>, [1973] A.C. 69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assessment of oppression was addressed in </w:t>
      </w:r>
      <w:r>
        <w:rPr>
          <w:rFonts w:ascii="arial" w:eastAsia="arial" w:hAnsi="arial" w:cs="arial"/>
          <w:i/>
          <w:color w:val="000000"/>
          <w:sz w:val="20"/>
          <w:lang w:val="en-US" w:eastAsia="en-US" w:bidi="ar-SA"/>
        </w:rPr>
        <w:t>Dimensional Investments Ltd. v. Canada</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[1968] S.C.R. 93</w:t>
        </w:r>
      </w:hyperlink>
      <w:r>
        <w:rPr>
          <w:rFonts w:ascii="arial" w:eastAsia="arial" w:hAnsi="arial" w:cs="arial"/>
          <w:color w:val="000000"/>
          <w:sz w:val="20"/>
          <w:lang w:val="en-US" w:eastAsia="en-US" w:bidi="ar-SA"/>
        </w:rPr>
        <w:t>, which sets out a broad framework in determining whether a penalty clause is or is not oppressive, or as Ritchie J. asks, whether it would be unconscionable for the party who claims the penalty amount to retain the money. Ritchie J. states at p. 101 that "the question of unconscionability must depend upon the circumstances of each case at the time when the clause is invoked" rather than on the agreement itself, which is the difference between the characterization of the clause as being a penalty in the first place versus its being oppressive.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A court should not strike down a penalty clause as being unconscionable lightly because it is a significant intrusion on freedom of contract. There must be clear evidence of oppression for the court to intrude (see </w:t>
      </w:r>
      <w:r>
        <w:rPr>
          <w:rFonts w:ascii="arial" w:eastAsia="arial" w:hAnsi="arial" w:cs="arial"/>
          <w:i/>
          <w:color w:val="000000"/>
          <w:sz w:val="20"/>
          <w:lang w:val="en-US" w:eastAsia="en-US" w:bidi="ar-SA"/>
        </w:rPr>
        <w:t>32262 B.C. Ltd. v. See-Rite Optical Ltd.</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[1998] A.J. No. 312</w:t>
        </w:r>
      </w:hyperlink>
      <w:r>
        <w:rPr>
          <w:rFonts w:ascii="arial" w:eastAsia="arial" w:hAnsi="arial" w:cs="arial"/>
          <w:color w:val="000000"/>
          <w:sz w:val="20"/>
          <w:lang w:val="en-US" w:eastAsia="en-US" w:bidi="ar-SA"/>
        </w:rPr>
        <w:t xml:space="preserve"> at para 13 (C.A.) (QL)).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factors that are relevant to the assessment of oppression in the case at bar include:</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parties are sophisticated clients (see </w:t>
      </w:r>
      <w:r>
        <w:rPr>
          <w:rFonts w:ascii="arial" w:eastAsia="arial" w:hAnsi="arial" w:cs="arial"/>
          <w:i/>
          <w:color w:val="000000"/>
          <w:sz w:val="20"/>
          <w:lang w:val="en-US" w:eastAsia="en-US" w:bidi="ar-SA"/>
        </w:rPr>
        <w:t>Edmonton (City) v. Triple Five Corp.</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(1994), 158 A.R. 293</w:t>
        </w:r>
      </w:hyperlink>
      <w:r>
        <w:rPr>
          <w:rFonts w:ascii="arial" w:eastAsia="arial" w:hAnsi="arial" w:cs="arial"/>
          <w:color w:val="000000"/>
          <w:sz w:val="20"/>
          <w:lang w:val="en-US" w:eastAsia="en-US" w:bidi="ar-SA"/>
        </w:rPr>
        <w:t xml:space="preserve"> at para 74 (Q.B.)).</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Allen knowingly breached the contract and in fact intended to do so before signing the contract (see </w:t>
      </w:r>
      <w:r>
        <w:rPr>
          <w:rFonts w:ascii="arial" w:eastAsia="arial" w:hAnsi="arial" w:cs="arial"/>
          <w:i/>
          <w:color w:val="000000"/>
          <w:sz w:val="20"/>
          <w:lang w:val="en-US" w:eastAsia="en-US" w:bidi="ar-SA"/>
        </w:rPr>
        <w:t>Vohra Enterprises Ltd. v. Creative Industrial Corp.</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(1988), 23 B.C.L.R. (2d) 394</w:t>
        </w:r>
      </w:hyperlink>
      <w:r>
        <w:rPr>
          <w:rFonts w:ascii="arial" w:eastAsia="arial" w:hAnsi="arial" w:cs="arial"/>
          <w:color w:val="000000"/>
          <w:sz w:val="20"/>
          <w:lang w:val="en-US" w:eastAsia="en-US" w:bidi="ar-SA"/>
        </w:rPr>
        <w:t xml:space="preserve"> at para 11-12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Although the swap agreement provides that the shares of two companies would be swapped, the real object of the transaction between the parties was the underlying properties: the hotel property and the Young Street property. For the hotel contract, the deposit was $50,000 on a $3 million purchase price, and for the Young Street contract, the total deposit was $100,000 on a $4.8 million purchase price. Both Mr. Badesha and Mr. Aujla told Mr. Banwait that they did not want to put down a larger deposit because all of their equity was in their respective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Since 1995 Mr. Banwait has generally been involved with the sales of farms and commercial buildings ranging in price from $600,000 to as high as $19 million. He testified that deposits on the sale of commercial buildings range in average from 10 to 15 percent, and in this case, the deposit should be calculated with regard to the purchase price of each property, and not to the difference in price between the two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Based on this evidence, a typical or average deposit on the hotel contract and the Young Street contract would be as follows:</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hotel purchase price $3,000,000 x 15% = $450,000 deposit</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Young Street purchase price $4,800,000 x 15% = $720,000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damages clause is therefore not penal in nature and the court should not interfere where the clause is clear, unequivocal, and the parties have agreed to it. Alternatively, if the clause is penal in nature, Mr. Aujla must establish on a balance of probabilities that he is entitled to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Liu v. Coal Harbour Properties Partnership</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2006 BCCA 385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Coal Harbour</w:t>
      </w:r>
      <w:r>
        <w:rPr>
          <w:rFonts w:ascii="arial" w:eastAsia="arial" w:hAnsi="arial" w:cs="arial"/>
          <w:color w:val="000000"/>
          <w:sz w:val="20"/>
          <w:lang w:val="en-US" w:eastAsia="en-US" w:bidi="ar-SA"/>
        </w:rPr>
        <w:t>), Mr. and Mrs. Liu appealed an order allowing the vendor to retain a total of $391,000 they had paid in three deposits towards two strata units to be built. The August 2001 agreement provided for the purchase price of the property at $1,955,000, and that the vendor could retain any deposit, unless all payments on account were made. Following a controversy over parking stalls, the Lius refused to complete in May 2003, the vendors accepted their repudiation and claimed the $391,000, or 20 percent of the purchase price. The vendors subsequently sold the property in February 2004 for $2,750,000, or $795,000 more than the original purchase price. The Lius argued that whether or not the clause was a penalty, it would be unconscionable for the vendors to retain deposit.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What must not be lost sight of here is that this is a case involving what is sometimes termed "earnest money", namely money paid as a deposit to ensure that the land sale transaction is adhered to by the purchaser.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purchaser there had put up a deposit equivalent to 10% of the purchase price of the property. ... The judge noted that 10% was half of the usual deposit required in the new construction luxury condominium market. That comment would seem to be consistent with the finding of Wilson J. in the instant case that the 20% deposit was not a penal sum at the time the parties contracted for the sale of the strata lots.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 I should think that deposit sums much in excess of 20% of the purchase price of a property would invite particular scrutiny by a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In the case of </w:t>
      </w:r>
      <w:r>
        <w:rPr>
          <w:rFonts w:ascii="arial" w:eastAsia="arial" w:hAnsi="arial" w:cs="arial"/>
          <w:i/>
          <w:color w:val="000000"/>
          <w:sz w:val="20"/>
          <w:lang w:val="en-US" w:eastAsia="en-US" w:bidi="ar-SA"/>
        </w:rPr>
        <w:t>Workers Trust &amp; Merchants Bank Ltd v. Dojap Investments Ltd</w:t>
      </w:r>
      <w:r>
        <w:rPr>
          <w:rFonts w:ascii="arial" w:eastAsia="arial" w:hAnsi="arial" w:cs="arial"/>
          <w:color w:val="000000"/>
          <w:sz w:val="20"/>
          <w:lang w:val="en-US" w:eastAsia="en-US" w:bidi="ar-SA"/>
        </w:rPr>
        <w:t>, [1993] A.C. 573, [1993] 2 All E.R. 370 (P.C.), the Privy Council granted relief from forfeiture in the case of a 25% deposit. There was, however, a finding in that case that the sum was not a true deposit because it exceeded the customary deposit in Jamaica of 10% for land transactions. Thus, it is not a case directly on point concerning a true deposit, the circumstance determined to exist in this case by Wilson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 of </w:t>
      </w:r>
      <w:r>
        <w:rPr>
          <w:rFonts w:ascii="arial" w:eastAsia="arial" w:hAnsi="arial" w:cs="arial"/>
          <w:i/>
          <w:color w:val="000000"/>
          <w:sz w:val="20"/>
          <w:lang w:val="en-US" w:eastAsia="en-US" w:bidi="ar-SA"/>
        </w:rPr>
        <w:t>Dojap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Workers Trust &amp; Merchants Bank Ltd. v. Dojap Investments Ltd.</w:t>
      </w:r>
      <w:r>
        <w:rPr>
          <w:rFonts w:ascii="arial" w:eastAsia="arial" w:hAnsi="arial" w:cs="arial"/>
          <w:color w:val="000000"/>
          <w:sz w:val="20"/>
          <w:lang w:val="en-US" w:eastAsia="en-US" w:bidi="ar-SA"/>
        </w:rPr>
        <w:t>, [1993] A.C. 573, [1993] 2 All E.R. 370 (P.C.)]: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general, a contractual provision which requires one party in the event of his breach of the contract to pay or forfeit a sum of money to the other party is unlawful as being a penalty, unless such provision can be justified as being a payment of liquidated damages, being a genuine pre-estimate of the loss which the innocent party will incur by reason of the breach. </w:t>
      </w:r>
      <w:r>
        <w:rPr>
          <w:rFonts w:ascii="arial" w:eastAsia="arial" w:hAnsi="arial" w:cs="arial"/>
          <w:color w:val="000000"/>
          <w:sz w:val="20"/>
          <w:u w:val="single"/>
          <w:lang w:val="en-US" w:eastAsia="en-US" w:bidi="ar-SA"/>
        </w:rPr>
        <w:t>One exception to this general rule is the provision for the payment of a deposit by the purchaser on a contract for the sale of land. Ancient law has established that the forfeiture of such a deposit (customarily 10% of the contract price) does not fall within the general rule and can be validly forfeited even though the amount of the deposit bears no reference to the anticipated loss to the vendor flowing from the breach of contract</w:t>
      </w:r>
      <w:r>
        <w:rPr>
          <w:rFonts w:ascii="arial" w:eastAsia="arial" w:hAnsi="arial" w:cs="arial"/>
          <w:color w:val="000000"/>
          <w:sz w:val="20"/>
          <w:lang w:val="en-US" w:eastAsia="en-US" w:bidi="ar-SA"/>
        </w:rPr>
        <w:t xml:space="preserve">. [Emphasis in </w:t>
      </w:r>
      <w:r>
        <w:rPr>
          <w:rFonts w:ascii="arial" w:eastAsia="arial" w:hAnsi="arial" w:cs="arial"/>
          <w:i/>
          <w:color w:val="000000"/>
          <w:sz w:val="20"/>
          <w:lang w:val="en-US" w:eastAsia="en-US" w:bidi="ar-SA"/>
        </w:rPr>
        <w:t>Coal Harbour.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In looking at the issue of unconscionability, the conduct of a vendor must be considered. ... It was the purchasers who, for their own reasons, refused to close the transaction. Their conduct was deliberate and considered and they took their decision after access to appropriate professional advice. It is not easy to perceive on what basis they ought to be able to invoke equity as a shield against the forfeiture of the sum paid as a deposit at the inception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Hinkson Holdings Ltd. v. Silver Sea Developments Limited Partnership</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2007 BCCA 408</w:t>
        </w:r>
      </w:hyperlink>
      <w:r>
        <w:rPr>
          <w:rFonts w:ascii="arial" w:eastAsia="arial" w:hAnsi="arial" w:cs="arial"/>
          <w:color w:val="000000"/>
          <w:sz w:val="20"/>
          <w:lang w:val="en-US" w:eastAsia="en-US" w:bidi="ar-SA"/>
        </w:rPr>
        <w:t>, the parties entered into a real estate transaction for the purchase of a strata lot in a proposed condominium building for $1,255,000. The purchaser paid an initial deposit of $62,750 (5 percent of the purchase price) and was required to pay two additional deposits of $125,500 each (10 percent of the purchase price) by certain dates. The purchase failed to provide the two additional deposits on time, or in the proper amount. The agreement provided that in the event of default, the vendor could retain the deposit as liquidated damages. The vendors terminated the agreement, and sought to forfeit the $188,250 paid. The Court of Appeal declined to provide relief from forfeiture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any event, I am unable to see anything unconscionable about the deposit being forfeited to the vendor given the conduct of the purchaser throughout. The purchaser was the author of its misfortune. Mr. Hinkson entered into an agreement, assigned to his company, that he was either unable or unwilling to have performed as required. After the initial deposit was made, the purchaser did not make any payment by the date set under the agreement or as extended by the vendor. The purchaser was given repeated opportunities to meet its obligations as the vendor sought to accommodate it, but all was to no avail. For whatever reason, the purchaser failed to make the payments required at every turn over a period of many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purchaser sought to preserve the deposit and the agreement for the sale of the strata lot by alleging a collateral agreement that was completely rejected by the judge. The deposit is being forfeited because, in the absence of a collateral agreement to the contrary, the vendor was entitled to cancel the agreement when it did. There is, in my view, nothing unconscionable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Aujla is not entitled to equitable relief from the $500,000 clause. He was eager, if not desperate to sell the hotel. He misrepresented that the hotel was a Howard Johnson hotel and that there was a Howard Johnson franchise. He insisted that Mr. Banwait include the damages clause on both contracts which were dependent on each other so that Mr. Badesha could not back out without having to pay $500,000 on each contract, or a total of $1 million. He failed to pay the second $50,000 deposit on the Young Street contract, he failed to deliver the Howard Johnson franchise, he failed to repair the damaged rooms, he failed to restore power to the buildings, and he gave scripted and fabricated evidence in court in an attempt to escape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swap agreement was not unconscionable. </w:t>
      </w:r>
      <w:r>
        <w:rPr>
          <w:rFonts w:ascii="arial" w:eastAsia="arial" w:hAnsi="arial" w:cs="arial"/>
          <w:i/>
          <w:color w:val="000000"/>
          <w:sz w:val="20"/>
          <w:lang w:val="en-US" w:eastAsia="en-US" w:bidi="ar-SA"/>
        </w:rPr>
        <w:t>Ekstein v. Jones</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[2005] O.J. No. 3497</w:t>
        </w:r>
      </w:hyperlink>
      <w:r>
        <w:rPr>
          <w:rFonts w:ascii="arial" w:eastAsia="arial" w:hAnsi="arial" w:cs="arial"/>
          <w:color w:val="000000"/>
          <w:sz w:val="20"/>
          <w:lang w:val="en-US" w:eastAsia="en-US" w:bidi="ar-SA"/>
        </w:rPr>
        <w:t>, deals with what is required in order to establish unconscionability and inequality of bargaining power: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caselaw on what must be shown to establish that a transaction is unconscionable is reviewed in </w:t>
      </w:r>
      <w:r>
        <w:rPr>
          <w:rFonts w:ascii="arial" w:eastAsia="arial" w:hAnsi="arial" w:cs="arial"/>
          <w:i/>
          <w:color w:val="000000"/>
          <w:sz w:val="20"/>
          <w:lang w:val="en-US" w:eastAsia="en-US" w:bidi="ar-SA"/>
        </w:rPr>
        <w:t>Murray v. TDL Group Ltd.</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[2002] O.J. No. 5095</w:t>
        </w:r>
      </w:hyperlink>
      <w:r>
        <w:rPr>
          <w:rFonts w:ascii="arial" w:eastAsia="arial" w:hAnsi="arial" w:cs="arial"/>
          <w:color w:val="000000"/>
          <w:sz w:val="20"/>
          <w:lang w:val="en-US" w:eastAsia="en-US" w:bidi="ar-SA"/>
        </w:rPr>
        <w:t xml:space="preserve"> (Fedak J.) at para. 42ff. I shall refer to the principles by reference to that case which lists the authorities.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It is clear that one must show more than that the transaction was improvident or that the consideration was grossly inadequate: </w:t>
      </w: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xml:space="preserve"> at para. 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In order to establish unconscionability one must show two things:</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terms are very unfair or that the consideration is grossly inadequate.</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an inequality of bargaining power between the parties and that one of the parties has taken undue advantage of this.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xml:space="preserve"> para. 42; </w:t>
      </w:r>
      <w:r>
        <w:rPr>
          <w:rFonts w:ascii="arial" w:eastAsia="arial" w:hAnsi="arial" w:cs="arial"/>
          <w:i/>
          <w:color w:val="000000"/>
          <w:sz w:val="20"/>
          <w:lang w:val="en-US" w:eastAsia="en-US" w:bidi="ar-SA"/>
        </w:rPr>
        <w:t>Black v. Wilcox</w:t>
      </w:r>
      <w:r>
        <w:rPr>
          <w:rFonts w:ascii="arial" w:eastAsia="arial" w:hAnsi="arial" w:cs="arial"/>
          <w:color w:val="000000"/>
          <w:sz w:val="20"/>
          <w:lang w:val="en-US" w:eastAsia="en-US" w:bidi="ar-SA"/>
        </w:rPr>
        <w:t xml:space="preserve"> (1977) [</w:t>
      </w:r>
      <w:hyperlink r:id="rId680" w:history="1">
        <w:r>
          <w:rPr>
            <w:rFonts w:ascii="arial" w:eastAsia="arial" w:hAnsi="arial" w:cs="arial"/>
            <w:i/>
            <w:color w:val="0077CC"/>
            <w:sz w:val="20"/>
            <w:u w:val="single"/>
            <w:shd w:val="clear" w:color="auto" w:fill="FFFFFF"/>
            <w:lang w:val="en-US" w:eastAsia="en-US" w:bidi="ar-SA"/>
          </w:rPr>
          <w:t>1976 CanLII 555</w:t>
        </w:r>
      </w:hyperlink>
      <w:r>
        <w:rPr>
          <w:rFonts w:ascii="arial" w:eastAsia="arial" w:hAnsi="arial" w:cs="arial"/>
          <w:color w:val="000000"/>
          <w:sz w:val="20"/>
          <w:lang w:val="en-US" w:eastAsia="en-US" w:bidi="ar-SA"/>
        </w:rPr>
        <w:t xml:space="preserve"> (ON CA)], </w:t>
      </w:r>
      <w:hyperlink r:id="rId680" w:history="1">
        <w:r>
          <w:rPr>
            <w:rFonts w:ascii="arial" w:eastAsia="arial" w:hAnsi="arial" w:cs="arial"/>
            <w:i/>
            <w:color w:val="0077CC"/>
            <w:sz w:val="20"/>
            <w:u w:val="single"/>
            <w:shd w:val="clear" w:color="auto" w:fill="FFFFFF"/>
            <w:lang w:val="en-US" w:eastAsia="en-US" w:bidi="ar-SA"/>
          </w:rPr>
          <w:t>12 O.R. (2d) 759</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Inequality of bargaining power in this context is not established simply by showing that one party is more sophisticated or more affluent than the other. It must be shown that the weaker party's ability to bargain is impaired to the extent that he or she is "not a free agent and is not equal to protecting himself": </w:t>
      </w:r>
      <w:r>
        <w:rPr>
          <w:rFonts w:ascii="arial" w:eastAsia="arial" w:hAnsi="arial" w:cs="arial"/>
          <w:i/>
          <w:color w:val="000000"/>
          <w:sz w:val="20"/>
          <w:lang w:val="en-US" w:eastAsia="en-US" w:bidi="ar-SA"/>
        </w:rPr>
        <w:t>Mundinger v. Mundinger</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[1969] 1 O.R. 606</w:t>
        </w:r>
      </w:hyperlink>
      <w:r>
        <w:rPr>
          <w:rFonts w:ascii="arial" w:eastAsia="arial" w:hAnsi="arial" w:cs="arial"/>
          <w:color w:val="000000"/>
          <w:sz w:val="20"/>
          <w:lang w:val="en-US" w:eastAsia="en-US" w:bidi="ar-SA"/>
        </w:rPr>
        <w:t xml:space="preserve"> at p. 609. Another way of putting this is to say that the vulnerable party was not in a position to exercise a "free will and valid consent": </w:t>
      </w:r>
      <w:r>
        <w:rPr>
          <w:rFonts w:ascii="arial" w:eastAsia="arial" w:hAnsi="arial" w:cs="arial"/>
          <w:i/>
          <w:color w:val="000000"/>
          <w:sz w:val="20"/>
          <w:lang w:val="en-US" w:eastAsia="en-US" w:bidi="ar-SA"/>
        </w:rPr>
        <w:t>Ontario (Attorney General) v. Barfield Enterprises Ltd.</w:t>
      </w:r>
      <w:r>
        <w:rPr>
          <w:rFonts w:ascii="arial" w:eastAsia="arial" w:hAnsi="arial" w:cs="arial"/>
          <w:color w:val="000000"/>
          <w:sz w:val="20"/>
          <w:lang w:val="en-US" w:eastAsia="en-US" w:bidi="ar-SA"/>
        </w:rPr>
        <w:t>,[1963] S.C.R. 570 op. cit.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The following factors have been identified as showing an inequality of bargaining power:</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distress, recklessness, want of care, intoxication: </w:t>
      </w:r>
      <w:r>
        <w:rPr>
          <w:rFonts w:ascii="arial" w:eastAsia="arial" w:hAnsi="arial" w:cs="arial"/>
          <w:i/>
          <w:color w:val="000000"/>
          <w:sz w:val="20"/>
          <w:lang w:val="en-US" w:eastAsia="en-US" w:bidi="ar-SA"/>
        </w:rPr>
        <w:t>Black v. Wilcox</w:t>
      </w:r>
      <w:r>
        <w:rPr>
          <w:rFonts w:ascii="arial" w:eastAsia="arial" w:hAnsi="arial" w:cs="arial"/>
          <w:color w:val="000000"/>
          <w:sz w:val="20"/>
          <w:lang w:val="en-US" w:eastAsia="en-US" w:bidi="ar-SA"/>
        </w:rPr>
        <w:t>.</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Ignorance: </w:t>
      </w: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para. 37.</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Lack of independent legal advice, infirmity and where a party's bargaining power is "grievously impaired by reason of his own needs and desires": </w:t>
      </w: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xml:space="preserve"> at para. 38.</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Lack of skill in the borrowing of money: </w:t>
      </w:r>
      <w:r>
        <w:rPr>
          <w:rFonts w:ascii="arial" w:eastAsia="arial" w:hAnsi="arial" w:cs="arial"/>
          <w:i/>
          <w:color w:val="000000"/>
          <w:sz w:val="20"/>
          <w:lang w:val="en-US" w:eastAsia="en-US" w:bidi="ar-SA"/>
        </w:rPr>
        <w:t>Milani</w:t>
      </w:r>
      <w:r>
        <w:rPr>
          <w:rFonts w:ascii="arial" w:eastAsia="arial" w:hAnsi="arial" w:cs="arial"/>
          <w:color w:val="000000"/>
          <w:sz w:val="20"/>
          <w:lang w:val="en-US" w:eastAsia="en-US" w:bidi="ar-SA"/>
        </w:rPr>
        <w: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Harry v Kreutziger</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[1978] B.C.J. No. 1318</w:t>
        </w:r>
      </w:hyperlink>
      <w:r>
        <w:rPr>
          <w:rFonts w:ascii="arial" w:eastAsia="arial" w:hAnsi="arial" w:cs="arial"/>
          <w:color w:val="000000"/>
          <w:sz w:val="20"/>
          <w:lang w:val="en-US" w:eastAsia="en-US" w:bidi="ar-SA"/>
        </w:rPr>
        <w:t>, McIntyre J.A. considered the principles on which courts in British Columbia will interfere with an agreement on the ground that it is unconscionable: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principles upon which a Court will interfere with a concluded transaction and nullify it upon the ground that it is unconscionable have found frequent expression. An early Canadian case is </w:t>
      </w:r>
      <w:r>
        <w:rPr>
          <w:rFonts w:ascii="arial" w:eastAsia="arial" w:hAnsi="arial" w:cs="arial"/>
          <w:i/>
          <w:color w:val="000000"/>
          <w:sz w:val="20"/>
          <w:lang w:val="en-US" w:eastAsia="en-US" w:bidi="ar-SA"/>
        </w:rPr>
        <w:t>Waters v. Donnelly</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(1884), 9 O.R. 391</w:t>
        </w:r>
      </w:hyperlink>
      <w:r>
        <w:rPr>
          <w:rFonts w:ascii="arial" w:eastAsia="arial" w:hAnsi="arial" w:cs="arial"/>
          <w:color w:val="000000"/>
          <w:sz w:val="20"/>
          <w:lang w:val="en-US" w:eastAsia="en-US" w:bidi="ar-SA"/>
        </w:rPr>
        <w:t xml:space="preserve">. The leading pronouncement on the subject in British Columbia is to be found in </w:t>
      </w:r>
      <w:r>
        <w:rPr>
          <w:rFonts w:ascii="arial" w:eastAsia="arial" w:hAnsi="arial" w:cs="arial"/>
          <w:i/>
          <w:color w:val="000000"/>
          <w:sz w:val="20"/>
          <w:lang w:val="en-US" w:eastAsia="en-US" w:bidi="ar-SA"/>
        </w:rPr>
        <w:t>Morrison v. Coast Finance Ltd. et al.</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(1965), 55 D.L.R. (2d) 710</w:t>
        </w:r>
      </w:hyperlink>
      <w:r>
        <w:rPr>
          <w:rFonts w:ascii="arial" w:eastAsia="arial" w:hAnsi="arial" w:cs="arial"/>
          <w:color w:val="000000"/>
          <w:sz w:val="20"/>
          <w:lang w:val="en-US" w:eastAsia="en-US" w:bidi="ar-SA"/>
        </w:rPr>
        <w:t xml:space="preserve"> at p. 713, </w:t>
      </w:r>
      <w:hyperlink r:id="rId684" w:history="1">
        <w:r>
          <w:rPr>
            <w:rFonts w:ascii="arial" w:eastAsia="arial" w:hAnsi="arial" w:cs="arial"/>
            <w:i/>
            <w:color w:val="0077CC"/>
            <w:sz w:val="20"/>
            <w:u w:val="single"/>
            <w:shd w:val="clear" w:color="auto" w:fill="FFFFFF"/>
            <w:lang w:val="en-US" w:eastAsia="en-US" w:bidi="ar-SA"/>
          </w:rPr>
          <w:t>54 W.W.R. 257</w:t>
        </w:r>
      </w:hyperlink>
      <w:r>
        <w:rPr>
          <w:rFonts w:ascii="arial" w:eastAsia="arial" w:hAnsi="arial" w:cs="arial"/>
          <w:color w:val="000000"/>
          <w:sz w:val="20"/>
          <w:lang w:val="en-US" w:eastAsia="en-US" w:bidi="ar-SA"/>
        </w:rPr>
        <w:t xml:space="preserve"> at p. 259, where Davey, J.A., speaking for himself and Bull, J.A.,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equitable principles relating to undue influence and relief against unconscionable bargains are closely related, but the doctrines are separate and distinct. The finding here against undue influence does not conclude the question whether the appellant is entitled to relief against an unconscionable transaction. A plea of undue influence attacks the sufficiency of consent; a plea that a bargain is unconscionable invokes relief against an unfair advantage gained by an unconscientious use of power by a stronger party against a weaker. On such a claim the material ingredients are proof of inequality in the position of the parties arising out of the ignorance, need or distress of the weaker, which left him in the power of the stronger, and proof of substantial unfairness of the bargain obtained by the stronger. On proof of those circumstances, it creates a presumption of fraud which the stronger must repel by proving that the bargain was fair, just and reasonable: </w:t>
      </w:r>
      <w:r>
        <w:rPr>
          <w:rFonts w:ascii="arial" w:eastAsia="arial" w:hAnsi="arial" w:cs="arial"/>
          <w:i/>
          <w:color w:val="000000"/>
          <w:sz w:val="20"/>
          <w:lang w:val="en-US" w:eastAsia="en-US" w:bidi="ar-SA"/>
        </w:rPr>
        <w:t>Earl of Aylesford v. Morris</w:t>
      </w:r>
      <w:r>
        <w:rPr>
          <w:rFonts w:ascii="arial" w:eastAsia="arial" w:hAnsi="arial" w:cs="arial"/>
          <w:color w:val="000000"/>
          <w:sz w:val="20"/>
          <w:lang w:val="en-US" w:eastAsia="en-US" w:bidi="ar-SA"/>
        </w:rPr>
        <w:t xml:space="preserve"> (1873), L.R. 8 Ch. 484,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Selborne, L.C., at p. 491; or perhaps by showing that no advantage was taken: see </w:t>
      </w:r>
      <w:r>
        <w:rPr>
          <w:rFonts w:ascii="arial" w:eastAsia="arial" w:hAnsi="arial" w:cs="arial"/>
          <w:i/>
          <w:color w:val="000000"/>
          <w:sz w:val="20"/>
          <w:lang w:val="en-US" w:eastAsia="en-US" w:bidi="ar-SA"/>
        </w:rPr>
        <w:t>Harrison v. Guest</w:t>
      </w:r>
      <w:r>
        <w:rPr>
          <w:rFonts w:ascii="arial" w:eastAsia="arial" w:hAnsi="arial" w:cs="arial"/>
          <w:color w:val="000000"/>
          <w:sz w:val="20"/>
          <w:lang w:val="en-US" w:eastAsia="en-US" w:bidi="ar-SA"/>
        </w:rPr>
        <w:t xml:space="preserve"> (1855), 6 De G.M. &amp; G. 424 at p. 438, 43 E.R. 1298; affirmed (1860), 8 H.L.C. 481 at pp. 492-3, 11 E.R. 517. In </w:t>
      </w:r>
      <w:r>
        <w:rPr>
          <w:rFonts w:ascii="arial" w:eastAsia="arial" w:hAnsi="arial" w:cs="arial"/>
          <w:i/>
          <w:color w:val="000000"/>
          <w:sz w:val="20"/>
          <w:lang w:val="en-US" w:eastAsia="en-US" w:bidi="ar-SA"/>
        </w:rPr>
        <w:t>Fry v. Lane</w:t>
      </w:r>
      <w:r>
        <w:rPr>
          <w:rFonts w:ascii="arial" w:eastAsia="arial" w:hAnsi="arial" w:cs="arial"/>
          <w:color w:val="000000"/>
          <w:sz w:val="20"/>
          <w:lang w:val="en-US" w:eastAsia="en-US" w:bidi="ar-SA"/>
        </w:rPr>
        <w:t xml:space="preserve"> (1888), 40 Ch. D. 312, Kay, J., accurately stated the modern scope and application of the principle, and discussed the earlier authorities upon which it rests. At p. 322 he said: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result of the decisions is that where a purchase is made from a poor and ignorant man at a considerable undervalue, the vendor having no independent advice, a Court of Equity will set aside the transaction.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will be done even in the case of property in possession, and </w:t>
      </w:r>
      <w:r>
        <w:rPr>
          <w:rFonts w:ascii="arial" w:eastAsia="arial" w:hAnsi="arial" w:cs="arial"/>
          <w:i/>
          <w:color w:val="000000"/>
          <w:sz w:val="20"/>
          <w:lang w:val="en-US" w:eastAsia="en-US" w:bidi="ar-SA"/>
        </w:rPr>
        <w:t>à fortiori</w:t>
      </w:r>
      <w:r>
        <w:rPr>
          <w:rFonts w:ascii="arial" w:eastAsia="arial" w:hAnsi="arial" w:cs="arial"/>
          <w:color w:val="000000"/>
          <w:sz w:val="20"/>
          <w:lang w:val="en-US" w:eastAsia="en-US" w:bidi="ar-SA"/>
        </w:rPr>
        <w:t xml:space="preserve"> if the interest is reversionary.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poverty and ignorance of the vendor, and absence of independent advice, throw upon the purchaser, when the transaction is impeached, the onus of proving, in Lord Selborne's words, that the purchase was 'fair, just, and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This case has been followed in such cases as </w:t>
      </w:r>
      <w:r>
        <w:rPr>
          <w:rFonts w:ascii="arial" w:eastAsia="arial" w:hAnsi="arial" w:cs="arial"/>
          <w:i/>
          <w:color w:val="000000"/>
          <w:sz w:val="20"/>
          <w:lang w:val="en-US" w:eastAsia="en-US" w:bidi="ar-SA"/>
        </w:rPr>
        <w:t>Knupp v. Bell et al.</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(1966), 58 D.L.R. (2d) 466</w:t>
        </w:r>
      </w:hyperlink>
      <w:r>
        <w:rPr>
          <w:rFonts w:ascii="arial" w:eastAsia="arial" w:hAnsi="arial" w:cs="arial"/>
          <w:color w:val="000000"/>
          <w:sz w:val="20"/>
          <w:lang w:val="en-US" w:eastAsia="en-US" w:bidi="ar-SA"/>
        </w:rPr>
        <w:t xml:space="preserve"> [affd </w:t>
      </w:r>
      <w:hyperlink r:id="rId686" w:history="1">
        <w:r>
          <w:rPr>
            <w:rFonts w:ascii="arial" w:eastAsia="arial" w:hAnsi="arial" w:cs="arial"/>
            <w:i/>
            <w:color w:val="0077CC"/>
            <w:sz w:val="20"/>
            <w:u w:val="single"/>
            <w:shd w:val="clear" w:color="auto" w:fill="FFFFFF"/>
            <w:lang w:val="en-US" w:eastAsia="en-US" w:bidi="ar-SA"/>
          </w:rPr>
          <w:t>67 D.L.R. (2d) 256</w:t>
        </w:r>
      </w:hyperlink>
      <w:r>
        <w:rPr>
          <w:rFonts w:ascii="arial" w:eastAsia="arial" w:hAnsi="arial" w:cs="arial"/>
          <w:color w:val="000000"/>
          <w:sz w:val="20"/>
          <w:lang w:val="en-US" w:eastAsia="en-US" w:bidi="ar-SA"/>
        </w:rPr>
        <w:t xml:space="preserve"> (Sask. C.A.)], and </w:t>
      </w:r>
      <w:r>
        <w:rPr>
          <w:rFonts w:ascii="arial" w:eastAsia="arial" w:hAnsi="arial" w:cs="arial"/>
          <w:i/>
          <w:color w:val="000000"/>
          <w:sz w:val="20"/>
          <w:lang w:val="en-US" w:eastAsia="en-US" w:bidi="ar-SA"/>
        </w:rPr>
        <w:t>Marshall v. Canada Permanent Trust Co.</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(1968), 69 D.L.R. (2d) 260</w:t>
        </w:r>
      </w:hyperlink>
      <w:r>
        <w:rPr>
          <w:rFonts w:ascii="arial" w:eastAsia="arial" w:hAnsi="arial" w:cs="arial"/>
          <w:color w:val="000000"/>
          <w:sz w:val="20"/>
          <w:lang w:val="en-US" w:eastAsia="en-US" w:bidi="ar-SA"/>
        </w:rPr>
        <w:t xml:space="preserve">, and it was cited with approval by Lord Denning, M.R., in </w:t>
      </w:r>
      <w:r>
        <w:rPr>
          <w:rFonts w:ascii="arial" w:eastAsia="arial" w:hAnsi="arial" w:cs="arial"/>
          <w:i/>
          <w:color w:val="000000"/>
          <w:sz w:val="20"/>
          <w:lang w:val="en-US" w:eastAsia="en-US" w:bidi="ar-SA"/>
        </w:rPr>
        <w:t>Lloyd's Bank Ltd. v. Bundy</w:t>
      </w:r>
      <w:r>
        <w:rPr>
          <w:rFonts w:ascii="arial" w:eastAsia="arial" w:hAnsi="arial" w:cs="arial"/>
          <w:color w:val="000000"/>
          <w:sz w:val="20"/>
          <w:lang w:val="en-US" w:eastAsia="en-US" w:bidi="ar-SA"/>
        </w:rPr>
        <w:t>, [1974] 3 All E.R. 757 at p. 764, which case discusses the applicable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From these authorities this rule emerges. Where a claim is made that a bargain is unconscionable, it must be shown for success that there was inequality in the position of the parties due to the ignorance, need or distress of the weaker, which would leave him in the power of the stronger, coupled with proof of substantial unfairness in the bargain. When this has been shown a presumption of fraud is raised and the stronger must show, in order to preserve his bargain, that it was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Dyck v. Manitoba Snowmobile Association</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[1985] 1 S.C.R. 589</w:t>
        </w:r>
      </w:hyperlink>
      <w:r>
        <w:rPr>
          <w:rFonts w:ascii="arial" w:eastAsia="arial" w:hAnsi="arial" w:cs="arial"/>
          <w:color w:val="000000"/>
          <w:sz w:val="20"/>
          <w:lang w:val="en-US" w:eastAsia="en-US" w:bidi="ar-SA"/>
        </w:rPr>
        <w:t xml:space="preserve">, plaintiff appellant was seriously injured in a snowmobile race. He had signed documents releasing the Association from all liability,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Supreme Court of Canada upheld the dismissal of his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stated at 593 that the relationship between the plaintiff and the Association did not fall within the class of cases, "...where the differences between the bargaining strength of the parties is such that the courts will hold a transaction unconscionable and so unenforceable where the stronger party has taken unfair advantage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This is not a case where Mr. Badesha is the stronger party who has taken unfair advantage of Mr. Aujla. Rather, Mr. Badesha and Mr. Aujla have similar sophistication in business matters, and they have equal bargaining power. Mr. Aujla saw at least two lawyers, Mr. Buckley and Mr. Singh, but still instructed Mr. Singh to complete the swap agreement. Mr. Aujla sought to include the $500,000 damages clause in both the hotel contract and the Young Street contract, he sought to enforce the damages clause, and he is not entitled to equitable relief.</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$500,000 clause is not a genuine pre-estimate of damages but a penalty clause. A summary of the applicable law is set out in </w:t>
      </w:r>
      <w:r>
        <w:rPr>
          <w:rFonts w:ascii="arial" w:eastAsia="arial" w:hAnsi="arial" w:cs="arial"/>
          <w:i/>
          <w:color w:val="000000"/>
          <w:sz w:val="20"/>
          <w:lang w:val="en-US" w:eastAsia="en-US" w:bidi="ar-SA"/>
        </w:rPr>
        <w:t>MTK Auto West Ltd.</w:t>
      </w:r>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law in this area is well-settled. Lord Dunedin, in </w:t>
      </w:r>
      <w:r>
        <w:rPr>
          <w:rFonts w:ascii="arial" w:eastAsia="arial" w:hAnsi="arial" w:cs="arial"/>
          <w:i/>
          <w:color w:val="000000"/>
          <w:sz w:val="20"/>
          <w:lang w:val="en-US" w:eastAsia="en-US" w:bidi="ar-SA"/>
        </w:rPr>
        <w:t>Dunlop Pneumatic Tyre Co. Ltd. v. New Garage and Motor Co. Ltd.</w:t>
      </w:r>
      <w:r>
        <w:rPr>
          <w:rFonts w:ascii="arial" w:eastAsia="arial" w:hAnsi="arial" w:cs="arial"/>
          <w:color w:val="000000"/>
          <w:sz w:val="20"/>
          <w:lang w:val="en-US" w:eastAsia="en-US" w:bidi="ar-SA"/>
        </w:rPr>
        <w:t xml:space="preserve">, [1915] A.C. 79 (H.L.), which was accepted in Canada in </w:t>
      </w:r>
      <w:r>
        <w:rPr>
          <w:rFonts w:ascii="arial" w:eastAsia="arial" w:hAnsi="arial" w:cs="arial"/>
          <w:i/>
          <w:color w:val="000000"/>
          <w:sz w:val="20"/>
          <w:lang w:val="en-US" w:eastAsia="en-US" w:bidi="ar-SA"/>
        </w:rPr>
        <w:t>H.F. Clarke Ltd. v. Thermidaire Corp. Ltd.</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[1976] 1 S.C.R. 319</w:t>
        </w:r>
      </w:hyperlink>
      <w:r>
        <w:rPr>
          <w:rFonts w:ascii="arial" w:eastAsia="arial" w:hAnsi="arial" w:cs="arial"/>
          <w:color w:val="000000"/>
          <w:sz w:val="20"/>
          <w:lang w:val="en-US" w:eastAsia="en-US" w:bidi="ar-SA"/>
        </w:rPr>
        <w:t>, states at p. 86-88: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view of that fact, and of the number of authorities available, I do not think it advisable to attempt any detailed review of the various cases, but I shall content myself with stating succinctly the various propositions which I think are deducible from the decisions which rank as authoritative:-</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Though the parties to a contract who use the words "penalty" or "liquidated damages" may prima facie be supposed to mean what they say, yet the expression used is not conclusive. The Court must find out whether the payment stipulated is in truth a penalty or liquidated damages. This doctrine may be said to be found passim in nearly every case.</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essence of a penalty is a payment of money stipulated as in terrorem of the offending party; the essence of liquidated damages is a genuine covenanted pre-estimate of damage (</w:t>
      </w:r>
      <w:r>
        <w:rPr>
          <w:rFonts w:ascii="arial" w:eastAsia="arial" w:hAnsi="arial" w:cs="arial"/>
          <w:i/>
          <w:color w:val="000000"/>
          <w:sz w:val="20"/>
          <w:lang w:val="en-US" w:eastAsia="en-US" w:bidi="ar-SA"/>
        </w:rPr>
        <w:t>Clydebank Engineering and Shipbuilding Co. v. Don Jose Ramos Yzquierdo y Castaneda</w:t>
      </w:r>
      <w:r>
        <w:rPr>
          <w:rFonts w:ascii="arial" w:eastAsia="arial" w:hAnsi="arial" w:cs="arial"/>
          <w:color w:val="000000"/>
          <w:sz w:val="20"/>
          <w:lang w:val="en-US" w:eastAsia="en-US" w:bidi="ar-SA"/>
        </w:rPr>
        <w:t>, [1905] A.C. 6).</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whether a sum stipulated is penalty or liquidated damages is a question of construction to be decided upon the terms and inherent circumstances of each particular contract, judged of as at the time of the making of the contract, not as at the time of the breach (</w:t>
      </w:r>
      <w:r>
        <w:rPr>
          <w:rFonts w:ascii="arial" w:eastAsia="arial" w:hAnsi="arial" w:cs="arial"/>
          <w:i/>
          <w:color w:val="000000"/>
          <w:sz w:val="20"/>
          <w:lang w:val="en-US" w:eastAsia="en-US" w:bidi="ar-SA"/>
        </w:rPr>
        <w:t>Public Works Commissioner v. Hills</w:t>
      </w:r>
      <w:r>
        <w:rPr>
          <w:rFonts w:ascii="arial" w:eastAsia="arial" w:hAnsi="arial" w:cs="arial"/>
          <w:color w:val="000000"/>
          <w:sz w:val="20"/>
          <w:lang w:val="en-US" w:eastAsia="en-US" w:bidi="ar-SA"/>
        </w:rPr>
        <w:t xml:space="preserve">, [1906] A.C. 368, and </w:t>
      </w:r>
      <w:r>
        <w:rPr>
          <w:rFonts w:ascii="arial" w:eastAsia="arial" w:hAnsi="arial" w:cs="arial"/>
          <w:i/>
          <w:color w:val="000000"/>
          <w:sz w:val="20"/>
          <w:lang w:val="en-US" w:eastAsia="en-US" w:bidi="ar-SA"/>
        </w:rPr>
        <w:t>Webster v. Bosanquet</w:t>
      </w:r>
      <w:r>
        <w:rPr>
          <w:rFonts w:ascii="arial" w:eastAsia="arial" w:hAnsi="arial" w:cs="arial"/>
          <w:color w:val="000000"/>
          <w:sz w:val="20"/>
          <w:lang w:val="en-US" w:eastAsia="en-US" w:bidi="ar-SA"/>
        </w:rPr>
        <w:t>, [1912] A.C. 394).</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assist this task of construction various tests have been suggested, which if applicable to the case under consideration may prove helpful, or even conclusive. Such 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It will be held to be penalty if the sum stipulated for is extravagant and unconscionable in amount in comparison with the greatest loss that could conceivably be proved to have followed from the breach. (Illustration given by Lord Halsbury in </w:t>
      </w:r>
      <w:r>
        <w:rPr>
          <w:rFonts w:ascii="arial" w:eastAsia="arial" w:hAnsi="arial" w:cs="arial"/>
          <w:i/>
          <w:color w:val="000000"/>
          <w:sz w:val="20"/>
          <w:lang w:val="en-US" w:eastAsia="en-US" w:bidi="ar-SA"/>
        </w:rPr>
        <w:t>Clydebank Case</w:t>
      </w:r>
      <w:r>
        <w:rPr>
          <w:rFonts w:ascii="arial" w:eastAsia="arial" w:hAnsi="arial" w:cs="arial"/>
          <w:color w:val="000000"/>
          <w:sz w:val="20"/>
          <w:lang w:val="en-US" w:eastAsia="en-US" w:bidi="ar-SA"/>
        </w:rPr>
        <w:t>, [1905] A.C. 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It will be held to be a penalty if the breach consists only in not paying a sum of money, and the sum stipulated is a sum greater than the sum which ought to have been paid (</w:t>
      </w:r>
      <w:r>
        <w:rPr>
          <w:rFonts w:ascii="arial" w:eastAsia="arial" w:hAnsi="arial" w:cs="arial"/>
          <w:i/>
          <w:color w:val="000000"/>
          <w:sz w:val="20"/>
          <w:lang w:val="en-US" w:eastAsia="en-US" w:bidi="ar-SA"/>
        </w:rPr>
        <w:t>Kemble v. Farren</w:t>
      </w:r>
      <w:r>
        <w:rPr>
          <w:rFonts w:ascii="arial" w:eastAsia="arial" w:hAnsi="arial" w:cs="arial"/>
          <w:color w:val="000000"/>
          <w:sz w:val="20"/>
          <w:lang w:val="en-US" w:eastAsia="en-US" w:bidi="ar-SA"/>
        </w:rPr>
        <w:t xml:space="preserve"> 6 Bing. 141). This though one of the most ancient instances is truly a corollary to the last test. Whether it had its historical origin in the doctrine of the common law that when A. promised to pay B. a sum of money on a certain day and did not do so, B. could only recover the sum with, in certain cases, interest, but could never recover further damages for non-timeous payment, or whether it was a survival of the time when equity reformed unconscionable bargains merely because they were unconscionable, - a subject which much exercised Jessel M.R. in </w:t>
      </w:r>
      <w:r>
        <w:rPr>
          <w:rFonts w:ascii="arial" w:eastAsia="arial" w:hAnsi="arial" w:cs="arial"/>
          <w:i/>
          <w:color w:val="000000"/>
          <w:sz w:val="20"/>
          <w:lang w:val="en-US" w:eastAsia="en-US" w:bidi="ar-SA"/>
        </w:rPr>
        <w:t>Wallis v. Smith</w:t>
      </w:r>
      <w:r>
        <w:rPr>
          <w:rFonts w:ascii="arial" w:eastAsia="arial" w:hAnsi="arial" w:cs="arial"/>
          <w:color w:val="000000"/>
          <w:sz w:val="20"/>
          <w:lang w:val="en-US" w:eastAsia="en-US" w:bidi="ar-SA"/>
        </w:rPr>
        <w:t>, 21 Ch. D. 243 -- is probably more interesting than material.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xml:space="preserve">) There is a presumption (but no more) that it is penalty when "a single lump sum is made payable by way of compensation, on the occurrence of one or more or all of several events, some of which may occasion serious and others but trifling damage" (Lord Watson in </w:t>
      </w:r>
      <w:r>
        <w:rPr>
          <w:rFonts w:ascii="arial" w:eastAsia="arial" w:hAnsi="arial" w:cs="arial"/>
          <w:i/>
          <w:color w:val="000000"/>
          <w:sz w:val="20"/>
          <w:lang w:val="en-US" w:eastAsia="en-US" w:bidi="ar-SA"/>
        </w:rPr>
        <w:t>Lord Elphinstone v. Monkland Iron and Coal Co.</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11 App. Cas. 332</w:t>
        </w:r>
      </w:hyperlink>
      <w:r>
        <w:rPr>
          <w:rFonts w:ascii="arial" w:eastAsia="arial" w:hAnsi="arial" w:cs="arial"/>
          <w:sz w:val="20"/>
          <w:lang w:val="en-US" w:eastAsia="en-US" w:bidi="ar-SA"/>
        </w:rPr>
        <w:t xml:space="preserve"> </w:t>
      </w:r>
      <w:r>
        <w:pict>
          <v:shape id="_x0000_i1245" type="#_x0000_t75" style="width:11pt;height:10pt">
            <v:imagedata r:id="rId690" o:title=""/>
          </v:shape>
        </w:pic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the other hand: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It is no obstacle to the sum stipulated being a genuine pre-estimate of damage, that the consequences of the breach are such as to make precise pre-estimation almost an impossibility. On the contrary, that is just the situation when it is probable that pre-estimated damage was the true bargain between the parties (</w:t>
      </w:r>
      <w:r>
        <w:rPr>
          <w:rFonts w:ascii="arial" w:eastAsia="arial" w:hAnsi="arial" w:cs="arial"/>
          <w:i/>
          <w:color w:val="000000"/>
          <w:sz w:val="20"/>
          <w:lang w:val="en-US" w:eastAsia="en-US" w:bidi="ar-SA"/>
        </w:rPr>
        <w:t>Clydebank Case</w:t>
      </w:r>
      <w:r>
        <w:rPr>
          <w:rFonts w:ascii="arial" w:eastAsia="arial" w:hAnsi="arial" w:cs="arial"/>
          <w:color w:val="000000"/>
          <w:sz w:val="20"/>
          <w:lang w:val="en-US" w:eastAsia="en-US" w:bidi="ar-SA"/>
        </w:rPr>
        <w:t xml:space="preserve">, Lord Halsbury, [1905] A.C. at p. 11; </w:t>
      </w:r>
      <w:r>
        <w:rPr>
          <w:rFonts w:ascii="arial" w:eastAsia="arial" w:hAnsi="arial" w:cs="arial"/>
          <w:i/>
          <w:color w:val="000000"/>
          <w:sz w:val="20"/>
          <w:lang w:val="en-US" w:eastAsia="en-US" w:bidi="ar-SA"/>
        </w:rPr>
        <w:t>Webster v. Bosanquet</w:t>
      </w:r>
      <w:r>
        <w:rPr>
          <w:rFonts w:ascii="arial" w:eastAsia="arial" w:hAnsi="arial" w:cs="arial"/>
          <w:color w:val="000000"/>
          <w:sz w:val="20"/>
          <w:lang w:val="en-US" w:eastAsia="en-US" w:bidi="ar-SA"/>
        </w:rPr>
        <w:t>, Lord Mersey, [1912] A.C. at p. 398).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Lee v. Skalbania</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[1987] B.C.J. No. 2502</w:t>
        </w:r>
      </w:hyperlink>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47 R.P.R. 162</w:t>
        </w:r>
      </w:hyperlink>
      <w:r>
        <w:rPr>
          <w:rFonts w:ascii="arial" w:eastAsia="arial" w:hAnsi="arial" w:cs="arial"/>
          <w:color w:val="000000"/>
          <w:sz w:val="20"/>
          <w:lang w:val="en-US" w:eastAsia="en-US" w:bidi="ar-SA"/>
        </w:rPr>
        <w:t>, aff'd 4 R.P.R. (2d) xxxiii (B.C.C.A.), Gow J. set out the test for determining whether a contractual clause is for liquidated damages or a penalty at p. 175:</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"penalty" or "liquidated damages" is to be answered as at the date of the making of the agreement;</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is "liquidated damages", that is the end of the matter, but, if the answer is "penalty"; then,</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arises the next question should relief be granted against the penalty?</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answer to that question depends upon whether to enforce the penalty would be unconscionable, and that unconscionability has to be determined at the date of the invocation of the clause.</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 21(1) [now s. 24] of The Law and Equity Act only applies if and when stage 3 has been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 pause to note that in </w:t>
      </w:r>
      <w:r>
        <w:rPr>
          <w:rFonts w:ascii="arial" w:eastAsia="arial" w:hAnsi="arial" w:cs="arial"/>
          <w:i/>
          <w:color w:val="000000"/>
          <w:sz w:val="20"/>
          <w:lang w:val="en-US" w:eastAsia="en-US" w:bidi="ar-SA"/>
        </w:rPr>
        <w:t>Coal Harbour</w:t>
      </w:r>
      <w:r>
        <w:rPr>
          <w:rFonts w:ascii="arial" w:eastAsia="arial" w:hAnsi="arial" w:cs="arial"/>
          <w:color w:val="000000"/>
          <w:sz w:val="20"/>
          <w:lang w:val="en-US" w:eastAsia="en-US" w:bidi="ar-SA"/>
        </w:rPr>
        <w:t>, Hall J.A. for the Court of Appeal, commenting on the foregoing, stated at para. 24, "...that analysis strikes me as generally correct with perhaps the addition that the question of penalty has to be as well considered as of the time set for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Section 24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provides that the court may relieve against all penalties and forfeitures and, in granting the relief, may impose any terms as to costs, expenses, damages, compensations, and all other matters that the court thinks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Thermidaire</w:t>
      </w:r>
      <w:r>
        <w:rPr>
          <w:rFonts w:ascii="arial" w:eastAsia="arial" w:hAnsi="arial" w:cs="arial"/>
          <w:color w:val="000000"/>
          <w:sz w:val="20"/>
          <w:lang w:val="en-US" w:eastAsia="en-US" w:bidi="ar-SA"/>
        </w:rPr>
        <w:t xml:space="preserve"> made it clear that there is a presumption that a clause is a penalty when a single lump sum is made payable in compensation on the occurrence of one or more or all of several events, some of which may occasion serious and others but trifling damage. The $500,000 damages clause in the hotel contract and the Young Street contract requires a party to pay $500,000 if it fails to complete any of the terms or conditions of the swap agreement, no matter how serious or trifling, and as such, is presumptively a penalty. It does not matter whose idea it was to insert the $500,000 damages clause. The fact that a party may have agreed to a penalty clause, and been foolish to do so, does not mean that the court should not exercise its equitable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Ashland Scurlock Permian Canada Ltd. v. NESI Energy Marketing Canada Ltd. (Trustee of)</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(1998), 226 A.R. 242</w:t>
        </w:r>
      </w:hyperlink>
      <w:r>
        <w:rPr>
          <w:rFonts w:ascii="arial" w:eastAsia="arial" w:hAnsi="arial" w:cs="arial"/>
          <w:color w:val="000000"/>
          <w:sz w:val="20"/>
          <w:lang w:val="en-US" w:eastAsia="en-US" w:bidi="ar-SA"/>
        </w:rPr>
        <w:t xml:space="preserve"> (Q.B.) at para. 11 explains that whether or not a provision is oppressive or unconscionable is determined by whether the provision is so extravagant or exorbitant that it has no real relation to any loss which the plaintiffs could have sustained. Forsyth J. states:</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a provision is oppressive or unconscionable is determined by whether the provision is so extravagant or exorbitant that it has no real relation to any loss which the plaintiffs could have sustained. Lord Wright in Imperial Tobacco Ltd. v. Parslay, [1936] 2 All E.R. 515, said, at 521: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questions of disproportion have to be considered, the relevant disproportion must be not between the price of the article but between the stipulated sum and the possible or probable damage ... the only question can be whether the stipulated sum is so extravagant or exorbitant that it cannot be regarded as having any real relation to any loss which the plaintiffs can possibly sustain. That is what is meant by the expressions which are used from time to time ... [for instance] the word "unconscionable is also used. [This term, in this context] does not bring in at all the idea of an unconscionable bargain.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issue when determining whether equitable relief should be granted against a penalty clause is whether there is any real relation to any loss which the plaintiffs can possibly sustain. If there is no real relation, the clause is unconscionable and unenforceable. In this case, there is no relation between the $500,000 clause and any loss which the plaintiffs could have possibly sustained. Mr. Banwait testified, despite repeated questioning, that there were no discussions about the size of the deposit in relation to the $500,000 clause. Mr. Banwait, Mr. Badesha, and Mr. Kandola all testified that the purpose of the clause was to ensure that no party could back out of the deal. As there is no relationship between the $500,000 clauses, the value of the deposits or any loss which the plaintiffs could possibly sustain, the enforcement of the penalty clause is clearly unconscionable and cannot be enforced.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Thermidaire</w:t>
      </w:r>
      <w:r>
        <w:rPr>
          <w:rFonts w:ascii="arial" w:eastAsia="arial" w:hAnsi="arial" w:cs="arial"/>
          <w:color w:val="000000"/>
          <w:sz w:val="20"/>
          <w:lang w:val="en-US" w:eastAsia="en-US" w:bidi="ar-SA"/>
        </w:rPr>
        <w:t>, the Supreme Court of Canada stated at pp. 338 to 339: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regard the exaction of gross trading profits as a penalty in this case because it is, in my opinion, a grossly excessive and punitive response to the problem to which it was addressed; and the fact that the appellant subscribed to it, and may have been foolish to do so, does not mean that it should be left to rue its unwisdom. </w:t>
      </w:r>
      <w:r>
        <w:rPr>
          <w:rFonts w:ascii="arial" w:eastAsia="arial" w:hAnsi="arial" w:cs="arial"/>
          <w:i/>
          <w:color w:val="000000"/>
          <w:sz w:val="20"/>
          <w:lang w:val="en-US" w:eastAsia="en-US" w:bidi="ar-SA"/>
        </w:rPr>
        <w:t>Snell's Principles of Equity</w:t>
      </w:r>
      <w:r>
        <w:rPr>
          <w:rFonts w:ascii="arial" w:eastAsia="arial" w:hAnsi="arial" w:cs="arial"/>
          <w:color w:val="000000"/>
          <w:sz w:val="20"/>
          <w:lang w:val="en-US" w:eastAsia="en-US" w:bidi="ar-SA"/>
        </w:rPr>
        <w:t xml:space="preserve"> (27th ed. 1973), at p. 535 states the applicable doctrine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sum will be held to be a penalty if it is extravagant and unconscionable in amount in comparison with the greatest loss that could conceivably be proved to have followed from the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proposition comes from a statement by Lord Halsbury in the House of Lords in </w:t>
      </w:r>
      <w:r>
        <w:rPr>
          <w:rFonts w:ascii="arial" w:eastAsia="arial" w:hAnsi="arial" w:cs="arial"/>
          <w:i/>
          <w:color w:val="000000"/>
          <w:sz w:val="20"/>
          <w:lang w:val="en-US" w:eastAsia="en-US" w:bidi="ar-SA"/>
        </w:rPr>
        <w:t>Clydebank Engineering and Shipbuilding Co. Ltd. v. Don José Ramos Yzquierdo y Castaneda</w:t>
      </w:r>
      <w:r>
        <w:rPr>
          <w:rFonts w:ascii="arial" w:eastAsia="arial" w:hAnsi="arial" w:cs="arial"/>
          <w:color w:val="000000"/>
          <w:sz w:val="20"/>
          <w:lang w:val="en-US" w:eastAsia="en-US" w:bidi="ar-SA"/>
        </w:rPr>
        <w:t xml:space="preserve"> [ [1905] A.C. 6], at p. 10, and was reiterated by Lord Dunedin in </w:t>
      </w:r>
      <w:r>
        <w:rPr>
          <w:rFonts w:ascii="arial" w:eastAsia="arial" w:hAnsi="arial" w:cs="arial"/>
          <w:i/>
          <w:color w:val="000000"/>
          <w:sz w:val="20"/>
          <w:lang w:val="en-US" w:eastAsia="en-US" w:bidi="ar-SA"/>
        </w:rPr>
        <w:t>Dunlop Pneumatic Tyre Co. Ltd. v. New Garage and Motor Co. Ltd.</w:t>
      </w:r>
      <w:r>
        <w:rPr>
          <w:rFonts w:ascii="arial" w:eastAsia="arial" w:hAnsi="arial" w:cs="arial"/>
          <w:color w:val="000000"/>
          <w:sz w:val="20"/>
          <w:lang w:val="en-US" w:eastAsia="en-US" w:bidi="ar-SA"/>
        </w:rPr>
        <w:t xml:space="preserve"> [ [1915] A.C. 79], at p. 87. I do not think that it loses its force in cases where there is difficulty of exact calculation or pre-estimation when the stipulation for liquidated damages, as in this case, is disproportionate and unreasonable when compared with the damages sustained or which would be recoverable through an action in the courts for breach of the covenant in question: see 25 </w:t>
      </w:r>
      <w:r>
        <w:rPr>
          <w:rFonts w:ascii="arial" w:eastAsia="arial" w:hAnsi="arial" w:cs="arial"/>
          <w:i/>
          <w:color w:val="000000"/>
          <w:sz w:val="20"/>
          <w:lang w:val="en-US" w:eastAsia="en-US" w:bidi="ar-SA"/>
        </w:rPr>
        <w:t>Corpus Juris Secundum</w:t>
      </w:r>
      <w:r>
        <w:rPr>
          <w:rFonts w:ascii="arial" w:eastAsia="arial" w:hAnsi="arial" w:cs="arial"/>
          <w:color w:val="000000"/>
          <w:sz w:val="20"/>
          <w:lang w:val="en-US" w:eastAsia="en-US" w:bidi="ar-SA"/>
        </w:rPr>
        <w:t xml:space="preserve">, s. 108, pp. 1051 ff. </w:t>
      </w:r>
      <w:r>
        <w:rPr>
          <w:rFonts w:ascii="arial" w:eastAsia="arial" w:hAnsi="arial" w:cs="arial"/>
          <w:color w:val="000000"/>
          <w:sz w:val="20"/>
          <w:u w:val="single"/>
          <w:lang w:val="en-US" w:eastAsia="en-US" w:bidi="ar-SA"/>
        </w:rPr>
        <w:t>The fact that the highest amount put forward by the respondent as its actual loss was $92,017 is plainly indicative of the disproportion that resides in the exaction of gross trading profits of $239,449.05.</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Snell's Equity</w:t>
      </w:r>
      <w:r>
        <w:rPr>
          <w:rFonts w:ascii="arial" w:eastAsia="arial" w:hAnsi="arial" w:cs="arial"/>
          <w:color w:val="000000"/>
          <w:sz w:val="20"/>
          <w:lang w:val="en-US" w:eastAsia="en-US" w:bidi="ar-SA"/>
        </w:rPr>
        <w:t xml:space="preserve"> (32nd edition, 2010) at p. 405: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strong similarity between penalty clauses and forfeiture clauses. In each case, one party to a contract bargains for the imposition of a sanction which impermissibly seeks to deter the contractual counter-party from breaking the contract and to encourage performance of his or her obligations. Such a clause may require payment of a sum predominantly designed to deter breach (a penalty) or it may provide for forfeiture of payments which have already been made or forfeiture of rights held by the party in breach (forfeiture). From a very early stage in their history courts of equity have refused to enforce provisions which require a contract breaker to pay a penal sum for a breach of contract. [footnote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modern move away from a focus on whether the clause is a pre-estimate of loss, to concentrate upon whether it has a predominant deterrent purpose has further emphasised that a court "should not be astute to descry a 'penalty clause' in every provision of a contract which stipulates a sum to be payable by one party to the other in the event of a breach by the former." [footnote omitted.] A generous approach is therefore taken to finding that clauses are liquidated damages clauses, consistently with a policy of encouraging the use of liquidated damages clauses, especially in commercial contracts. [footnote omitted.] Further: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a bargain has been struck by two parties of equal bargaining power, with each party legally represented, a Court should consider long and hard before permitting one of the parties to resile from that agreement." [footnote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This is in line with the statement of the Supreme Court of Canada in </w:t>
      </w:r>
      <w:r>
        <w:rPr>
          <w:rFonts w:ascii="arial" w:eastAsia="arial" w:hAnsi="arial" w:cs="arial"/>
          <w:i/>
          <w:color w:val="000000"/>
          <w:sz w:val="20"/>
          <w:lang w:val="en-US" w:eastAsia="en-US" w:bidi="ar-SA"/>
        </w:rPr>
        <w:t>Elsley Estate</w:t>
      </w:r>
      <w:r>
        <w:rPr>
          <w:rFonts w:ascii="arial" w:eastAsia="arial" w:hAnsi="arial" w:cs="arial"/>
          <w:color w:val="000000"/>
          <w:sz w:val="20"/>
          <w:lang w:val="en-US" w:eastAsia="en-US" w:bidi="ar-SA"/>
        </w:rPr>
        <w:t xml:space="preserve"> at p. 937: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evident that the power to strike down a penalty clause is a blatant interference with freedom of contract and is designed for the sole purpose of providing relief against oppression for the party having to pay the stipulated sum. It has no place where there is no oppression. If the actual loss turns out to exceed the penalty, the normal rules of enforcement of contract should apply to allow recovery of only the agreed sum. The party imposing the penalty should not be able to obtain the benefit of whatever intimidating force the penalty clause may have in inducing performance, and then ignore the clause when it turns out to be to his advantage to do so. A penalty clause should function as a limitation on the damages recoverable, while still being ineffective to increase damages above the actual loss sustained when such loss is less than the stipulated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have found that it was Mr. Aujla who suggested the clause so that Mr. Badesha could not back out of the deal. Mr. Aujla wanted the clause in both the hotel contract and the Young Street contract in order to deter Mr. Badesha from breaking the contract and ensuring performance of the contract, and he sought to enforce the damages clause against Mr. Badesha.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MTK Auto West Ltd.</w:t>
      </w:r>
      <w:r>
        <w:rPr>
          <w:rFonts w:ascii="arial" w:eastAsia="arial" w:hAnsi="arial" w:cs="arial"/>
          <w:color w:val="000000"/>
          <w:sz w:val="20"/>
          <w:lang w:val="en-US" w:eastAsia="en-US" w:bidi="ar-SA"/>
        </w:rPr>
        <w:t>, Kirkpatrick J. considered as a factor, that "Ms. Allen knowingly breached the contract and in fact intended to do so before signing the contract...". She then stated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last factor is the most problematic because granting relief from the application of a penalty clause or from forfeiture is an exercise of the court's equitable jurisdiction and equity makes much of "clean hands". However, the maxims of equity are "not to be taken as positive laws of equity which will be applied literally and relentlessly in their full width but rather as trends or principles" (see John McGhee, ed., </w:t>
      </w:r>
      <w:r>
        <w:rPr>
          <w:rFonts w:ascii="arial" w:eastAsia="arial" w:hAnsi="arial" w:cs="arial"/>
          <w:i/>
          <w:color w:val="000000"/>
          <w:sz w:val="20"/>
          <w:lang w:val="en-US" w:eastAsia="en-US" w:bidi="ar-SA"/>
        </w:rPr>
        <w:t>Snells's Equity</w:t>
      </w:r>
      <w:r>
        <w:rPr>
          <w:rFonts w:ascii="arial" w:eastAsia="arial" w:hAnsi="arial" w:cs="arial"/>
          <w:color w:val="000000"/>
          <w:sz w:val="20"/>
          <w:lang w:val="en-US" w:eastAsia="en-US" w:bidi="ar-SA"/>
        </w:rPr>
        <w:t>, 13th ed. (London: Sweet &amp; Maxwell, 2000) at para 3-01). With respect to the clean hands principle specifically: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bars the claim is not a general depravity but one which has an 'immediate and necessary relation to the equity sued for,' and is not balanced by any mitigating factors. [at para 3-15]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Allen's "depravity" is related to the clause from which she seeks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that case, Kirkpatrick J. found that the $10,000 penalty against Ms. Allen was disproportionate to the $2,000 in damages sustained by the plaintiff who sought to enforce the penalty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do not find that $500,000 is disproportionate to the range of damages that Mr. Badesha might recover for Mr. Aujla's breach of the hotel contract or for the Young Street contract. While those losses were not quantified, I do not find they need be. There is evidence that the hotel property was leased to by Mr. Aujla and Mr. Kaler for $25,000 a month, or $300,000 a year. The June 26, 2013 quote from Mr. Doughty for the electrical installation is $46,555 plus GST, but excluding any BC Hydro, Telus, or cable engineering or connecting and other charges or repairs. The July 27, 2012 quote that Mr. Badesha obtained to repair the damaged rooms is $176,500 plus GST. In other words, if Mr. Badesha were to seek damages for breach of contract, his damages would be in the range of $500,000, if not more. Mr. Badesha also lost the $50,000 deposit he paid on the hotel property transaction, and the personal expense of travelling to Williams Lake and managing the hotel for Mr. Aujla without compensation, between July 1, 2012 and end of February 2013 when negotiations failed and he left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Thermidaire</w:t>
      </w:r>
      <w:r>
        <w:rPr>
          <w:rFonts w:ascii="arial" w:eastAsia="arial" w:hAnsi="arial" w:cs="arial"/>
          <w:color w:val="000000"/>
          <w:sz w:val="20"/>
          <w:lang w:val="en-US" w:eastAsia="en-US" w:bidi="ar-SA"/>
        </w:rPr>
        <w:t xml:space="preserve"> does not really assist Mr. Aujla because in that case the formula for fixing damages for breach of the covenant against competition was more than double the amount of any actual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Both parties agree that while the swap agreement was structured as a share purchase agreement so that the parties could avoid paying property transfer tax, the real substance of the swap agreement was two property transactions. For the hotel contract, the seller was selling and the buyer was buying the Howard Johnson Hotel in Williams Lake for $3 million. For the Young Street contract, the seller was selling and the buyer was buying the property at 8559 Young Street and 45928 Hocking Road, Chilliwack, for $4.8 million. The form of the hotel contract and the Young Street contract is the BC Real Estate Association and Canadian Bar Association (BC Branch) standard form contract of purchase and sale of property. The terms for the sale and purchase of company shares are included in the contract of purchase and sale addendum. The real intention of the parties looking at the four corners of the instruments, and not merely the form, is that the $500,000 damage clause in each of the contracts was to ensure performance of the underlying real estate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Although the $500,000 was not paid as a deposit, but was to be paid in default of completion and is a penalty clause as opposed to a forfeiture, makes little difference. Both Mr. Aujla and Mr. Badesha agreed and understood that the $500,000 penalty clause was to deter the other party from backing away from the contract and ensuring completion of the contract. While there is no evidence that either party put their mind to whether the $500,000 and the deposit was similar to the range of deposits on commercial transactions, it makes little difference, particularly when the payment of $500,000 still falls within the acceptable range of deposits in this Province. (see </w:t>
      </w:r>
      <w:r>
        <w:rPr>
          <w:rFonts w:ascii="arial" w:eastAsia="arial" w:hAnsi="arial" w:cs="arial"/>
          <w:i/>
          <w:color w:val="000000"/>
          <w:sz w:val="20"/>
          <w:lang w:val="en-US" w:eastAsia="en-US" w:bidi="ar-SA"/>
        </w:rPr>
        <w:t>Coal Harbour</w:t>
      </w:r>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Even if I am wrong, I do not find this to be a case where the court should grant relief under s. 24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Mr. Aujla entered into a contract for the sale of a Howard Johnson hotel, with a term that the purchaser was required to "assume all the terms and conditions of the contract signed by the seller with Howard Johnson franchise for only 44 rooms", when he knew that the seller had no franchise with Howard Johnson, the franchise had been terminated, and there was a pending and then actual lawsuit commenced by Howard Johnson against Snowland. Mr. Aujla continued to insist at trial that his lawyer Mr. Deol told him that Howard Johnson had agreed to give him a franchise, when the documentary evidence contradicts him, and he failed to call Mr. Deol to testify. Mr. Aujla asked that the $500,000 damage clause be included in the hotel contract and the Young Street contract so that Mr. Badesha could not back out of the deal or be disinclined from backing out of the deal, and he sought to enforce the $500,000 damage clause against Mr. Badesha. Mr. Aujla created the difficulty that he now finds himself in, and he should not be permitted to resile from the bargains that he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With respect to both the hotel contract and the Young Street contract, Mr. Aujla was not oppressed, he was not the weaker party, he is an experienced businessman, no one took advantage of him, and he was encouraged to and obtained the benefit of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Accordingly I find that the plaintiffs are entitled to the relief sought, and Mr. Aujla is liable to the plaintiffs for damages in the amount of $500,000 for breach of the hotel contract, and damages in the amount of $500,000 for breach of the Young Street contract, for a total of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parties are agreed that the following expenses were not paid out of the Snowland account and were not otherwise paid by the plaintiffs while they operated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751"/>
        <w:gridCol w:w="1464"/>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mortgage: $6,000 per month for 8 months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$48,000.00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464"/>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Property Tax for 8 months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$32,381.82</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1359"/>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Water bill</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$3,616.28</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1359"/>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Outstanding Telus bill</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$4,653.02</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255"/>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Outstanding BC Hydro</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$9,196.80</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255"/>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Outstanding Gas bill</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$3,600.00</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1359"/>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Outstanding Cable bill</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Pattison Sign bill for 8 months: $660 per month</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$5,280.00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732"/>
        <w:gridCol w:w="1568"/>
        <w:gridCol w:w="67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$108,227.92</w:t>
            </w:r>
          </w:p>
        </w:tc>
        <w:tc>
          <w:tcPr>
            <w:tcW w:w="665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However, Mr. Aujla has not satisfied me that he is entitled to judgment on his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Badesha testified that the money for the mortgage payments was in Snowland's Royal Bank account but he never received a call that the mortgage moneys were not being paid. He also testified that when he took over the running of the hotel in July 2012, there were several unpaid utility and phone bills which he had to pay, and which Mr. Aujla told him to pay, and the amounts would be adjusted on completion. Furthermore, the revenues never covered the expenses, and there is no evidence that Mr. Aujla personally paid those expenses. Mr. Badesha's uncontradicted evidence is that he worked running what was essentially Mr. Aujla's hotel for eight months for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plaintiffs are entitled to judgment in the amount of $1 million.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parties made no submissions on costs, and if they are unable to agree, they may make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6"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Belik v. Purolator Courier Ltd., [2007] B.C.J. No. 866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Russell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14,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30, 2007.</w:t>
      </w:r>
    </w:p>
    <w:p>
      <w:pPr>
        <w:spacing w:before="120" w:line="260" w:lineRule="atLeast"/>
        <w:jc w:val="center"/>
        <w:rPr>
          <w:lang w:val="en-US" w:eastAsia="en-US" w:bidi="ar-SA"/>
        </w:rPr>
      </w:pPr>
      <w:r>
        <w:rPr>
          <w:rFonts w:ascii="arial" w:eastAsia="arial" w:hAnsi="arial" w:cs="arial"/>
          <w:color w:val="000000"/>
          <w:sz w:val="20"/>
          <w:lang w:val="en-US" w:eastAsia="en-US" w:bidi="ar-SA"/>
        </w:rPr>
        <w:t>Kelowna Registry No. S62523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866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2007 BCSC 579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157 A.C.W.S. (3d) 109</w:t>
      </w:r>
    </w:p>
    <w:p>
      <w:pPr>
        <w:spacing w:before="120" w:line="260" w:lineRule="atLeast"/>
        <w:rPr>
          <w:lang w:val="en-US" w:eastAsia="en-US" w:bidi="ar-SA"/>
        </w:rPr>
      </w:pPr>
      <w:r>
        <w:rPr>
          <w:rFonts w:ascii="arial" w:eastAsia="arial" w:hAnsi="arial" w:cs="arial"/>
          <w:color w:val="000000"/>
          <w:sz w:val="20"/>
          <w:lang w:val="en-US" w:eastAsia="en-US" w:bidi="ar-SA"/>
        </w:rPr>
        <w:t>Between Janice Stella Belik, Brenda Fern Lietz, Plaintiffs, and Purolator Courier Limited, Public Service Alliance of Canada,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7" style="position:absolute;z-index:25170534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96" w:name="Keywords_43"/>
      <w:bookmarkEnd w:id="296"/>
      <w:r>
        <w:rPr>
          <w:rFonts w:ascii="arial" w:eastAsia="arial" w:hAnsi="arial" w:cs="arial"/>
          <w:b/>
          <w:color w:val="000000"/>
          <w:sz w:val="20"/>
          <w:lang w:val="en-US" w:eastAsia="en-US" w:bidi="ar-SA"/>
        </w:rPr>
        <w:t>Civil procedure — Actions — Proceedings taken in wrong court or wrong procedure used — Application by Purolator to challenge the jurisdiction of the Court to entertain the lawsuit brought by Belik allowed — Belik's complaint derived from the workplace and was inherently covered by the terms of the collective agreement and as a result, the court had no jurisdiction to hear her complaint.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Labour law — Collective agreements — Civil action — When available — Application by Purolator to challenge the jurisdiction of the Court to entertain the lawsuit brought by Belik allowed — Belik's complaint derived from the workplace and was inherently covered by the terms of the collective agreement and as a result, the court had no jurisdiction to hear her complaint.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97" w:name="Case Summary_42"/>
            <w:bookmarkEnd w:id="29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Purolator to challenge the jurisdiction of the Court to entertain the lawsuit brought by Belik -- Belik was a former employee of Purolator and a union member of the Public Service Alliance of Canada -- Belik's employment was pursuant to and governed by a collective agreement -- Belik alleged harassment in the workplace, breach of contract in relation to alleged breaches of the collective agreement and the employer's workplace relationship policy, among other claims -- She also argued that her complaint was based on a relationship policy that was not expressly part of the collective agreement, therefore giving the court jurisdiction through breach of contract -- HELD: Application allowed -- The fact that the union decided not to take the grievance forward therefore effectively ending any option to be heard, did not then bring Belik's case within the rare exception to the court's exclusive jurisdiction -- The characterization of her complaint as stemming from a separate policy of the employer also did not bring the matter within the jurisdiction of the court as the matter at least inferentially fell within the ambit of the collective agreement -- Belik's complaint derived from the workplace and was inherently covered by the terms of the collective agreement -- As a result, the court had no jurisdiction to hear her complaint. </w:t>
            </w:r>
            <w:r>
              <w:rPr>
                <w:lang w:val="en-US" w:eastAsia="en-US" w:bidi="ar-SA"/>
              </w:rPr>
              <w:cr/>
            </w:r>
          </w:p>
          <w:p>
            <w:pPr>
              <w:rPr>
                <w:lang w:val="en-US" w:eastAsia="en-US" w:bidi="ar-SA"/>
              </w:rPr>
            </w:pPr>
          </w:p>
        </w:tc>
      </w:tr>
    </w:tbl>
    <w:p>
      <w:pPr>
        <w:jc w:val="both"/>
        <w:rPr>
          <w:lang w:val="en-US" w:eastAsia="en-US" w:bidi="ar-SA"/>
        </w:rPr>
      </w:pPr>
      <w:bookmarkStart w:id="298" w:name="Legislation Cited_32"/>
      <w:bookmarkEnd w:id="29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48" style="position:absolute;z-index:2517565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Canada Labour Code, </w:t>
      </w:r>
      <w:hyperlink r:id="rId699" w:history="1">
        <w:r>
          <w:rPr>
            <w:rFonts w:ascii="arial" w:eastAsia="arial" w:hAnsi="arial" w:cs="arial"/>
            <w:i/>
            <w:color w:val="0077CC"/>
            <w:sz w:val="20"/>
            <w:u w:val="single"/>
            <w:shd w:val="clear" w:color="auto" w:fill="FFFFFF"/>
            <w:lang w:val="en-US" w:eastAsia="en-US" w:bidi="ar-SA"/>
          </w:rPr>
          <w:t>R.S.C. 1985, c. L-2, s. 57</w:t>
        </w:r>
      </w:hyperlink>
      <w:r>
        <w:rPr>
          <w:rFonts w:ascii="arial" w:eastAsia="arial" w:hAnsi="arial" w:cs="arial"/>
          <w:color w:val="000000"/>
          <w:sz w:val="20"/>
          <w:lang w:val="en-US" w:eastAsia="en-US" w:bidi="ar-SA"/>
        </w:rPr>
        <w:t>(1)</w:t>
      </w:r>
      <w:r>
        <w:rPr>
          <w:lang w:val="en-US" w:eastAsia="en-US" w:bidi="ar-SA"/>
        </w:rPr>
        <w:cr/>
      </w:r>
    </w:p>
    <w:p>
      <w:pPr>
        <w:keepNext/>
        <w:spacing w:before="240" w:line="340" w:lineRule="atLeast"/>
        <w:rPr>
          <w:lang w:val="en-US" w:eastAsia="en-US" w:bidi="ar-SA"/>
        </w:rPr>
      </w:pPr>
      <w:bookmarkStart w:id="299" w:name="Counsel_45"/>
      <w:bookmarkEnd w:id="29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9" style="position:absolute;z-index:2518077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Plaintiff in person: Janice Belik.</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 Purolator: Chris E. Leenheer.</w:t>
      </w:r>
      <w:r>
        <w:rPr>
          <w:lang w:val="en-US" w:eastAsia="en-US" w:bidi="ar-SA"/>
        </w:rPr>
        <w:cr/>
      </w:r>
    </w:p>
    <w:p>
      <w:pPr>
        <w:spacing w:after="240"/>
        <w:rPr>
          <w:lang w:val="en-US" w:eastAsia="en-US" w:bidi="ar-SA"/>
        </w:rPr>
      </w:pPr>
      <w:bookmarkStart w:id="300" w:name="Judgment_44"/>
      <w:bookmarkEnd w:id="300"/>
      <w:r>
        <w:pict>
          <v:line id="_x0000_s1250" style="position:absolute;z-index:25185587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01" w:name="RUSSELL J."/>
            <w:bookmarkEnd w:id="301"/>
            <w:r>
              <w:rPr>
                <w:rFonts w:ascii="arial" w:eastAsia="arial" w:hAnsi="arial" w:cs="arial"/>
                <w:b/>
                <w:color w:val="000000"/>
                <w:sz w:val="30"/>
                <w:lang w:val="en-US" w:eastAsia="en-US" w:bidi="ar-SA"/>
              </w:rPr>
              <w:t>RUSSELL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Lietz has filed a Notice of Discontinuance.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Purolator brings this application to challenge the jurisdiction of the Court to hear the lawsuit brought against it by Ms. Belik. She is a former employee and member of the bargaining unit certified to the Public Service Alliance of Canada (the "Union"). Her employment with Purolator was at all relevant times governed by the Collective Agreement between Purolator and the Union.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Belik has filed a Statement of Claim in which she alleges harassment in the workplace, breach of contract in relation to alleged breaches of the Collective Agreement and the employer's workplace relationship policy,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flowing from breach of a duty of care owed to her by the defendant Purolator to provide a harassment free workplace, and vicarious liability of the defendant for permitting the alleged harassment of the plaintiff by its managers to continue. All of these complaints arise out of the workplace, an issue which was not disputed by Ms. Belik.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Belik's issues arose 6-10 years ago when she encountered difficulty with two of her managers. However, any complaints arising up to 2001 were held to have been dealt with by management in a Preliminary Award of Arbitrator Chertkow which came down in July 2002, </w:t>
      </w:r>
      <w:hyperlink r:id="rId700" w:history="1">
        <w:r>
          <w:rPr>
            <w:rFonts w:ascii="arial" w:eastAsia="arial" w:hAnsi="arial" w:cs="arial"/>
            <w:i/>
            <w:color w:val="0077CC"/>
            <w:sz w:val="20"/>
            <w:u w:val="single"/>
            <w:shd w:val="clear" w:color="auto" w:fill="FFFFFF"/>
            <w:lang w:val="en-US" w:eastAsia="en-US" w:bidi="ar-SA"/>
          </w:rPr>
          <w:t>[2002] C.L.A.D. No. 640</w:t>
        </w:r>
      </w:hyperlink>
      <w:r>
        <w:rPr>
          <w:rFonts w:ascii="arial" w:eastAsia="arial" w:hAnsi="arial" w:cs="arial"/>
          <w:color w:val="000000"/>
          <w:sz w:val="20"/>
          <w:lang w:val="en-US" w:eastAsia="en-US" w:bidi="ar-SA"/>
        </w:rPr>
        <w:t xml:space="preserve">. She had filed a grievance which went to arbitration but the arbitrator dealt only with the matter covered in the Preliminary Award. Early in the process she had alleged breaches of the </w:t>
      </w:r>
      <w:r>
        <w:rPr>
          <w:rFonts w:ascii="arial" w:eastAsia="arial" w:hAnsi="arial" w:cs="arial"/>
          <w:b/>
          <w:i/>
          <w:color w:val="000000"/>
          <w:sz w:val="20"/>
          <w:lang w:val="en-US" w:eastAsia="en-US" w:bidi="ar-SA"/>
        </w:rPr>
        <w:t>Canada Labour Code</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R.S.C. 1985, c. L-2</w:t>
        </w:r>
      </w:hyperlink>
      <w:r>
        <w:rPr>
          <w:rFonts w:ascii="arial" w:eastAsia="arial" w:hAnsi="arial" w:cs="arial"/>
          <w:color w:val="000000"/>
          <w:sz w:val="20"/>
          <w:lang w:val="en-US" w:eastAsia="en-US" w:bidi="ar-SA"/>
        </w:rPr>
        <w:t>, against the Union and Purolator, all of which were dismissed and then reconsidered with the dismissals upheld by the Canada Industrial Relations Board (the "CIRB"). Ms. Belik's original complaints were then scheduled to be heard by arbitration in August, 2004 but the Union withdrew the grievance shortly before the hearing.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she had filed her Statement of Claim in December, 2004, and Purolator had brought this motion in response, Ms. Belik brought a complaint of breach of the duty of fair representation against the Union to the CIRB. The court action was stayed until a decision was issued. The CIRB dismissed her complaint against the Union.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Belik also filed a complaint with the Canadian Human Rights Commission but was ruled to be out of time. Hence she feels her complaints have not been heard.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contends as well that her complaint was based on the Purolator Workplace Relationship policy, a policy which is not expressly part of the Collective Agreement. In this respect, she argues that her complaint arises outside the Collective Agreement and should be treated as a breach of contract to be heard by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She argues that as a result of the breach of contract and of the failure to be heard, this court should exercise its narrow residual jurisdiction to hear her case on the basis it is the rare exception to the exclusive jurisdiction vested in labour arbitrators and labour tribunals by labour legislation as described by the Supreme Court of Canada in </w:t>
      </w:r>
      <w:r>
        <w:rPr>
          <w:rFonts w:ascii="arial" w:eastAsia="arial" w:hAnsi="arial" w:cs="arial"/>
          <w:b/>
          <w:i/>
          <w:color w:val="000000"/>
          <w:sz w:val="20"/>
          <w:lang w:val="en-US" w:eastAsia="en-US" w:bidi="ar-SA"/>
        </w:rPr>
        <w:t>Weber v. Ontario Hydro</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t>
      </w:r>
      <w:r>
        <w:rPr>
          <w:rFonts w:ascii="arial" w:eastAsia="arial" w:hAnsi="arial" w:cs="arial"/>
          <w:b/>
          <w:i/>
          <w:color w:val="000000"/>
          <w:sz w:val="20"/>
          <w:lang w:val="en-US" w:eastAsia="en-US" w:bidi="ar-SA"/>
        </w:rPr>
        <w:t>Weber</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basis of her argument is her contention that she has no other avenue to have her dispute aired. Put briefly, her argument is that if the Union is the exclusive bargaining agent for her in her relationship with her employer, and if the Union refuses to take her grievance against the employer forward, then the only avenue left open to her is a lawsuit against the employer. Further, in this case the contractual nature of her complaint dovetails into the request for the court to take jurisdiction over her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fact that the Union decided not to take the grievance forward and that her access to a hearing is effectively ended does not then necessarily bring Ms. Belik's case within that rare exception to the exclusive jurisdiction model set out in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characterization of her complaint as stemming from a separate policy of the employer also does not bring the matter within the jurisdiction of the court since the matter at least inferentially falls within the ambit of the Collective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the reasons detailed below, I have concluded that Purolator's application must succeed and Ms. Belik's case must be dismissed, as this court lacks jurisdiction to hear her complaints.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ANALYSIS</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trite law that once the employer-employee relationship is covered by a Collective Agreement, the common law that applied to individual employment contracts between an employer and an employee is no longer relevant. The usual employment matters such as rates of pay, hours of work, discipline and discharge, the accumulation of seniority, vacation pay and many other matters that may have been negotiated between the employer and the union certified to represent the employees, will be governed by the Collective Agreement and no longer by the common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bargaining relationship that exists between the employer and the union means that the employer cannot negotiate a separate contract with individual employees. The union and the union alone speaks for the employees covered by the Collective Agreement. The employees give up their individual rights in return for greater power to deal with the employer as a collective body, and the employer gains a degree of certainty, stability and the notion that employees will work now, grieve later in the event of a dispute. There is an additional trade-off for the employees as well. As stated by the court in </w:t>
      </w:r>
      <w:r>
        <w:rPr>
          <w:rFonts w:ascii="arial" w:eastAsia="arial" w:hAnsi="arial" w:cs="arial"/>
          <w:b/>
          <w:i/>
          <w:color w:val="000000"/>
          <w:sz w:val="20"/>
          <w:lang w:val="en-US" w:eastAsia="en-US" w:bidi="ar-SA"/>
        </w:rPr>
        <w:t>Noël v. Société d'énergie de la Baie James</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[2001] 2 S.C.R. 207</w:t>
        </w:r>
      </w:hyperlink>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2001 SCC 89</w:t>
        </w:r>
      </w:hyperlink>
      <w:r>
        <w:rPr>
          <w:rFonts w:ascii="arial" w:eastAsia="arial" w:hAnsi="arial" w:cs="arial"/>
          <w:color w:val="000000"/>
          <w:sz w:val="20"/>
          <w:lang w:val="en-US" w:eastAsia="en-US" w:bidi="ar-SA"/>
        </w:rPr>
        <w:t xml:space="preserve"> at para. 44: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However reluctant the members of a dissenting or a minority group of employees may be, they will be bound by the Collective Agreement and will have to abide by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Put simply, a union member has no individual right of action arising out of a dispute with her employer arising out of the Collective Agreement and, if the union decides not to proceed with a grievance, the union member affected must abide by that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legislation which governs the employment relationship between Purolator and its employees is the </w:t>
      </w:r>
      <w:r>
        <w:rPr>
          <w:rFonts w:ascii="arial" w:eastAsia="arial" w:hAnsi="arial" w:cs="arial"/>
          <w:b/>
          <w:i/>
          <w:color w:val="000000"/>
          <w:sz w:val="20"/>
          <w:lang w:val="en-US" w:eastAsia="en-US" w:bidi="ar-SA"/>
        </w:rPr>
        <w:t>Canada Labour Code</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R.S.C. 1985, c. L-2</w:t>
        </w:r>
      </w:hyperlink>
      <w:r>
        <w:rPr>
          <w:rFonts w:ascii="arial" w:eastAsia="arial" w:hAnsi="arial" w:cs="arial"/>
          <w:color w:val="000000"/>
          <w:sz w:val="20"/>
          <w:lang w:val="en-US" w:eastAsia="en-US" w:bidi="ar-SA"/>
        </w:rPr>
        <w:t>, Part 1. At section 57(1), the statute sets out the requirement that every Collective Agreement must contain a provision which allows for resolution of disputes without stoppage of work by arbitration or otherwise, concerning the interpretation, application, administration or alleged contravention of a Collective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Where a dispute is dealt with by arbitration, section 58 makes the decision final and not reviewable in any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60 sets out the remedial jurisdiction of the arbitrator or arbitration board to resolve any dispute arising under a Collective Agreement. These powers have been interpreted broadly to allow an arbitrator or board the right to award damages in the appropriate circumstances: see </w:t>
      </w:r>
      <w:r>
        <w:rPr>
          <w:rFonts w:ascii="arial" w:eastAsia="arial" w:hAnsi="arial" w:cs="arial"/>
          <w:b/>
          <w:i/>
          <w:color w:val="000000"/>
          <w:sz w:val="20"/>
          <w:lang w:val="en-US" w:eastAsia="en-US" w:bidi="ar-SA"/>
        </w:rPr>
        <w:t>Re CVC Services and I.W.A. (Canada) Local 1-71</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(1997), 65 L.A.C. (4th) 54</w:t>
        </w:r>
      </w:hyperlink>
      <w:r>
        <w:rPr>
          <w:rFonts w:ascii="arial" w:eastAsia="arial" w:hAnsi="arial" w:cs="arial"/>
          <w:color w:val="000000"/>
          <w:sz w:val="20"/>
          <w:lang w:val="en-US" w:eastAsia="en-US" w:bidi="ar-SA"/>
        </w:rPr>
        <w:t xml:space="preserve"> (B.C. Collective Agreement Arbitration).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access to the grievance procedure which grounds the exclusive jurisdiction model. No longer does the employee need to face the employer alone. She has a representative to act for her and a statutorily mandated process through which her grievance may be put, and a detailed contract which sets out the terms and conditions of her employment and which binds the employer as well as the union.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Belik has relied on the Union to assist her, and her original grievance respecting the issues with her managers was filed under the Collective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attractive the notion is that "for every wrong there is a remedy," sometimes that is not the case or, put more precisely, for every wrong there may not be a remedy which satisfies a complainant. Ms. Belik has had her issues considered by her Union and it has decided not to take them to arbitration. I need not consider why the Union made that decision, indeed that matter was no doubt reviewed by the CIRB when considering Ms. Belik's duty of fair representation complaint against the Union.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any event, why the Union decided not to proceed is not relevant to the question of the court's jurisdiction. As exclusive bargaining agent for the plaintiff, the Union had the right to make that decision and, subject to the plaintiff's right to allege a breach of the duty of fair representation, which she exercised, she must abide by the Union's decision: see </w:t>
      </w:r>
      <w:r>
        <w:rPr>
          <w:rFonts w:ascii="arial" w:eastAsia="arial" w:hAnsi="arial" w:cs="arial"/>
          <w:i/>
          <w:color w:val="000000"/>
          <w:sz w:val="20"/>
          <w:lang w:val="en-US" w:eastAsia="en-US" w:bidi="ar-SA"/>
        </w:rPr>
        <w:t xml:space="preserve">e.g. </w:t>
      </w:r>
      <w:r>
        <w:rPr>
          <w:rFonts w:ascii="arial" w:eastAsia="arial" w:hAnsi="arial" w:cs="arial"/>
          <w:b/>
          <w:i/>
          <w:color w:val="000000"/>
          <w:sz w:val="20"/>
          <w:lang w:val="en-US" w:eastAsia="en-US" w:bidi="ar-SA"/>
        </w:rPr>
        <w:t>Noël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paras. 41-45.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Ms. Belik's contention that the Union's decision not to proceed with her grievance brings her within the exception stated in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xml:space="preserve"> is simply incorrect. I note that in this hearing, she was initially represented by a lay practitioner, on her explanation that she was unable to find a lawyer to act for her. She proffered several redacted letters from some labour law practitioners, which indicated they did not wish to act. As I see it, it is more likely that those practitioners advised her she did not have a reasonable case on the merits and they could not advise her to proceed. Her lay advisor, whom I refused to allow to speak for her, and who prepared her materials, clearly did not have a grasp of the meaning of the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xml:space="preserve">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stated by counsel for the applicant Purolator:</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 the Supreme Court of Canada settled the law with regard to division of jurisdiction between the courts and labour arbitrators. The court determined that the first task of a court in deciding which is the appropriate forum is to decide whether the dispute arises under the Collective Agreement, regardless of how the dispute may be legally characterized.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And at paragraph 36 of Purolator's submissions, quoting from the companion decision to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New Brunswick v. O'Leary</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[1995] 2 S.C.R. 967</w:t>
        </w:r>
      </w:hyperlink>
      <w:r>
        <w:rPr>
          <w:rFonts w:ascii="arial" w:eastAsia="arial" w:hAnsi="arial" w:cs="arial"/>
          <w:color w:val="000000"/>
          <w:sz w:val="20"/>
          <w:lang w:val="en-US" w:eastAsia="en-US" w:bidi="ar-SA"/>
        </w:rPr>
        <w:t>, at paragraph 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 . a dispute will be held to arise out of the Collective Agreement if it falls under the agreement either expressly or inferentially. Here the [collective] agreement does not expressly refer to employee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course of work. However,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impliedly</w:t>
      </w:r>
      <w:r>
        <w:rPr>
          <w:rFonts w:ascii="arial" w:eastAsia="arial" w:hAnsi="arial" w:cs="arial"/>
          <w:color w:val="000000"/>
          <w:sz w:val="20"/>
          <w:lang w:val="en-US" w:eastAsia="en-US" w:bidi="ar-SA"/>
        </w:rPr>
        <w:t xml:space="preserve"> falls under the Collective Agreement. Again, it must be underscored that it is the essential character of the difference between the parties, not the legal framework in which the dispute is cast, which will be determinative of the appropriate forum for settlement of the issue.</w:t>
      </w:r>
    </w:p>
    <w:p>
      <w:pPr>
        <w:spacing w:before="120" w:line="260" w:lineRule="atLeast"/>
        <w:ind w:left="1080"/>
        <w:rPr>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a recent decision of the British Columbia Court of Appeal, </w:t>
      </w:r>
      <w:r>
        <w:rPr>
          <w:rFonts w:ascii="arial" w:eastAsia="arial" w:hAnsi="arial" w:cs="arial"/>
          <w:b/>
          <w:i/>
          <w:color w:val="000000"/>
          <w:sz w:val="20"/>
          <w:lang w:val="en-US" w:eastAsia="en-US" w:bidi="ar-SA"/>
        </w:rPr>
        <w:t>Ferreira v. Richmond (City)</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[2007] B.C.J. No. 373</w:t>
        </w:r>
      </w:hyperlink>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2007 BCCA 131</w:t>
        </w:r>
      </w:hyperlink>
      <w:r>
        <w:rPr>
          <w:rFonts w:ascii="arial" w:eastAsia="arial" w:hAnsi="arial" w:cs="arial"/>
          <w:color w:val="000000"/>
          <w:sz w:val="20"/>
          <w:lang w:val="en-US" w:eastAsia="en-US" w:bidi="ar-SA"/>
        </w:rPr>
        <w:t>, which concerned a court action brought by an employee alleging mistreatment arising out of his "whistleblowing", a majority of the court stated that even though there was no specific provision in the Collective Agreement that mentioned "whistleblowing", or a clause that stated the employer shall provide its employees with a harassment-free work environment, from a reading of the Collective Agreement as a whole, the dispute fell inferentially within its ambit. The court went on to say that the essential character of the plaintiff's complaint, while cast in the language of tort and other related causes of action, had to be seen as a workplace grievance that fell impliedly under the terms of the Collective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a concurring judgment in </w:t>
      </w:r>
      <w:r>
        <w:rPr>
          <w:rFonts w:ascii="arial" w:eastAsia="arial" w:hAnsi="arial" w:cs="arial"/>
          <w:b/>
          <w:i/>
          <w:color w:val="000000"/>
          <w:sz w:val="20"/>
          <w:lang w:val="en-US" w:eastAsia="en-US" w:bidi="ar-SA"/>
        </w:rPr>
        <w:t>Ferreira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Saunders J.A. noted that the matter concerned in the lawsuit was essentially an issue of the application of the Collective Agreement and this was apparent from the pleadings. She went on to say that at its heart, the plaintiff's complaint was about his employer's response to his communications to it and its failure to restrain the behaviour of co-workers, and this caused him depression. As such, the complaint could be characterized as a complaint about the exercise of management rights and the managerial response to the plaintiff's communications with the 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consider the judgment in </w:t>
      </w:r>
      <w:r>
        <w:rPr>
          <w:rFonts w:ascii="arial" w:eastAsia="arial" w:hAnsi="arial" w:cs="arial"/>
          <w:b/>
          <w:color w:val="000000"/>
          <w:sz w:val="20"/>
          <w:lang w:val="en-US" w:eastAsia="en-US" w:bidi="ar-SA"/>
        </w:rPr>
        <w:t>Ferreira</w:t>
      </w:r>
      <w:r>
        <w:rPr>
          <w:rFonts w:ascii="arial" w:eastAsia="arial" w:hAnsi="arial" w:cs="arial"/>
          <w:color w:val="000000"/>
          <w:sz w:val="20"/>
          <w:lang w:val="en-US" w:eastAsia="en-US" w:bidi="ar-SA"/>
        </w:rPr>
        <w:t xml:space="preserve"> to be particularly apt in relation to Ms. Belik's complaint. Her issues can clearly be characterized as a complaint about the exercise of management rights and the managerial response to her communications about her supervisors. As such, the complaint falls squarely within the ambit of the Collective Agreement and outside the jurisdiction of the courts.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legislation of a comprehensive statutory scheme designed to govern all aspects of the relationship of the parties in a labour relations setting attracts judicial deference to the arbitration process. To permit matters governed by the Collective Agreement to be the subject of lawsuits in the courts would undermine the relationship between the employer and the union which represents the employees. Arbitration is the appropriate forum for resolution of workplace issues in a unionized environment, and as stated by McLachlin J. (as she then was) in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41, quoting Estey J. in </w:t>
      </w:r>
      <w:r>
        <w:rPr>
          <w:rFonts w:ascii="arial" w:eastAsia="arial" w:hAnsi="arial" w:cs="arial"/>
          <w:b/>
          <w:i/>
          <w:color w:val="000000"/>
          <w:sz w:val="20"/>
          <w:lang w:val="en-US" w:eastAsia="en-US" w:bidi="ar-SA"/>
        </w:rPr>
        <w:t>St. Anne Nackawic Pulp &amp; Paper Co. v. Canadian Paper Workers Union, Local 219</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xml:space="preserve"> at 719:</w:t>
      </w:r>
      <w:r>
        <w:rPr>
          <w:lang w:val="en-US" w:eastAsia="en-US" w:bidi="ar-SA"/>
        </w:rPr>
        <w:cr/>
      </w:r>
    </w:p>
    <w:p>
      <w:pPr>
        <w:spacing w:line="260" w:lineRule="atLeast"/>
        <w:ind w:left="720"/>
        <w:rPr>
          <w:lang w:val="en-US" w:eastAsia="en-US" w:bidi="ar-SA"/>
        </w:rPr>
      </w:pPr>
      <w:r>
        <w:rPr>
          <w:rFonts w:ascii="arial" w:eastAsia="arial" w:hAnsi="arial" w:cs="arial"/>
          <w:i/>
          <w:color w:val="000000"/>
          <w:sz w:val="20"/>
          <w:lang w:val="en-US" w:eastAsia="en-US" w:bidi="ar-SA"/>
        </w:rPr>
        <w:t>. . .</w:t>
      </w:r>
      <w:r>
        <w:rPr>
          <w:rFonts w:ascii="arial" w:eastAsia="arial" w:hAnsi="arial" w:cs="arial"/>
          <w:color w:val="000000"/>
          <w:sz w:val="20"/>
          <w:lang w:val="en-US" w:eastAsia="en-US" w:bidi="ar-SA"/>
        </w:rPr>
        <w:t xml:space="preserve"> the law has so evolved that it is appropriate to hold that the grievance and arbitration procedures provided . . . and embodied by legislative prescription in the terms of a Collective Agreement provide the exclusive recourse open to parties to the Collective Agreement for its enforcement. [Emphasis of McLachlin J. deleted.]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Belik's complaint derives from the workplace and is inherently covered by the terms of the Collective Agreement. As a result, this court has no jurisdiction to hear her complaints.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Purolator is entitled to an Order declaring that this Court is without jurisdiction to consider Ms. Belik's complaint. Her Statement of Claim is struck out in its entirety and her action dismissed with costs to the applicant.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RUSSELL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Biggan v. Fall, [2011] B.C.J. No. 700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J.K. Bracken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4 and 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06-1451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700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918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 A.C.W.S. (3d) 586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Debora Ann Biggan, Plaintiff, and Jeannette Jaqueline Fall, the Estate of Lloyd Scott, Deanna Lynn Leask and Thomas MacEwan Leask, Defendants, and The Estate of Lloyd Scott and Stewart Scott,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2"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2" w:name="Keywords_44"/>
      <w:bookmarkEnd w:id="302"/>
      <w:r>
        <w:rPr>
          <w:rFonts w:ascii="arial" w:eastAsia="arial" w:hAnsi="arial" w:cs="arial"/>
          <w:b/>
          <w:color w:val="000000"/>
          <w:sz w:val="20"/>
          <w:lang w:val="en-US" w:eastAsia="en-US" w:bidi="ar-SA"/>
        </w:rPr>
        <w:t>Tort law — Occupier's liability — Duty of occupier — To warn of danger — Legislation — Particular situations — Property abutting on highway — Counterclaim for damages against estate and deceased's son dismissed — Plaintiff by counterclaim worked for deceased — Son asked plaintiff to wash and clean vehicle — Plaintiff moved vehicle onto driveway and blocked wheels with wood — However, vehicle rolled onto road and collided with vehicle belonging to plaintiffs in main action — Plaintiff chased vehicle and was injured — Son told plaintiff he would move vehicle for her — Plaintiff took it upon herself to move vehicle, despite knowing risk of vehicle rolling down sloped driveway onto highway — Plaintiff assumed all risk of injury.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3" w:name="Case Summary_43"/>
            <w:bookmarkEnd w:id="3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Counterclaim for damages against the estate and the deceased's son. The plaintiff by counterclaim worked for the deceased as a homecare provider. The son was a frequent visitor and often gave the plaintiff instructions. The son asked the plaintiff to clean the inside and outside of the deceased's vehicle when she had the time. The son was not home on the day in question, but the plaintiff knew where the car keys were kept and she moved the vehicle onto the driveway. The plaintiff was familiar with the sloped driveway and placed a piece of firewood behind the rear wheels to prevent the car from rolling backwards on the highway. However, the car began to roll. The plaintiff had no recollection after that, but a witness saw her chase the car down the driveway. The car collided with the car belonging to the plaintiffs in the main action, and the plaintiff was seriously injured in the collision. The son testified that, when the plaintiff called him that day to say she had time to clean the car, he explicitly told her to clean only the inside because he would not be able to come to the house to move the car for her. This was confirmed by the son's girlfriend, who heard the son tell the plaintiff not to move the car. The plaintiff argued the defendants were liable under the Occupier's Liability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4" w:name="Holdings of Court_39"/>
            <w:bookmarkEnd w:id="304"/>
            <w:r>
              <w:rPr>
                <w:rFonts w:ascii="arial" w:eastAsia="arial" w:hAnsi="arial" w:cs="arial"/>
                <w:color w:val="000000"/>
                <w:sz w:val="20"/>
                <w:lang w:val="en-US" w:eastAsia="en-US" w:bidi="ar-SA"/>
              </w:rPr>
              <w:t>HELD: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clearly given instructions to clean the car; however, the son intended to move the car for her, and specifically directed her to clean only the inside of the car on the day in question. The plaintiff took it upon herself to move the car into the driveway. The plaintiff was very familiar with the property and knew how to operate the vehicle. The plaintiff was well aware of the risks associated with parking on the sloped driveway, and tried to prevent the car from rolling with a piece of wood and chase it when it began to roll. There was no evidence of any defect in the vehicle that caused it to roll. The plaintiff assumed all risk of injury.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5" w:name="Legislation Cited_33"/>
      <w:bookmarkEnd w:id="3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3"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183"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6" w:name="Counsel_46"/>
      <w:bookmarkEnd w:id="3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4"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Defendant/Plaintiff by, Counterclaim, Jeannette Jacqueline Fall: R.B. Morahan.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Defendant/Defendant by, Counterclaim, Stewart Scott: J.A.C.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Defendant/Defendant by, Counterclaim, The Estate of Lloyd Scott: B.R. McConnan,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7" w:name="Judgment_45"/>
      <w:bookmarkEnd w:id="307"/>
      <w:r>
        <w:pict>
          <v:line id="_x0000_s1255"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8" w:name="J.K. BRACKEN J."/>
            <w:bookmarkEnd w:id="308"/>
            <w:r>
              <w:rPr>
                <w:rFonts w:ascii="arial" w:eastAsia="arial" w:hAnsi="arial" w:cs="arial"/>
                <w:b/>
                <w:color w:val="000000"/>
                <w:sz w:val="30"/>
                <w:lang w:val="en-US" w:eastAsia="en-US" w:bidi="ar-SA"/>
              </w:rPr>
              <w:t>J.K. BRACKEN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by counterclaim in this action seeks damages against the estate of Lloyd Scott and his son, Stewart Scott (the "Scotts"), pursuant to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from an unusual motor vehicle collision that occurred on the Shawnigan-Mill Bay Road near Shawnigan Lake, British Columbia, on the morning of August 15,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approximately 10:15 a.m. a vehicle driven by Debora Ann Biggan ("Biggan") was travelling west on the Shawnigan-Mill Bay Road and a vehicle driven by Deanna Lynn Leask ("Leask") and owned by Thomas MacEwan Leask was travelling east on the same road. Shawnigan-Mill Bay Road is a main thoroughfare between the Trans Canada Highway at Mill Bay and the Village of Shawnigan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by counterclaim, Jeannette Jacqueline Fall, was at work at a residence at 1500 Shawnigan-Mill Bay Road. She worked as a home care provider for the owner of the home, Lloyd Scott. Her work involved preparing meals, cleaning and on occasion, doing outside work or gardening. Mr. Scott's son, Stewart Scott, kept an office at his father's home and was a frequent visitor to the home. He sometimes stayed overnight at the home, although he had a residence in Victoria as well. He occasionally gave instructions to Ms. Fall as to the work that she was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Sometime in late 2003, Lloyd Scott had a stroke and as a result, suffered from serious physical disabilities. After Mr. Scott's stroke, Ms. Fall worked more frequently at the home and her duties expanded. Lloyd Scott died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accident Lloyd Scott owned a car that he kept in a garage attached to his house. The garage was part of the lower level of the house and was walled off from the remainder of the basement of the home. As a result of his disabilities, he was no longer licensed to drive and the car had been sitting in the garage without having moved for at least one year. The car was unregistered and uninsured.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August 15, 2005, Ms. Fall took the keys to the car and backed it out onto the driveway in front of the garage, intending to wash it. Before moving the car, she located what she believed was a suitable piece of firewood and a rock and placed them on the driveway to block the wheels to prevent the car from rolling backwards down the driveway. The driveway in front of the house runs in a straight line downhill towards Shawnigan-Mill Bay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parked the car on the driveway and said she felt the rear wheels come in contact with the rock or piece of firewood. She put the manual transmission in first gear, applied the hand brake and got out. The car has an alarm system which sounds if the keys are left in the ignition, and as a result of hearing the chimes, she reached in, took the keys from the ignition, and placed them on the seat of the car. She then started to walk back to the house to get some cleaning equipment. She walked behind the car and as she did so, she noticed it was starting to roll backwards. She moved out of the way and the car continued rolling backwards down the driveway towards the road. Ms. Fall does not recall anything that happened after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the car reached the Shawnigan-Mill Bay Road, it collided with the vehicles driven by Biggan and Leask. The Biggan and Leask vehicles then collided with each other. Although Ms. Fall does not recall doing so, it is apparent she ran beside the Scott vehicle as it rolled down the driveway. A witness to the accident, Mr. Brian Mellings, observed her running beside the car and saw her become involved in the collision. She somehow ended up under the Biggan vehicle and she suffered serious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trial of this action involves only the claim of Ms. Fall against Stewart Scott and the Estate of Lloyd Scott. It is admitted that the Scotts were occupiers of 1500 Shawnigan-Mill Bay Road as that term is defined in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Fall worked as a housekeeper for Lloyd Scott and had done so for about six years prior to August 15, 2005. She cleaned the house and prepared some meals initially. Later, after his stroke, she also did some gardening and other work around the property. Stewart Scott lived primarily in Victoria. He kept one room of the house as his office and stayed at the house from time to time. Ms. Fall did not enter that office without instruction from Mr. 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Fall occasionally took instructions respecting the work she was to do from Stewart Scott, particularly after his father suffered a stroke. When it became clear Lloyd Scott would not recover sufficiently to obtain a driver's license, it was decided his car should be prepared for sale and sold. To that end, Stewart Scott asked Ms. Fall to clean up the car when she had some extra time. Ms. Fall knew the car had been sitting idle and that it had not been moved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Fall said Stewart Scott called her a couple of days before August 15, 2005 and asked her to clean the inside and outside of the car and to remove any of his father's personal belongings. She said when she arrived at the house on August 15th at about 7:45 a.m. she attended to her regular cleaning. Then, about two hours later, she started work on the car. She said Stewart Scott had told her the keys for the car were kept on a nail in a wall near the staircase. She said he told her the keys were concealed so his father could not find them and attempt to drive the car himself. She retrieved the keys from the nail, intending to move it outside where she could wash it. The car was a Hyundai sedan and it had a standard transmission. Ms. Fall is an experienced driver and was familiar with and able to drive a standard transmission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opened the garage door and placed the block of wood and a rock on the driveway to block the wheels. She backed the car out of the garage and believed the rear wheels contacted the blocks she had placed on the driveway. She stopped the car, shut it off, placed the transmission in first gear, and applied the hand brake. She then got out and went around the rear of the car, to get some other equipment she needed to wash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said she had previously seen other cars, including Stewart Scott's car, parked on the driveway in front of the garage. She was aware of the slope of the driveway and she was aware of the risk of an unsecured vehicle rolling backwards down and onto Shawnigan-Mill Bay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John Drummond lived with Ms. Fall in August 2005 and he knew Stewart Scott, although he did not know Lloyd Scott. He said Stewart Scott normally phoned Ms. Fall to instruct her on any additional work he wanted her to do. He said Stewart Scott called Ms. Fall a couple of days prior to August 15th, he believed it was on August 12th, the Friday before August 15th. He understood Mr. Scott wanted her to clean the inside of his father's car and to wash the outside. Mr. Drummond was aware the car had been sitting for a long period of time and at his suggestion, Ms. Fall took a battery charger from their home to charge the battery while she was cleaning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Stewart Scott said Ms. Fall came to his father's home about twice a week after his father's stroke in 2003. Her tasks were general cleaning and some cooking and at times he asked her to do additional chores around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said his father's car was kept locked and had been parked in the garage for at least one year. He said the keys were kept in the upstairs room that he used as his office and were hung on a key rack. He denied the keys were kept on a nail by the stairs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had no recollection of calling Ms. Fall on August 12, 2005, but said they did have a brief conversation on August 14, 2005. He asked her to call if she thought she would have any extra time when she was at the house the next day as he wanted her to clean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did call him before she left for work early in the morning on August 15, 2005 to say she believed she would have time to do the car. He said he told her he was not able to come to the house to move the car that day so she should only clean the inside of the car and remove his father's possessions. He said he told her she could find the keys in the upstairs room he used as his office. He said he also told her the outside of the car would have to be done on a different day as he believed the battery was likely dead.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agreed an unsecured vehicle parked on the sloped driveway at the house could roll backwards onto Shawnigan-Mill Bay road. The driveway cannot easily been seen from the road as it is obscured by trees. He said he never gave Ms. Fall any instruction on how to manage the risk of the sloping driveway as there was never any occasion that required such an instruction. He said he did not give her any instruction to move the car on August 15, 2005 or any 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Jeanette Guetchev was Stewart Scott's girlfriend in August of 2005. She said early in the morning on the day of the accident, she was with Mr. Scott when he received a telephone call. The call was received shortly after 6:30 a.m. She believed the call was from Ms. Fall. She said she heard Mr. Scott instruct the caller to only clean the inside of the vehicle and that the outside would have to be done on a different day as he could not be there to move the car. She did not recall him giving an explicit instruction not to move the car, only that the outside would have to be done on another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Fall said Stewart Scott told her to where the keys were kept, a fact she could not have known otherwise. She found the keys on a nail by the staircase. She said the vehicle was unlocked when she went to it and thus, the only reason the keys were necessary was so the vehicle could be moved. Mr. Scott said the vehicle was always locked and the keys were necessary to open the doors so that Ms. Fall could have access to the interior.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Drummond corroborated Ms. Fall's testimony that she understood she was to wash both the inside and the outside of the vehicle, and he provided her with a battery charger so the car could be started if the battery was dead. He also said she took cleaning equipment with her that was necessary only if she was to wash the outside of the car. Ms. Guetchev, on the other hand, corroborated Mr. Scott's evidence that he told Ms. Fall only to clean the inside of the vehicle as he was not available to move the car out of the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clear Ms. Fall was given some direction with respect to cleaning the inside and outside of the car. I conclude there was an initial discussion about cleaning both the inside and the outside of the vehicle if she had enough time. She was instructed to advise Mr. Scott if she thought she would have time to clean the vehicle on August 15th, and she did call early in the morning that day. However, on that morning, Mr. Scott knew that he would not be available to move the vehicle and he told her to restrict her cleaning activities to the inside of the vehicle only. I find the clear inference from that discussion was that she was not to move the vehicle outside herself. I find she took it upon herself to move the vehicle to the driveway for the purpose of washing the outside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also find that Ms. Fall was familiar with the property. She had attended on the property and used the driveway on numerous prior occasions. She was well aware of the risk of an unsecured vehicle rolling back onto Shawnigan-Mill Bay Road. Her awareness of that risk was demonstrated by her attempt to block the wheels of the car before moving it from the garage and by placing the transmission in first gear before getting out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Once the vehicle started to roll backwards, the evidence shows that she attempted to follow the vehicle down the driveway in the hope of attempting to bring it under control and prevent it from getting onto the road. Unfortunately, she became caught up in the collision between the Biggan vehicle and Mr. Scott's vehicle, and finally, the collision that involved all three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Ms. Fall says the Scotts, as occupiers of the premises, owed her a duty to take reasonable care to ensure she was reasonably safe in using the premises. She argues the risk of the car rolling down the driveway and her action in running beside it in an attempt to gain control of the car was a foreseeable risk of moving the vehicle out onto the driveway in the first place. Ms. Fall says the risk of the accident occurring as it did was a reasonably foreseeable risk that should have been anticipated by the Scotts and they are therefore liable for failing to warn her not to use or move the vehicle: </w:t>
      </w:r>
      <w:r>
        <w:rPr>
          <w:rFonts w:ascii="arial" w:eastAsia="arial" w:hAnsi="arial" w:cs="arial"/>
          <w:i/>
          <w:color w:val="000000"/>
          <w:sz w:val="20"/>
          <w:lang w:val="en-US" w:eastAsia="en-US" w:bidi="ar-SA"/>
        </w:rPr>
        <w:t>Rendell v. Ewert</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(1989), 38 B.C.L.R. (2d) 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Chretien v. Jensen</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[1998] B.C.J. No. 2938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Stynes v. Victoria (City)</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[1990] B.C.J. No. 244</w:t>
        </w:r>
      </w:hyperlink>
      <w:r>
        <w:rPr>
          <w:rFonts w:ascii="arial" w:eastAsia="arial" w:hAnsi="arial" w:cs="arial"/>
          <w:color w:val="000000"/>
          <w:sz w:val="20"/>
          <w:lang w:val="en-US" w:eastAsia="en-US" w:bidi="ar-SA"/>
        </w:rPr>
        <w:t xml:space="preserve"> (B.C.C.A.), a tennis player was injured while playing on a tennis court owned by the City. He was familiar with the tennis court and was aware of some of the deficiencies in the playing surface. At trial, liability was assessed 60% against the City and 40% against the plaintiff. On appeal by the City, the court upheld the trial judgment. The court reviewed the trial judge's findings respecting the deficiencies in the playing surface and that the plaintiff was aware of some of the defects and the resulting risk of playing on the court. However, the court concluded the knowledge of the plaintiff was not sufficient to prove he willingly accepted the risks as his own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Philippot v. Murphy</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[1987] B.C.J. No. 530</w:t>
        </w:r>
      </w:hyperlink>
      <w:r>
        <w:rPr>
          <w:rFonts w:ascii="arial" w:eastAsia="arial" w:hAnsi="arial" w:cs="arial"/>
          <w:color w:val="000000"/>
          <w:sz w:val="20"/>
          <w:lang w:val="en-US" w:eastAsia="en-US" w:bidi="ar-SA"/>
        </w:rPr>
        <w:t xml:space="preserve"> (B.C.C.A.), the plaintiff was injured in the process of lowering a marine ramp owned by the defendants and situated on their property. She claimed the defendants were negligent in failing to warn her of the risk of lowering the ramp when there was a very low tide. The defendants knew the ramp would be very difficult for the plaintiff if she used it when the tide was extremely low. The court held that the basis of the defendants' liability was the failure to warn. The court stated at p.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fundamental basis of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continues to be the creation of a foreseeable risk of harm. That basic principle applies as much to failure to warn as to any other kind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is of particular importance in relation to such cases because the danger of applying hindsight rather than foreseeability is particularly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Ms. Fall also referred to the decision of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[1997] B.C.J. No. 2853</w:t>
        </w:r>
      </w:hyperlink>
      <w:r>
        <w:rPr>
          <w:rFonts w:ascii="arial" w:eastAsia="arial" w:hAnsi="arial" w:cs="arial"/>
          <w:color w:val="000000"/>
          <w:sz w:val="20"/>
          <w:lang w:val="en-US" w:eastAsia="en-US" w:bidi="ar-SA"/>
        </w:rPr>
        <w:t xml:space="preserve"> (B.C.C.A.). In that case, the plaintiff and some companions walked down a public path on the defendant's property to visit a natural hot spring. The hot spring was surrounded by a concrete and barbed wire obstruction which the plaintiff climbed over in an attempt to gain access to the pool. In doing so, she fell into the pool and was severely burned from the waist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trial judge found the defendant was liable for failing to ensure that people using the premises would be reasonably safe in doing so. The court found the great hazard constituted by a pool of scalding water was a significant factor in the case. The nature and extent of that hazard was known to the defendant, but not to the plaintiff. The court apportioned 60% of the fault to the defendant and 40%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Fall submits the steepness of the driveway at the Scotts' residence was also a significant risk. As such, she argues Stewart Scott should have given a very clear instruction not to park the vehicle on the driveway as part of any discussion about washing Lloyd Scott's car. She submits the initial discussion was about washing both the inside and the outside of the car, and as a result there should have been a clear warning of the risk that it might roll down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Scotts argue they did not breach any duty they owed to Ms. Fall. They say she voluntarily assumed any risk that was present by moving the vehicle contrary to Stewart Scott's instructions. More importantly, they say it was not reasonably foreseeable she would run down the driveway and onto the road in an obviously futile attempt to try and bring the vehicle under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Scotts emphasize that Ms. Fall had been going to the residence and using that driveway for a period of six years. She had parked her own car on the driveway, although typically she parked beside the house where the ground is more level. She is an experienced driver and familiar with the operation of vehicles with a standard transmission.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Scotts refer to </w:t>
      </w:r>
      <w:r>
        <w:rPr>
          <w:rFonts w:ascii="arial" w:eastAsia="arial" w:hAnsi="arial" w:cs="arial"/>
          <w:i/>
          <w:color w:val="000000"/>
          <w:sz w:val="20"/>
          <w:lang w:val="en-US" w:eastAsia="en-US" w:bidi="ar-SA"/>
        </w:rPr>
        <w:t>Mainardi v. Shannon</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[2005] B.C.J. No. 1033</w:t>
        </w:r>
      </w:hyperlink>
      <w:r>
        <w:rPr>
          <w:rFonts w:ascii="arial" w:eastAsia="arial" w:hAnsi="arial" w:cs="arial"/>
          <w:color w:val="000000"/>
          <w:sz w:val="20"/>
          <w:lang w:val="en-US" w:eastAsia="en-US" w:bidi="ar-SA"/>
        </w:rPr>
        <w:t xml:space="preserve"> (S.C.) where at para. 21 the court stated a number of well-established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applying the duty imposed by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to the facts of an individual case there are a number of propositions of law that are well established by the jurisprudence.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bears the onus of proving on a balance of probabilities that the occupier breached his or her duty of care.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created by the fact that the plaintiff was injured. The plaintiff must establish that some act or failure to act on the part of the occupier resulted in his or her injury: (</w:t>
      </w:r>
      <w:r>
        <w:rPr>
          <w:rFonts w:ascii="arial" w:eastAsia="arial" w:hAnsi="arial" w:cs="arial"/>
          <w:i/>
          <w:color w:val="000000"/>
          <w:sz w:val="20"/>
          <w:lang w:val="en-US" w:eastAsia="en-US" w:bidi="ar-SA"/>
        </w:rPr>
        <w:t>Bauman v. Stein</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imposed by the Act does not require the occupier to remove every possibility of danger -- the test is one of reasonableness, not perfection: (</w:t>
      </w:r>
      <w:r>
        <w:rPr>
          <w:rFonts w:ascii="arial" w:eastAsia="arial" w:hAnsi="arial" w:cs="arial"/>
          <w:i/>
          <w:color w:val="000000"/>
          <w:sz w:val="20"/>
          <w:lang w:val="en-US" w:eastAsia="en-US" w:bidi="ar-SA"/>
        </w:rPr>
        <w:t>Gerak v. British Columbia</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(1984), 59 B.C.L.R. 273</w:t>
        </w:r>
      </w:hyperlink>
      <w:r>
        <w:rPr>
          <w:rFonts w:ascii="arial" w:eastAsia="arial" w:hAnsi="arial" w:cs="arial"/>
          <w:color w:val="000000"/>
          <w:sz w:val="20"/>
          <w:lang w:val="en-US" w:eastAsia="en-US" w:bidi="ar-SA"/>
        </w:rPr>
        <w:t xml:space="preserve"> (C.A.) (leave to appeal to S.C.C. refused; </w:t>
      </w:r>
      <w:r>
        <w:rPr>
          <w:rFonts w:ascii="arial" w:eastAsia="arial" w:hAnsi="arial" w:cs="arial"/>
          <w:i/>
          <w:color w:val="000000"/>
          <w:sz w:val="20"/>
          <w:lang w:val="en-US" w:eastAsia="en-US" w:bidi="ar-SA"/>
        </w:rPr>
        <w:t>Carlson v. Canada Safeway Ltd.</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not entitled to resort to speculation when determining the cause of the plaintiff's fall and subsequent injury. The plaintiff must prove the nexus between his or her fall and the occupier's failure to discharge his or her duty of care: (</w:t>
      </w:r>
      <w:r>
        <w:rPr>
          <w:rFonts w:ascii="arial" w:eastAsia="arial" w:hAnsi="arial" w:cs="arial"/>
          <w:i/>
          <w:color w:val="000000"/>
          <w:sz w:val="20"/>
          <w:lang w:val="en-US" w:eastAsia="en-US" w:bidi="ar-SA"/>
        </w:rPr>
        <w:t>Cropley v. Daishinpan (Canada) Ltd.</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[2002] B.C.J. No. 2398</w:t>
        </w:r>
      </w:hyperlink>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2002 BCSC 1477</w:t>
        </w:r>
      </w:hyperlink>
      <w:r>
        <w:rPr>
          <w:rFonts w:ascii="arial" w:eastAsia="arial" w:hAnsi="arial" w:cs="arial"/>
          <w:color w:val="000000"/>
          <w:sz w:val="20"/>
          <w:lang w:val="en-US" w:eastAsia="en-US" w:bidi="ar-SA"/>
        </w:rPr>
        <w:t xml:space="preserve"> [paragraph] 22).</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that an occupier must take differs according to the nature and use of the premises: (</w:t>
      </w:r>
      <w:r>
        <w:rPr>
          <w:rFonts w:ascii="arial" w:eastAsia="arial" w:hAnsi="arial" w:cs="arial"/>
          <w:i/>
          <w:color w:val="000000"/>
          <w:sz w:val="20"/>
          <w:lang w:val="en-US" w:eastAsia="en-US" w:bidi="ar-SA"/>
        </w:rPr>
        <w:t>Kayser v. Park Royal Shopping Centre Ltd.</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(1995), 16 B.C.L.R. (3d) 330</w:t>
        </w:r>
      </w:hyperlink>
      <w:r>
        <w:rPr>
          <w:rFonts w:ascii="arial" w:eastAsia="arial" w:hAnsi="arial" w:cs="arial"/>
          <w:color w:val="000000"/>
          <w:sz w:val="20"/>
          <w:lang w:val="en-US" w:eastAsia="en-US" w:bidi="ar-SA"/>
        </w:rPr>
        <w:t xml:space="preserve"> (C.A.)).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need not, in all cases, show that he or she had a specific policy in place to deal with the maintenance of the portion of the premises where the fall occurred. The nature of the premises will determine whether or not a maintenance scheme will be required: (</w:t>
      </w:r>
      <w:r>
        <w:rPr>
          <w:rFonts w:ascii="arial" w:eastAsia="arial" w:hAnsi="arial" w:cs="arial"/>
          <w:i/>
          <w:color w:val="000000"/>
          <w:sz w:val="20"/>
          <w:lang w:val="en-US" w:eastAsia="en-US" w:bidi="ar-SA"/>
        </w:rPr>
        <w:t>Leduc v. Goodwill Investments Ltd.</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[1997] B.C.J. No. 1709</w:t>
        </w:r>
      </w:hyperlink>
      <w:r>
        <w:rPr>
          <w:rFonts w:ascii="arial" w:eastAsia="arial" w:hAnsi="arial" w:cs="arial"/>
          <w:color w:val="000000"/>
          <w:sz w:val="20"/>
          <w:lang w:val="en-US" w:eastAsia="en-US" w:bidi="ar-SA"/>
        </w:rPr>
        <w:t xml:space="preserve"> (S.C.) [paragraph]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Scotts say there is no causal connection between any fault on the part of Stewart Scott and the injuries that occurred to Ms. Fall. Leaving aside Ms. Fall's conduct in running down the driveway beside the car, the Scotts argue the mere possibility of the car rolling down the driveway and causing a collision is not sufficient to find liability. For this principle they rely on the decision of </w:t>
      </w:r>
      <w:r>
        <w:rPr>
          <w:rFonts w:ascii="arial" w:eastAsia="arial" w:hAnsi="arial" w:cs="arial"/>
          <w:i/>
          <w:color w:val="000000"/>
          <w:sz w:val="20"/>
          <w:lang w:val="en-US" w:eastAsia="en-US" w:bidi="ar-SA"/>
        </w:rPr>
        <w:t>Sarvis v. Arvanitia</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[1993] B.C.J. No. 1841</w:t>
        </w:r>
      </w:hyperlink>
      <w:r>
        <w:rPr>
          <w:rFonts w:ascii="arial" w:eastAsia="arial" w:hAnsi="arial" w:cs="arial"/>
          <w:color w:val="000000"/>
          <w:sz w:val="20"/>
          <w:lang w:val="en-US" w:eastAsia="en-US" w:bidi="ar-SA"/>
        </w:rPr>
        <w:t xml:space="preserve"> (S.C.) at para. 11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every unexpected event, even though possible, can be said to be reasonably foreseeable and, with the greatest of respect to the able argument of counsel for the Plaintiff, I can find only that the event in the case at bar was a possibility and not reasonably foreseeable. Counsel's argument appears to me to advance the proposition that the duty arises with respect to all foreseeable eventualities. This, with respect, makes the occupier an insurer of the safety of the Plaintiff. A sudden fight, a fire, careless physical movements of all kinds by which the Plaintiff might be injured are "foreseeable" in the sense that they could occur on the premises, but in my view to have to guard against all such contingencies on that basis makes the occupier an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Scotts emphasize Ms. Fall was familiar with the property and had used the driveway frequently. She was an experienced driver. She placed the car in first gear and set the hand brake and attempted to block the wheels. Those actions clearly show she understood the risk of leaving the car stationary and unattended on the driveway. Thus, the Scotts argue Ms. Fall assumed any risk of the car rolling back and causing harm. See </w:t>
      </w:r>
      <w:r>
        <w:rPr>
          <w:rFonts w:ascii="arial" w:eastAsia="arial" w:hAnsi="arial" w:cs="arial"/>
          <w:i/>
          <w:color w:val="000000"/>
          <w:sz w:val="20"/>
          <w:lang w:val="en-US" w:eastAsia="en-US" w:bidi="ar-SA"/>
        </w:rPr>
        <w:t>Barreda v. Butchart Gardens Ltd.</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[2002] B.C.J. No. 837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Scotts say further that Ms. Fall's own conduct of running beside the car to where she was caught up in the collision and injured was not only completely unforeseeable, but was clearly a voluntary risk of harm she assumed. It was not a risk that can be associated with parking Mr. Lloyd Scott's car on the slope of the driveway: </w:t>
      </w:r>
      <w:r>
        <w:rPr>
          <w:rFonts w:ascii="arial" w:eastAsia="arial" w:hAnsi="arial" w:cs="arial"/>
          <w:i/>
          <w:color w:val="000000"/>
          <w:sz w:val="20"/>
          <w:lang w:val="en-US" w:eastAsia="en-US" w:bidi="ar-SA"/>
        </w:rPr>
        <w:t>Leweke v. Saanich School District No. 63</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[2005] B.C.J. No. 1213</w:t>
        </w:r>
      </w:hyperlink>
      <w:r>
        <w:rPr>
          <w:rFonts w:ascii="arial" w:eastAsia="arial" w:hAnsi="arial" w:cs="arial"/>
          <w:color w:val="000000"/>
          <w:sz w:val="20"/>
          <w:lang w:val="en-US" w:eastAsia="en-US" w:bidi="ar-SA"/>
        </w:rPr>
        <w:t xml:space="preserve"> (C.A.). The Scotts say they had no duty to warn of the ordinary risks of parking a car on an incline.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Scotts also refer to the case of </w:t>
      </w:r>
      <w:r>
        <w:rPr>
          <w:rFonts w:ascii="arial" w:eastAsia="arial" w:hAnsi="arial" w:cs="arial"/>
          <w:i/>
          <w:color w:val="000000"/>
          <w:sz w:val="20"/>
          <w:lang w:val="en-US" w:eastAsia="en-US" w:bidi="ar-SA"/>
        </w:rPr>
        <w:t>Wickham v. 270792 B.C. Ltd.</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[1997] B.C.J. No. 671</w:t>
        </w:r>
      </w:hyperlink>
      <w:r>
        <w:rPr>
          <w:rFonts w:ascii="arial" w:eastAsia="arial" w:hAnsi="arial" w:cs="arial"/>
          <w:color w:val="000000"/>
          <w:sz w:val="20"/>
          <w:lang w:val="en-US" w:eastAsia="en-US" w:bidi="ar-SA"/>
        </w:rPr>
        <w:t xml:space="preserve"> (C.A.) for the principle that a plaintiff must prove that a breach of duty actually causes or contributes to damages or loss. Causation is a statement of fact and if no causation is found the action must be dismissed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Even if a breach of duty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is found on the part of the Scotts for failing to warn Ms. Fall not to park on the inclined driveway or not to move the vehicle from the garage, they submit there is no nexus between the injuries she received and that breach of duty. The Scotts submit the court is not entitled to resort to speculation in order to find Ms. Fall's injuries were caused by some conduct on their part: </w:t>
      </w:r>
      <w:r>
        <w:rPr>
          <w:rFonts w:ascii="arial" w:eastAsia="arial" w:hAnsi="arial" w:cs="arial"/>
          <w:i/>
          <w:color w:val="000000"/>
          <w:sz w:val="20"/>
          <w:lang w:val="en-US" w:eastAsia="en-US" w:bidi="ar-SA"/>
        </w:rPr>
        <w:t>Lansdowne v. United Church of Canada</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[2000] B.C.J. No. 2188</w:t>
        </w:r>
      </w:hyperlink>
      <w:r>
        <w:rPr>
          <w:rFonts w:ascii="arial" w:eastAsia="arial" w:hAnsi="arial" w:cs="arial"/>
          <w:color w:val="000000"/>
          <w:sz w:val="20"/>
          <w:lang w:val="en-US" w:eastAsia="en-US" w:bidi="ar-SA"/>
        </w:rPr>
        <w:t xml:space="preserve">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Scotts argue further there is no evidence of any defect in the motor vehicle. They say the court must not speculate there must have been some defect that caused the transmission to slip out of gear or that the hand brake did not function properly. The fact the car had not been used for a long time does not suggest that it was mechanically unsound or that its brakes were not functioning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Even though Stewart Scott gave Ms. Fall some direction to clean the car and initially told her to clean the inside and the outside, I find that early on the morning of August 15, 2005 he clearly told her to only clean the inside as he was not available to move the car from the garage. I find she moved the car to the driveway on her own initiative and not as a result of the direction of Stewart 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also find that given her knowledge of the premises and in particular the nature of the driveway, she was well aware of the risk of parking any vehicle on the driveway and demonstrated that awareness by attempting to block the wheels of the vehicle and by putting the transmission in a low forward gear and applying the hand brake before she got out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nothing to suggest either Lloyd Scott or Stewart Scott were aware of any defect in the motor vehicle, nor is there any evidence to establish that there was any defect in the vehicle that could have caused it to roll backwards down the driveway. Finally, in reacting as she did by attempting to follow the vehicle down the driveway, she assumed all risk of the injury that in fact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am not able to find any breach of their duties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by the Scotts and the action on Ms. Fall's counterclaim is dismissed. The Scotts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J.K. BRACKEN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6"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Blue (Litigation guardian of) v. Esquimalt (Township), [2004] B.C.J. No. 1974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S75775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1974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1241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133 A.C.W.S. (3d) 877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Robert Blue, by his litigation guardian, Lila Blue, plaintiff, and The Corporation of the Township of Esquimalt and E Y Properties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7"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9" w:name="Keywords_45"/>
      <w:bookmarkEnd w:id="309"/>
      <w:r>
        <w:rPr>
          <w:rFonts w:ascii="arial" w:eastAsia="arial" w:hAnsi="arial" w:cs="arial"/>
          <w:b/>
          <w:color w:val="000000"/>
          <w:sz w:val="20"/>
          <w:lang w:val="en-US" w:eastAsia="en-US" w:bidi="ar-SA"/>
        </w:rPr>
        <w:t>Legal profession — Barristers and solicitors — Relationship with client — Withdrawal or discharge — Professional responsibility — Professions — Legal — Lawyers — Wills, estates &amp; trusts law — Trusts — The trustee — Public trustee — Mental incompetency — Legal proceedings — Representation of incompetents — Guardian ad litem.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0" w:name="Case Summary_44"/>
            <w:bookmarkEnd w:id="3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law firm representing the plaintiff Blue for a declaration that it is no longer counsel of record. Blue was seven years old when he sustained a serious head injury following a fall from a rock outcrop in 2000. His mother commenced an action on his behalf against the Township and the property owner. The law firm sought to be removed as counsel because the mother was generally uncooperative and refused to provide the firm with access to Blue. In the alternative, the law firm sought to have the Public Guardian Trustee appointed in the mother's place and the action stayed until Blue reached the age of majority. The Public Trustee argued that it did not have sufficient resources to conduct the case and that there was no statutory authority for its appointment.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1" w:name="Holdings of Court_40"/>
            <w:bookmarkEnd w:id="31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Public Trustee properly exercised its statutory discretion in declining its consent to appointment. The course that best served Blue's interests was a stay of proceedings. Therefore, an order stayed the action until Blue reached the age of majority or such time his mother decided to proceed with the action as his litigation guardian.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2" w:name="Legislation Cited_34"/>
      <w:bookmarkEnd w:id="3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8"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16(4),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Public Guardian and Trustee Act, </w:t>
      </w:r>
      <w:hyperlink r:id="rId739" w:history="1">
        <w:r>
          <w:rPr>
            <w:rFonts w:ascii="arial" w:eastAsia="arial" w:hAnsi="arial" w:cs="arial"/>
            <w:i/>
            <w:color w:val="0077CC"/>
            <w:sz w:val="20"/>
            <w:u w:val="single"/>
            <w:shd w:val="clear" w:color="auto" w:fill="FFFFFF"/>
            <w:lang w:val="en-US" w:eastAsia="en-US" w:bidi="ar-SA"/>
          </w:rPr>
          <w:t>R.S.B.C. 1996, c. 383, s. 7</w:t>
        </w:r>
      </w:hyperlink>
      <w:r>
        <w:rPr>
          <w:rFonts w:ascii="arial" w:eastAsia="arial" w:hAnsi="arial" w:cs="arial"/>
          <w:color w:val="000000"/>
          <w:sz w:val="20"/>
          <w:lang w:val="en-US" w:eastAsia="en-US" w:bidi="ar-SA"/>
        </w:rPr>
        <w:t>(3).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3" w:name="Counsel_47"/>
      <w:bookmarkEnd w:id="31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9"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 Chapman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Corporation of the Township of Esquimalt: M.A.E. MacKenzie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Public Guardian and Trustee: C. Herb-Kelly,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4" w:name="Judgment_46"/>
      <w:bookmarkEnd w:id="314"/>
      <w:r>
        <w:pict>
          <v:line id="_x0000_s1260" style="position:absolute;z-index:251857920" from="0,12pt" to="512pt,12pt" strokecolor="#009ddb" strokeweight="1.5pt">
            <v:stroke linestyle="single"/>
          </v:line>
        </w:pic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WEDGE J.</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William Robert Blue ("William") was seven years old on April 28, 2000, when he fell from a rock outcrop while playing near an apartment complex in the Township of Esquimalt, British Columbia. He suffered a significant head injury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William's mother, Lila Blue ("Ms. Blue"), commenced an action on William's behalf as litigation guardian. The defendants in the action are the Corporation of the Township of Esquimalt ("Esquimalt") and the owner of the apartment complex, E Y Properties Ltd. Ms. Blue retained the Surrey, B.C. law firm of Yearwood and Co. (the "Law Firm") as counsel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William is now twelve years of age. For some time now, Ms. Blue has refused the Law Firm access to William, and will not cooperate with the Law Firm in its attempts to litigate the claim. She has recently advised her counsel that she wishes to end the retainer, and intends to move to France with William.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Law Firm has applied pursuant to Rule 16(4) of the Rules of Court for a declaration that it is no longer counsel of record in light of its inability to obtain instructions from Ms. Blue. In the alternative, the Law Firm sought an order removing Ms. Blue as litigation guardian and appointing the Public Guardian and Trustee (the "PGT") in her place. In the event the PGT is not appointed litigation guardian, the Law Firm seeks an order granting a stay of the action in all respects until William reaches the age of majority on December 13,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E Y Properties did not oppose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Esquimalt initially opposed the granting of a stay against it, arguing that the township ought to be allowed to proceed with a summary trial pursuant to Rule 18A of the Rules on the issue of liability. Esquimalt submitted that the PGT ought to be appointed litigation guardian for purposes of the liability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PGT opposed its appointment as litigation guardian, taking the position that it was not in William's best interest to do so particularly in light of Ms. Blue's refusal to cooperate with counsel. The PGT advised the court that it does not have the financial resources to retain counsel and must enter into contingency fee arrangements as a result. William is not a ward of the Province. The PGT said that without the cooperation of Ms. Blue and access to William in order to assess the merits of the case and prepare it for trial, it is highly unlikely any legal counsel will agree to take the case on a contingency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those reasons, the PGT refused to consent to its appointment as litigation guardian, and argued that in the absence of its consent the court lacked authority to order the appointment. The PGT proposed that, in light of all the circumstances, it would be in William's best interests to stay the action until William reaches the age of majority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hearing submissions on the application, I invited counsel for the PGT and Esquimalt to discuss the matter with the Law Firm and then make any further submissions to the court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Subsequently, counsel for Esquimalt filed a written submission advising the court that as a result of discussions among counsel, Esquimalt accepted the submission of the PGT that there was no statutory authority to order the PGT to participate in the litigation without its consent. Esquimalt also accepted that it would not be appropriate to allow any part of the claim to proceed at this time. Before the application was brought, Esquimalt understood that William had no recollection of the events immediately preceding his accident, but were advised by the Law Firm that he did, indeed, recall the events and was capable of testifying with respect to them. Given that Ms. Blue would not permit the Law Firm access to William, or cooperate at all in prosecuting William's claim, Esquimalt agreed with the position of the PGT that it would not be in William's best interest to bring on the liability portion of the trial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Counsel for the PGT also filed a written submission. She argued that, particularly because the Law Firm has confirmed that William recalls the circumstances leading to the accident and has evidence to give on the issue, and because his mother would not permit access to him, it is not in William's best interest to appoint the PGT as litigation guardian and allow any part of the case to proceed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accept that the court has no statutory authority to appoint the PGT as litigation guardian in the circumstances. The applicable statutory provision is s. 7(3) of the Public Guardian and Trustee Act, </w:t>
      </w:r>
      <w:r>
        <w:rPr>
          <w:rFonts w:ascii="arial" w:eastAsia="arial" w:hAnsi="arial" w:cs="arial"/>
          <w:i/>
          <w:color w:val="000000"/>
          <w:sz w:val="20"/>
          <w:lang w:val="en-US" w:eastAsia="en-US" w:bidi="ar-SA"/>
        </w:rPr>
        <w:t>R.S.B.C. 1996, c. 383</w:t>
      </w:r>
      <w:r>
        <w:rPr>
          <w:rFonts w:ascii="arial" w:eastAsia="arial" w:hAnsi="arial" w:cs="arial"/>
          <w:color w:val="000000"/>
          <w:sz w:val="20"/>
          <w:lang w:val="en-US" w:eastAsia="en-US" w:bidi="ar-SA"/>
        </w:rPr>
        <w:t>. That provision gives discretion to the PGT to assume the role of litigation guardian where it considers that it is in the best interests of the infant to do so. Specifically, s. 7(3)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litigation guardian is required for a young person under the Court Rules Act and is not otherwise provided for by the Infants Act, the Public Guardian and Trustee must act as litigation guardian for the young person if the Public Guardian and Trustee considers it is in the young person's best interest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 similar, but not identical, statutory regime exists regarding disabled adults who require a litigation guardian. Our Court of Appeal has concluded the court has no authority to appoint the PGT, in the absence of its consent, as litigation guardian for an incapable adult (Marits v. Wolber, </w:t>
      </w:r>
      <w:hyperlink r:id="rId740" w:history="1">
        <w:r>
          <w:rPr>
            <w:rFonts w:ascii="arial" w:eastAsia="arial" w:hAnsi="arial" w:cs="arial"/>
            <w:i/>
            <w:color w:val="0077CC"/>
            <w:sz w:val="20"/>
            <w:u w:val="single"/>
            <w:shd w:val="clear" w:color="auto" w:fill="FFFFFF"/>
            <w:lang w:val="en-US" w:eastAsia="en-US" w:bidi="ar-SA"/>
          </w:rPr>
          <w:t>[1997] B.C.J. No. 278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Court has broad powers under its inherent jurisdiction to do "all that is necessary to do justice between the parties" (Glover v. Glover et al (No. 7) </w:t>
      </w:r>
      <w:hyperlink r:id="rId741" w:history="1">
        <w:r>
          <w:rPr>
            <w:rFonts w:ascii="arial" w:eastAsia="arial" w:hAnsi="arial" w:cs="arial"/>
            <w:i/>
            <w:color w:val="0077CC"/>
            <w:sz w:val="20"/>
            <w:u w:val="single"/>
            <w:shd w:val="clear" w:color="auto" w:fill="FFFFFF"/>
            <w:lang w:val="en-US" w:eastAsia="en-US" w:bidi="ar-SA"/>
          </w:rPr>
          <w:t>(1980), 29 O.R. (2d) 392</w:t>
        </w:r>
      </w:hyperlink>
      <w:r>
        <w:rPr>
          <w:rFonts w:ascii="arial" w:eastAsia="arial" w:hAnsi="arial" w:cs="arial"/>
          <w:color w:val="000000"/>
          <w:sz w:val="20"/>
          <w:lang w:val="en-US" w:eastAsia="en-US" w:bidi="ar-SA"/>
        </w:rPr>
        <w:t xml:space="preserve"> (C.A.)). However, this is a common law power that must be considered in light of statutory authority. Without deciding whether the Court has the authority to appoint the PGT litigation guardian of an infant in the absence of the PGT's consent, I accept that in the circumstances of this case the PGT has exercised its discretion as contemplated by s. 7(3) of the Act in declining to consent to its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most unlikely the PGT would be able to retain counsel to act in this case. The PGT does not have funding available to finance claims for impecunious plaintiffs and, as noted earlier, must enter into contingency fee arrangements for the prosecution of meritorious personal injury claims. At this point in time, as a result of Ms. Blue's lack of cooperation, it is not possible to assess the merits of the case. The only information available is anecdotal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accordingly accept that in the circumstances of this case, the course that will best serve William's interests is a stay of the action. I have been referred to a number of cases in which similar orders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Rothwell v. Scruton, </w:t>
      </w:r>
      <w:hyperlink r:id="rId742" w:history="1">
        <w:r>
          <w:rPr>
            <w:rFonts w:ascii="arial" w:eastAsia="arial" w:hAnsi="arial" w:cs="arial"/>
            <w:i/>
            <w:color w:val="0077CC"/>
            <w:sz w:val="20"/>
            <w:u w:val="single"/>
            <w:shd w:val="clear" w:color="auto" w:fill="FFFFFF"/>
            <w:lang w:val="en-US" w:eastAsia="en-US" w:bidi="ar-SA"/>
          </w:rPr>
          <w:t>[1997] B.C.J. No. 453</w:t>
        </w:r>
      </w:hyperlink>
      <w:r>
        <w:rPr>
          <w:rFonts w:ascii="arial" w:eastAsia="arial" w:hAnsi="arial" w:cs="arial"/>
          <w:color w:val="000000"/>
          <w:sz w:val="20"/>
          <w:lang w:val="en-US" w:eastAsia="en-US" w:bidi="ar-SA"/>
        </w:rPr>
        <w:t xml:space="preserve"> (C.A.) the PGT took the position that a stay was the best course for the infant plaintiffs whose mother had died while undergoing surgery at the defendant hospital. There was some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conflicting expert evidence concerning liability, causation and damages. The infant plaintiffs were represented by experienced counsel who recommended settlement on the basis that the action be withdrawn without costs. The litigation guardian was not willing to continue the case. The PGT did not agree with counsel's position and argued the action ought to be stayed on the basis that dismissal of the action was of no benefit to the children. The PGT did not have the resources to provide counsel. No other counsel was willing to take the case on a contingency arrangement because of its apparent weaknesses.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Chambers judge ordered a stay of the action until the infant plaintiffs reached the age of majority and had the capacity to continue the action in their own name. The defendant hospital appealed the ruling, but the appeal was denied. The Court of Appeal agreed that in all of the circumstances, a stay of the action was "simply the best option for these children in the circumstances"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Similar orders have been made in analogous circumstances (Howe v. City of Vancouver </w:t>
      </w:r>
      <w:hyperlink r:id="rId743" w:history="1">
        <w:r>
          <w:rPr>
            <w:rFonts w:ascii="arial" w:eastAsia="arial" w:hAnsi="arial" w:cs="arial"/>
            <w:i/>
            <w:color w:val="0077CC"/>
            <w:sz w:val="20"/>
            <w:u w:val="single"/>
            <w:shd w:val="clear" w:color="auto" w:fill="FFFFFF"/>
            <w:lang w:val="en-US" w:eastAsia="en-US" w:bidi="ar-SA"/>
          </w:rPr>
          <w:t>(1957), 9 D.L.R. (2d) 78</w:t>
        </w:r>
      </w:hyperlink>
      <w:r>
        <w:rPr>
          <w:rFonts w:ascii="arial" w:eastAsia="arial" w:hAnsi="arial" w:cs="arial"/>
          <w:color w:val="000000"/>
          <w:sz w:val="20"/>
          <w:lang w:val="en-US" w:eastAsia="en-US" w:bidi="ar-SA"/>
        </w:rPr>
        <w:t xml:space="preserve"> (B.C.S.C.); Ho v. Chan, </w:t>
      </w:r>
      <w:hyperlink r:id="rId744" w:history="1">
        <w:r>
          <w:rPr>
            <w:rFonts w:ascii="arial" w:eastAsia="arial" w:hAnsi="arial" w:cs="arial"/>
            <w:i/>
            <w:color w:val="0077CC"/>
            <w:sz w:val="20"/>
            <w:u w:val="single"/>
            <w:shd w:val="clear" w:color="auto" w:fill="FFFFFF"/>
            <w:lang w:val="en-US" w:eastAsia="en-US" w:bidi="ar-SA"/>
          </w:rPr>
          <w:t>[1995] B.C.J. No. 892</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While Esquimalt agreed that a stay was appropriate in the circumstances, it sought an order that it be permitted to apply for a dismissal of the claim, without notice to William, should a Notice to Proceed not be filed on his behalf by December 13, 2013. I am not prepared to accede to that request. The Rules of Court provide adequately for circumstances where parties to an action cannot be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will be a declaration that the Law Firm has ceased to act for the Plaintiff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will be an order staying the action until:</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William reaches the age of majority on December 13, 2013, and has capacity to continue the action in his own name, or</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Blue decides to proceed with the action as litigation guardian before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will be no order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grateful for the helpful submissions of legal counsel, from which it was apparent that all parties conducted themselves with the best interest of young William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1"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Boren v. Vancouver Resource Society for the Physically Disabled, [2002] B.C.J. No. 1831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2 - 17,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C980618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1831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1134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735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Stephen Laurence Boren, plaintiff, and Vancouver Resource Society for the Physically Disabled, Holly Letheren, John Doe No. 1, John Doe No. 2, Her Majesty the Queen in Right of the Province of British Columbia, Ministry of Health and the Ministry Responsible for Seniors,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2"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5" w:name="Keywords_46"/>
      <w:bookmarkEnd w:id="315"/>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Damage awards — Body injuries — Buttocks — General damage awards — Pain and suffering, loss of amenities and other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6" w:name="Case Summary_45"/>
            <w:bookmarkEnd w:id="3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Boren against the Society for the Physically Disabled for damages for personal injuries. Boren was a quadriplegic. The Society provided for Boren's personal care needs. Boren claimed that injuries suffered during transfers from his wheelchair to his bed or commode caused him to develop severe spasticity and persistent urinary tract infections. He claimed that the quality of his life changed and that he could no longer work in computer programming. A sliding board transfer was used to transfer Boren. Sliding the board underneath Boren resulted in open wounds. One wound became infected and never healed. Boren underwent skin flap surgery and stayed in the hospital for five weeks. Medical opinions indicated that the injury to Boren's buttocks was the major cause of Boren's increased spasticity. Boren needed intermittent catheterization because urinary tract infections became more severe after the injury.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7" w:name="Holdings of Court_41"/>
            <w:bookmarkEnd w:id="31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damages were assessed at $120,000. The Society knew that the sliding board transfers were causing injury to Boren. The Society did nothing to further train the staff to transfer Boren. The wound was a major contributing factor of Boren's increased spasticity and increased urinary tract infections.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8" w:name="Counsel_48"/>
      <w:bookmarkEnd w:id="3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3"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Wesley D. Mussio, for the plaintiff. Mark M. Skorah and Julie K. Lamb, for the defendants, Vancouver Resource Society for the Physically Disabled and Holly Letheren.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9" w:name="Judgment_47"/>
      <w:bookmarkEnd w:id="319"/>
      <w:r>
        <w:pict>
          <v:line id="_x0000_s1264" style="position:absolute;z-index:2518108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0" w:name="WILLIAMSON J."/>
            <w:bookmarkEnd w:id="320"/>
            <w:r>
              <w:rPr>
                <w:rFonts w:ascii="arial" w:eastAsia="arial" w:hAnsi="arial" w:cs="arial"/>
                <w:b/>
                <w:color w:val="000000"/>
                <w:sz w:val="30"/>
                <w:lang w:val="en-US" w:eastAsia="en-US" w:bidi="ar-SA"/>
              </w:rPr>
              <w:t>WILLIAMSON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now 35, was rendered quadriplegic after a bicycle accident in 1982 when he was 15 years old. Since 1987, he has lived in Vancouver in a shared care situation at premises called Kelly Court. He submits that as a result of certain injuries inflicted upon him during transfers from his wheelchair to bed or wheelchair to commode, or the reverse, he has developed severe spasticity and persistent urinary tract infections and related bladder problems. As a result, the quality of his life, he claims, has changed, including the fact that he is unable to work at his chosen field of computer programming.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From the time that he moved into Kelly Court in 1987, the plaintiff's personal care needs were provided by employees of the Vancouver Resource Society ("VRS"). The defendant Holly Letheren, a registered nurse, was at the time of the alleged injury or injuries a supervisor at Kelly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his original accident, the plaintiff, although described as a quadriplegic, had some use of his arms. Thus, he was able to work at a computer keyboard. In the years before the injury, which he alleges took place in 1996, he claims he was able to work long hours. He also attended a full-time program at Simon Fraser University. He completed his Bachelor of Computer Science in 1999, almost 12 years after he started the program. He claims there was a delay in his graduation because of the injuries which he sustained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is that before October of l996 he was a competent and even a creative computer programmer. A number of witnesses testified as to his skill. They also testified as to the long hours which he worked. He claims the injury impaired seriously his capacity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Transfer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a quadriplegic, the plaintiff must be transferred from his wheelchair to the bed and from the bed or the wheelchair to a commode and back again. While in good health, he would undergo a bowel routine at a specified time each day. He used a condom with a bag for voiding his bladder. He would be transferred from his bed to his wheelchair at the beginning of the day and then again in the evening. As a result, the number of transfers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plaintiff's early years at Kelly Court the transfers used were manual, so called Quad Lift or Tilt and Pivot transfers. However, over the years there were a number of injuries to residential care attendants at that facility. As a result of concerns raised by staff and the Workers' Compensation Board VRS desired to move, as a general rule, to transfers by a form of mechanical lift. Thus, in or around 1994 the personal care attendants began to transfer the plaintiff using a mechanical lift, known in these proceedings as an "Arjo".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However, the plaintiff found that he suffered severe pain as a result of the use of this lift. He understood, and his doctor subsequently confirmed, that this was because earlier he had steel rods inserted into his back (Luque rod fusion) to ameliorate worsening scoliosis. He therefore instructed his attendants that they should not use the mechanical lift. He also informed the supervisor and nurses. An orthopaedic spine surgeon confirmed that the mechanical lift was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evident that this caused some tension. Some of the personal care attendants, or at least one of them, refused to do manual lifts. For a time some of his transfers were manual, and others utilized the mechanical lift. After a number of meetings, the plaintiff returned to the G.F. Strong Rehabilitation Centre for an assessment of his transfers. As a result of that assessment, a form of transfer called a sliding board transfer was instituted for the plaintiff's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sliding board transfer utilizes a slippery board which is placed as a bridge between the place from which the client is being transferred and the place to where he is being transferred. For example, the evidence was that if the plaintiff was in bed, he would be rolled onto his side, the board would be placed one end on the bed and one end on the chair, and he would then be rolled back on to the top of the board. He would be pulled up so that he was in effect sitting on the board. Then he would be lifted slightly, so that his full weight was not on the board, and slid across into the chair. Sometimes something was placed between him and the board such as a sheepskin or a towel.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If he were in the chair, one of the attendants would lift his right buttock (the bed being to his right) and the board would be placed under the lifted buttock. He would then be lowered back onto the board and, once again with some of his weight taken off the board, he would be slid onto the bed. There was evidence from some witnesses about the proper method of inserting the board between the chair cushion and a client's buttocks.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the allegation of the plaintiff that in the several months before September and October of 1996, he repeatedly suffered injuries to his buttocks, particularly his right buttock, as a result of sliding board transfers. I have no doubt in concluding that this is so. Various records of VRS confirm that fact. VRS' "history of significant events", a contemporaneous document kept by the care givers, notes a one half inch cut on the plaintiff's right buttock July 17, l996, and a week later notes the area "continues to open up with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note dated August 27, l996 and signed by a number of VRS staff observes that the sliding board transfer "can scrape his butt", "has a tendency to scrape Steven's [sic] delicate tissues around his anal area", and further that "not all staff are fully aware and consistant [sic] in knowing how to transfer Steven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claims that as well as a number of minor injuries over the period, two serious injuries occurred - one on September 22, 1996, and one on October 10,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mother and his sister both assisted regularly with his care. On the first of the above incidents, on September 22, 1996, the plaintiff was transferred from his chair to his bed via the sliding board transfer technique. His mother and sister arrived somewhat later and found blood in his bed. They then looked at the trousers and underwear that he had been wearing at the time of the transfer and found significant blood. The plaintiff's sister, Michelle Boren, photographed the blood on the trousers and the underpants.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These four photographs were an exhibit in the proceedings. The defendants say these photographs were not taken on that date (the month had been changed on one of the pictures), and that it is unlikely this incident even occurred. Counsel for the defendants says the photographs were taken in October to persuade authorities to provide the plaintiff with a new chair cushion. That suggestion is speculative. In any case, having heard the sister testify and her response to the suggestion she did not take the photographs on that evening, I accept her testimony that she took the photographs September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Friday, October 10, 1996, at the start of the long Thanksgiving weekend, the plaintiff suffered another significant injury during a sliding board transfer. As he described it, he heard "a popping sound" when the attendants were "inserting" the board under his buttocks. He said that the board had been held from behind and thrust downwards, leveraged into his "butt". Once he was in bed, one of the attendants found a large amount of blood. It turned out that the plaintiff had a large gash, as he put it, "between the thigh and the buttock".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considered, having been told by the attendant about the cut (which of course he could not see), whether he should go to an emergency ward. However, he said that the attendant reported that the bleeding had stopped and as the plaintiff knew this had happened before, and it had cleared up, he decided calling an ambulance to go to emergency was not necessary. Instead, he treated the cut as he had treated previous injuries with antibiotic cream.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His mother returned to Kelly Court the following Tuesday or Wednesday. She participated in treating the cut as she had treated previous cuts. It was her evidence, as well as the plaintiff's, that at first the cut seemed to be healing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late October, the mother observed that the cut on the buttock appeared infected. The plaintiff's family doctor, Dr. Stan Lubin, was called and he came to the plaintiff's residence on October 29, 1996. On examination, he found a laceration with obvious infection. He prescribed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November 9, 1996, the plaintiff was seen by another doctor from Dr. Lubin's office. She ordered wet to dry dressings twice a day. Nine days later, Dr. Lubin saw him again and concluded that the plaintiff had a persistent ulcer and possibly a persistent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November 28, 1996, the plaintiff was seen by Dr. Claire Weeks at the outpatient offices of G.F. Strong. She examined the wound carefully, reported it as a decubitus ulcer, and upon probing found that it was about two centimetres deep and undermined in several directions underneath the skin. In other words, there was a cavity under the skin much larger than the opening would indicate.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Despite debridement, packing and other therapy, the wound never healed. Eventually, the plaintiff had skin flap surgery on May 23, 1997. He remained in hospital post-operation for five weeks. Subsequently, he was at G.F. Strong for two months for rehabilitation and reassessment of his urinary tract infections and his seating. He returned to his residence at Kelly Court in September of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photograph of the wound in question was entered in evidence. This photograph was taken at the time that it was packed and before the skin flap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issues concerning liability are: (1) was the plaintiff significantly injured during sliding board transfers; (2) during 1996, did VRS know injuries were occurring during these transfers; and (3) if the answers to the above two questions are yes, was the injury a cause of the increased spasticity and increased urinary tract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issues concerning damages, if liability is found, are: (1) in what amount should non-pecuniary damages be assessed; (2) should there be an award for cost of future care; (3) did the injury cause a past wage loss; (4) has the plaintiff suffered a reduced capacity to earn; and (5) has an in trust claim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satisfied that the plaintiff was injured a number of times during sliding board transfers conducted by employees of VRS. I am also satisfied that the most serious of these injuries, the one which occurred on October 10, 1996, was the cause of the cut or puncture wound eventually treated by Dr. Weeks and resolved through surgery by Dr. Foley on May 23,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VRS' clinical records show that on October 10, 1996, the plaintiff "sustained a laceration to buttock whilst transferring from the WC to bed using sliding board on October 10/96. Apparently wound was about one-half inch deep". Further, VRS' form "history of significant events" for October 11, 1996, includes the following notation: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Steve has a one-half inch deep cut on his left buttock. It bled heavily after he went to bed, but has clotted over. Blamed the transfer to bed last night, or maybe because he was positioned badly all yesterday? It's not a scrape, but certainly looks like a puncture of sorts. Steve used sliding board to go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conclude that the reference to the left buttock in the above note is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description of the wound as a "puncture" is important, for Dr. Weeks also observed a puncture and testified that a puncture is not consistent with a pressure sore, but with an insult that is acute and traumatic.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himself testified that he knew he had been injured because of the sound he heard and because of the subsequent bleeding. His testimony that he asked the attendant to look at it was confirmed. His testimony that he spoke to his mother on the telephone about the injury was confirmed by his mother. His mother also confirmed the presence of the injury when she returned to Vancouver following the long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was much evidence about the sliding board transfer technique. There was evidence from medical personnel as to the appropriate way to do a sliding board transfer and in particular, the appropriate way to insert or place the board under the buttocks of the subject of the transfer. Dr. David Keast, a specialist in wound management who has observed many sliding board transfers, described the procedure as lifting the patient, placing the end of the board under the portion of the patient which has been lifted, then lifting the patient and planting him on the board, sliding, and then lifting the patient off the board. This wording "placing the board under the patient" is to be contrasted with the evidence of at least one of the witnesses for VRS who testified that in a two-person sliding board transfer, the attendant in front lifts up the leg "so the board can be slid under". He repeated his description of sliding the board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Further, a number of witnesses testified that when placing the board under the client, the board should be inserted at a downward angle so that there is no danger of it pinching or injuring the buttocks. The same VRS attendant who described sliding the board in said that "you want the board to be at least level" and not angled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says that on a number of transfers the board was "rammed" under him. I find this an exaggeration. Several residential care attendants from VRS testified that they had performed this sort of transfer with the plaintiff and that on no occasion had any one of them rammed the board under the plaintiff, nor seen any other attendant do it. On the evidence I am certain that none of the personal care aides intended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However, I am also satisfied that there were injuries as a result of improper procedures during sliding board transfers; particularly the inappropriate sliding of the board under the plaintiff at the start of the procedure. That there were injuries is evident from a review of VRS' own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also find that the VRS personnel knew for some months prior to October 1996 that the sliding board transfers were problematic. The defendant Holly Letheren, supervisor at the time, confirmed that this was so. A number of notations in documents support this conclusion. For example, in May of 1996, the client committee at Kelly Court complained to VRS and to Ms. Letheren specifically that a more formalized training process was needed with respect to, among other things, transfers. Some months later, in August of 1996, a number of staff signed a document headed "Difficult Aspects of 107's Transfer" in which they reported upon various problems with the sliding board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observe that in cross-examination Holly Letheren agreed that she knew about these reports, but that she did nothing to further the training of the staff as she believed "they were doing it properly". I find this belief inconsistent with her evidence that she knew injuries were occurring on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job description for the personal care attendants at VRS was in evidence. It included the following specific responsibilities: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Lifts, transfers, porters and ambulates residents in a manner which promotes safety and comfort, using good body mechanics and techniques.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Performs skin checks for ulcers, open wounds, infections or any other skin problems, and reports any occurrences to the Director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conclude, as Ms. Letheren testified, that she, and therefore VRS, was aware of ongoing problems with the sliding board transfers throughout much of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say that the plaintiff improperly declined to get medical attention for the injury after October 10. They point to a visit by a nurse to the plaintiff's apartment while he was working with an associate on computer programming. The plaintiff testified that on that occasion he was not prepared to go through a transfer to the bed and back to facilitate an examination. He had been told earlier by the attendants and his mother that the wound was healing. Several earlier similar injuries had healed. He therefore suggested the nurse return at a time when he would be doing a transfer anyway, and when no one else would be in the apartment. This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circumstances, I do not find fault with the plaintiff's actions. I note that Holly Letheren, the supervisor, testified she would not expect an R.N. to arrive intending to examine a client without prior notice. I also accept that at the time the plaintiff believed the injury was healing.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Having found that the plaintiff was injured during sliding board transfers, and particularly during the transfer of October 10, 1996, and that VRS had known for some time that these transfers were injuring the plaintiff, I turn to the question of whether the injury was a cause of the increased spasticity and increased urinary tract infections in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conclude that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come to this conclusion for two principal reasons. First, the temporal connection between the significant increase both in spasticity and urinary tract infections is compelling. A number of witnesses testified about the marked increase, if not the onset, of spasticity shortly after the injury. The plaintiff himself testified that the spasms were insignificant before the injury, and both constant and severe after. The plaintiff's sister, who had lived with him for the first year he lived in Vancouver in 1987, said that she first observed him in spasms in late 1996 and that she had never seen them before, stating "I never knew what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Robert Suggitt, who had known the plaintiff in the early 1990s when involved in design work for tilting beds, was out of the country for a period and did not see the plaintiff again until 1997. When they did reconnect, Suggitt thought the plaintiff looked "beaten up" and tired. He testified that he observed spasms which he had "never seen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One of VRS' personal care attendants who frequently worked with the plaintiff sent a memorandum to Holly Letheren in January of 1997 in which he wrote that the plaintiff had "very intense spasms" and that they were "unlike anything he has had before". Others, who had not known him before 1996, gave descriptions of the impact of the frequency of spasms. André Brisson, who worked with the plaintiff after 1999 said that he often, "if not constantly", observed spasms and said that "many times" it was necessary to pull him forward, an action which "apparently provided some relief". I add that throughout the twelve days of trial the plaintiff's attendant frequently executed this same movement, bracing herself in front of him and pulling forward on his shoulders for several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Fenster, the urologist, referred to the change in the severity of the spasms when he concluded they were "far too severe to have been caused by urinary tract infections", and that "the change was far too great". And Holly Letheren, the VRS supervisor, agreed in cross examination that "after the fissure" he developed spasticity, and that any spasticity before did not amount to a "functional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second principal reason I conclude the wound to be a major causal factor is that a majority of the medical opinions proffered in evidence conclude that the trauma was a significant cause of the subsequent spasticity and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Weeks concluded in her report that the effects of the injury were significant. She noted that from November of 1996 on he was experiencing "a great increase in spasticity". She wrote that this increase in spasticity was due "at least in major part" to the injury. Dr. Fenster, the treating urologist, felt that while urinary tract infections played some role in spasticity, they are not the major cause. Rather, he concurs with the family doctor, Dr. Lubin, that the injury to the right buttock is the major cause of the spasms. Dr. Lubin wrote that in his opinion it was the injury to the buttock which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cause of the infection, the development of a chronic ulcer, and the need for surgery with prolonged postoperative course. I also believe it was the cause of his chronic pain and spasms...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Keast was of the opinion that the injury was one causal factor which led to the ulcer and ultimately to the increase in spasms. As he put it, the ulcer in or around October 1996 arose "from the confluence of multiple factors" which included, among other things, injury during the sliding board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Kunimoto, like Dr. Keast a specialist in the treatment of wounds, and a practitioner with considerable experience with quadriplegic patients, prepared a report for the defendants in which he concluded that the sliding board transfer injury was similar to previous injuries caused by sliding board transfers which had healed uneventfully. He concludes that the location of the injury suggests it was a problem with the seat cushion for the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have concluded that in that opinion he is wrong and I will deal with that matter below. It is significant, however, to note at this time that Dr. Kunimoto understood the injury was a pressure sore. Dr. Kunimoto did not examine the plaintiff, rather he relied upon the medical records, including those of Dr. Weeks, who originally described the injury to the right buttock as a "grade IV decubitus ulcer". Dr. Weeks, who testified, said that she did not mean what Dr. Kunimoto thought she meant when she used that expression. She testified that she used that term in a more general sense. She noted that it is an "historical term" and that she used it in at generic sense. She testified "I certainly didn't use it to imply that pressure was the cause of the problem". In other words, she was not talking of a pressure sore but rather of what she described as a wound (which is consistent with Dr. Lubin's testimony). Dr. Kunimoto's opinion, therefore, must be read in light of his erroneous but understandable assumption that Dr. Weeks meant "pressure sore" rather than cut and undermining.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return to Dr. Kunimoto's suggestion that the cause of the injury to the plaintiff was the problem with the seat cushion for the wheelchair. He reached this conclusion after reading a statement that the cushion was "bottoming out" on October 22, 1996, just prior to the deterioration of the wound in question, and that the plaintiff had ordered a new cushion earlier in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suggestion comes from the evidence that the plaintiff's mother found a hard portion in the cushion which was being used by the plaintiff at the time. However, her evidence was that this hard portion was a tiny bit about the size of a fingernail. She points out that when the plaintiff had a seat assessment some months later at G.F. Strong he was still using the same cushion and that there had been no difficulties, including an absence of pressure sores, after the surgery in the spring of 1997. There was also testimony that such cushions have a life expectancy of five or six years, and that one orders a replacement early as the bureaucracy moves rather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conclude that difficulties with the cushion were not the cause of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was much evidence that there was a significant increase in urinary tract infections after the injury sustained in October of 1996. Prior to the injury, the evidence of the plaintiff, his mother, and Dr. Fenster the treating urologist, was that while there were urinary tract infections from time-to-time, they were not a major clinical problem which interfered with the plaintiff's functional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After the injury, the urinary tract infections became more severe. Spasms became a problem and the retention of urine after voiding became critical. As a result, Dr. Fenster recommended an "indwelling" or permanent catheter to allow for better drainage. After this was removed, intermittent catheterization was required and continues to the present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Dr. Fenster's opinion that the injury, the resulting infection and surgery contributed to the urinary retention which required catheterization and to the increasing frequency of infection. I accept that finding. In so doing, I have considered the opinion of Dr. Krahn, a urologist called by the defendants, who considered Dr. Fenster's reports. However, Dr. Fenster was the treating physician and I find that his conclusion, based in part as it is upon the significant difference in the frequency and degree of urinary and bladder infections before and after the injury,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therefore find that the injury inflicted upon the plaintiff as a result of the negligently performed sliding board transfers was a cut rather than a pressure sore and was a major cause of the onset of severe spasticity and the increase in the frequency of urinary tract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This brings the injury as a cause of the damage well within the principles set out by the Supreme Court of Canada in Athey v. Leonati,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In that case, the court stated, at para. 15,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and went on to say that a contributing factor is material if it is more than de minimus. I find upon the evidence here that the injury sustained by the plaintiff October 11, l996 was a major contributing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Counsel for the defendant submits the award for non-pecuniary damages should be limited to a consideration of the physical injury sustained October 11. I disagree. Rather, the circumstances here raise issues similar to those in Bracey (Public Trustee of) v. Jahnke, </w:t>
      </w:r>
      <w:hyperlink r:id="rId216" w:history="1">
        <w:r>
          <w:rPr>
            <w:rFonts w:ascii="arial" w:eastAsia="arial" w:hAnsi="arial" w:cs="arial"/>
            <w:i/>
            <w:color w:val="0077CC"/>
            <w:sz w:val="20"/>
            <w:u w:val="single"/>
            <w:shd w:val="clear" w:color="auto" w:fill="FFFFFF"/>
            <w:lang w:val="en-US" w:eastAsia="en-US" w:bidi="ar-SA"/>
          </w:rPr>
          <w:t>[1995] B.C.J. No. 1850</w:t>
        </w:r>
      </w:hyperlink>
      <w:r>
        <w:rPr>
          <w:rFonts w:ascii="arial" w:eastAsia="arial" w:hAnsi="arial" w:cs="arial"/>
          <w:color w:val="000000"/>
          <w:sz w:val="20"/>
          <w:lang w:val="en-US" w:eastAsia="en-US" w:bidi="ar-SA"/>
        </w:rPr>
        <w:t xml:space="preserve"> (S.C.), varied on other grounds </w:t>
      </w:r>
      <w:hyperlink r:id="rId217" w:history="1">
        <w:r>
          <w:rPr>
            <w:rFonts w:ascii="arial" w:eastAsia="arial" w:hAnsi="arial" w:cs="arial"/>
            <w:i/>
            <w:color w:val="0077CC"/>
            <w:sz w:val="20"/>
            <w:u w:val="single"/>
            <w:shd w:val="clear" w:color="auto" w:fill="FFFFFF"/>
            <w:lang w:val="en-US" w:eastAsia="en-US" w:bidi="ar-SA"/>
          </w:rPr>
          <w:t>(1997) 34 B.C.L.R. (3d) 191</w:t>
        </w:r>
      </w:hyperlink>
      <w:r>
        <w:rPr>
          <w:rFonts w:ascii="arial" w:eastAsia="arial" w:hAnsi="arial" w:cs="arial"/>
          <w:color w:val="000000"/>
          <w:sz w:val="20"/>
          <w:lang w:val="en-US" w:eastAsia="en-US" w:bidi="ar-SA"/>
        </w:rPr>
        <w:t xml:space="preserve"> (C.A.), in which Oliver J. observed at para. 27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rob a disabled person of what little she has left is a monstrous injury, for that little she has is, for her, the whole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Non-pecuniary damages were assessed at $105,000. This amount was not disturbed on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Here, the plaintiff sustained catastrophic injury at age 15. Rendered a quadriplegic, but with some use of his hands and arms, he persisted and developed an expertise in computer programming. The results of the injury in 1996 have curtailed his capacity to pursue that vocation. They have also interfered with the quality of his life, curtailing his independence and mobility, and requiring that he be restrained in bed and in his wheel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assess non-pecuniary damages at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Lindsey Townsend, an occupational therapist, prepared an assessment of the cost of future care based upon the difference in the plaintiff's needs before and after October l996. She interviewed the plaintiff, observed some of the care routines, and reviewed a considerable number of medical reports and records. Dr. Nairn Stewart, a physician who specialises in rehabilitation, including that of patients with spinal cord injuries, reviewed Ms. Townsend's report and agreed that the additional needs and expenses set out are "reasonable and medically necessary". Dr. Rubin Feldman, a similarly qualified physician, also reviewed Ms. Townsend's report and concluded her "considerations were accurate and the summary of costs...reflected accurately what it would cost for this man to maintain as appropriate a lifestyle as possible". Dr. Fenster, the urologist, accepted Ms. Townsend's recommendations concerning urinary tract issues as medically necessary. Her estimate, depending on the type of catheterization utilized, varies from $892,541 to $986,729 present value according to economist Robert Carson who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Ruby Schulstad, a rehabilitation nurse consultant, reviewed Ms. Townsend's assessment and raised a number of concerns. She did not assess the plaintiff herself, nor did she provide an alternative cost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difficulty with costs of future care is in determining the increase of future costs beyond what costs would be involved regardless of the 1996 injury. I conclude that an increase in the cost of attendant care of approximately four hours per day is warranted. The fact that the plaintiff now needs assistance to feed himself, to deal with the restraints associated with the frequency of spasms during the day and during sleeping hours, and to counter the spasms themselves warrants increased time with attendants. But a number of items in the Townsend report, such as the differences in the type of catheterization and prescription costs, are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Further, the contingencies are substantial indeed. The plaintiff's care has been funded by public funds, and will continue to be so. There is a history of medical difficulties common to persons with the plaintiff's circumstances prior to this injury. It is difficult indeed upon the evidence to assess what costs of future care might have arisen in any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concedes a negative contingency should be factored in and submits 20% would be appropriate. I conclude the contingency factor is much higher. A more reasonable figure would be 50%. I assess the present value of the cost of future care at $450,000 (approximately 50% of Mr. Carson's lower calculated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first issue concerning wage loss is whether the plaintiff's graduation from Simon Fraser University was delayed. He testified he originally thought he would graduate with his Bacherlor of Computer Science in June of 1997, but that because of his injury he did not graduate until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this portion of the claim has not been proven. A review of the university records discloses that from the time the plaintiff commenced his studies at Simon Fraser University in 1987 there were numerous interruptions in his progress prior to 1996. He withdrew from six semesters in the period 1987 to 1995 apparently for health reasons. Other semesters he opted for reduced academic loads. I am not satisfied, therefore, that he would have graduated in 1997 as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worked for Plasma Computer Products in the early 1990s. This was a "co-op" position and part of his academic program, and he left it to return to studies. For the latter reason, it cannot support a claim for past wage loss. Nor can his second co-op position with Beier Software, as he also left it to return to school. The Plasma position is significant, however, in that it was in North Vancouver and he travelled to and from the job via Handi-Dart and the Seabus, something he cannot now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Nor can his work with one Charles Haynes sustain a claim for past wage loss. The evidence disclosed that while he worked with Haynes they were partners and directors of a new company. While the plaintiff did cease to work with Haynes in 1996 because of his injury, neither had received any income as the project was at its developmental stage. Haynes subsequently went on to found another company which did become profitable, although he says, albeit somewhat hesitantly, that its success is based upon technology developed after the plaintiff was no longer involved. There is no evidence the original project would have earned a profit, simply a suggestion it might have. This aspect of the claim is not proven upon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August 1996 the plaintiff along with two others established BBR Technologies. One of the others was Tony Beier who had worked with the plaintiff at Plasma Computer Products. Mr. Beier was able, therefore, to compare and contrast the plaintiff's work before and after the injury. He testified that prior the plaintiff had no difficulty completing work assignments, but that after when faced with deadlines or stress he would begin "to shake or have convulsions". This is consistent with the evidence of increased spasticity reviewed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1999 André Brisson, who described himself as "an entrepreneur" working in the area of security systems for computers, met the plaintiff and recognized his conceptual skills with computers. They began working together and Mr. Brisson described the plaintiff as "the resident genius". However, the project upon which they are working is still in the development stage and has to date not generated any income. It cannot sustain a past wage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conclude the past wage loss has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Lost Capacity to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was considerable evidence from those who worked with the plaintiff prior to his injuries that he was a dedicated worker who worked long hours. It is evident that his capacity to earn has been impaired. He can sit at a computer for substantially fewer hours at a time, and the speed at which he works in those reduced hours has also been curtailed.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However, the evidence is that he remains employable. Dr. Stewart assessed the plaintiff in January of 2002. Her report notes he told her that he works 20 top 40 hours per week at his consulting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Dennis Magrega, a psychologist, also assessed the plaintiff, interviewing him and others, and conducting psychological testing. Dr. Magrega found the plaintiff in the "superior range" of the general population with respect to cognitive and intellectual functioning, possessed of a positive "self-concept", and "well suited to software development and many other roles in the science/technical area". I find, however, that his stamina is reduced, and that he will probably lose substantially more time from work than he would have if the deterioration in his general health, and in particular his increased spasticity and frequency of urinary tract infections,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satisfied from the evidence of witnesses, expert and lay alike, and from my own sense of the plaintiff having read a great deal about him, heard much evidence about him, assessed his performance in chief and in cross-examination, and observed him in court through out 12 days of trial that he is an intelligent, determined individual who will, to his credit, make the best of his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Magrega provided some information from a national survey entitled Spinal Cord Injury Workforce Participation conducted by the Canadian Paraplegic Association in 1996. It demonstrated, not surprisingly, that workforce participation reduces with the severity of the injury, that paraplegics have a higher rate of return to work than quadriplegics, as do occupants of manual wheelchairs over those in powered wheelchairs. Dr. Magrega also noted that post injury educational achievement is "highly correlated" to post injury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Magrega concluded that the plaintiff was "an extremely bright gentleman" who "had as good a chance as anybody with quadriplegia to establish a strong career". He cautioned, however, that people with quadriplegia "really do have a number of strikes against him [sic] by virtue of their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preparation of his tables with respect to future income loss, Robert Carson utilized data concerning all British Columbia males with Bachelor degrees in Computer Science. I conclude such data is optimistic given the circumstances of this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end, the assessment of reduced capacity to earn is very difficult given the contingencies confronting the plaintiff. Counsel for the plaintiff submits a simple use of Mr. Carson's tables, taking the starting point of the loss back to the plaintiff's planned graduation from Simon Fraser University in 1997, and assuming a residual earning capacity of 50%, leads to an assessment of $552,700.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find this number high. First, as I have noted above, I find it cannot be said upon a balance of probabilities that the plaintiff's injury delayed his graduation from university. Second, his history prior to the injury indicates his working life, as was his university career, was subject to frequent interruptions.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am satisfied, however, for the reasons set out in Palmer v. Goodall </w:t>
      </w:r>
      <w:hyperlink r:id="rId25"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that the plaintiff must be compensated for the reduced capacity to earn caused by his injury and its sequelae. I assess damages for reduced capacity to earn at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noted above that while I found VRS was negligent in dealing with the manifest problems in the sliding board transfers, I rejected the suggestion by the plaintiff that the care attendants deliberately rammed the board under his buttocks. People acting with the best of intentions may be negligent or make mistakes. Indeed, listening to the many attendants who testified, and coming to an understanding about what they do, one is struck by the good fortune that disabled persons have to be served by such dedicated, decent care givers.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same can be said about the plaintiff's mother and sister. The mother, Catherine Boren, has given herself generously to her son's care ever since he sustained his injury at age 15. But importantly for this claim, after October 1996, observing the deterioration in her son's condition, she gave up employment to devote more time to her son's care. She moved into his apartment and took up the slack when attendants were not available. She moved out only when her presence threatened to cause a reduction in funded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plaintiff's sister, Michelle Boren, has been equally supportive. Her evidence was that before the injury she spent about four hours a month assisting her brother. Since, she spends about 20 hours a week, mostly during evenings but sometimes after being awakened in the night, attending to the plaintiff. She feeds him, positions him, and deals with the restraints necessitated by his spasms. She has deliberately lived close to him to be available if called in the night. She has recently moved, and she and the plaintiff intend to share an apartment so that she can more conveniently be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accept the evidence of both the mother and the sister with respect to the time they spend assisting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contemplating assessment of the in trust claim, I have considered the factors set out by Harvey J. in Brennan v. Singh (1999), 15 C.P.C. (5th) 17 at paras. 94-95: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of "in trust" claims has been given considerable attention in recent years, including, particularly, where the services in question have been rendered within the perspective of a husband/wife relationship or by a child or relative of the family. Here, the relationship is martial and brings into consideration the usual factors of such a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useful to review briefly the factors which are considered in the assessment of such claims. They are:</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services replace services necessary for the care of the plaintiff;</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here the spouse, are they over and above what would be expected from the marital relationship?</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 giver. There should not be a discounting or undervaluation of such services because of the nature of the relationship;</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 longer necessary that the person providing the services has foregone other income and there need not be payment for such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Where the mother and sister have supplemented or substituted for the personal care attendants, I am satisfied the care provided was necessary. I also find this extensive time and effort is over and above one would expect to be provided for an adult by a mother or sibling.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Counsel for the plaintiff submits that based upon the wages of the personal care attendants and the time said to have been provided by the mother and the sister, the in trust claim for past services is $50,000 to $60,000. He also submits that a similar figure should be assessed for future care expected to be provided by family members. I am satisfied that $50,000 is appropriate given the evidence of the mother's and the sister's past services. However, considering the award in this matter, as well as contingencies, I conclude that it is too speculative to award a similar figure for future services. Rather, I assess the in trust claim for future services at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summary, I find the defendants liable for the injury to the plaintiff, and that the injury sustained is a major cause of the increased spasticity and urinary tract infections now plaguing the plaintiff. Damages are assessed 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2196"/>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1882"/>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673"/>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Lost capacity to earn</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2091"/>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Trust claim</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$ 75,000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Unless there is something of which I am not aware, the plaintiff will have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5" style="position:absolute;z-index:25185894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Toronto-Dominion Bank v. Jones, [2001] B.C.J. No. 1864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Traynor v. Degroot, [2002] B.C.J. No. 1179</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Versfelt v. Insurance Corp. of British Columbia, [2002] B.C.J. No. 2812</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Arce (Guardian ad litem of) v. Simon Fraser Health Region, [2003] B.C.J. No. 1516</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Ashe v. Werstiuk, [2003] B.C.J. No. 258</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Aslin v. Otto, [2003] B.C.J. No. 1293</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Belitchev v. Grigorov, [2000] B.C.J. No. 999</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Blackburn v. Roberts, [2003] B.C.J. No. 1264</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v. Imperial Tobacco Canada Ltd., [2008] B.C.J. No. 609</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Casey v. Penty, [2000] B.C.J. No. 2446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Chances Housing Cooperative v. Progressive Homes Ltd., [2000] B.C.J. No. 14</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Clayburn Industries Ltd. v. Piper, [2000] B.C.J. No. 1429</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Coleman v. Yen Hoy Enterprises Ltd., [2000] B.C.J. No. 403</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Craig v. Insurance Corp. of British Columbia, [2003] B.C.J. No. 2787</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Falconar v. Le, [2003] B.C.J. No. 2214</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Ferrer v. Janik, [2019] B.C.J. No. 1136</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Goodburn v. Nissinen, [2000] B.C.J. No. 2020</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Grewal v. Singh, [2002] B.C.J. No. 1180</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Jackson v. King Estate, [2006] B.C.J. No. 1043</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Jensen v. Brown, [2005] B.C.J. No. 2581</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Killam v. Fitterman, [2003] B.C.J. No. 1330</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Marelj v. Gosselin, [2001] B.C.J. No. 2196</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McDougall v. Collinson, [2000] B.C.J. No. 571</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McIntosh v. Papoutsis, [2009] B.C.J. No. 247</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Meise v. Whiting, [2002] B.C.J. No. 534</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Palmer v. Blake, [2003] B.C.J. No. 1859</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Pearlman v. Atlantic Trading Co., [2010] B.C.J. No. 1078</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Perry v. Eisen, [2000] B.C.J. No. 28</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P.J.M. v. Hardwick, [2000] B.C.J. No. 1867</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Pryndik v. Manju, [2001] B.C.J. No. 664</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Quigley v. Biero, [2003] B.C.J. No. 2419</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Reid v. Lehigh Portland Cement Ltd., [2000] B.C.J. No. 2814</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Schnare v. Roberts, [2009] B.C.J. No. 584</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Seatle (Guardian ad Litem of) v. Purvis, [2005] B.C.J. No. 2996</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(Guardian ad litem of) v. Grace, [2004] B.C.J. No. 583</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Startup v. Blake, [2001] B.C.J. No. 16</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463 v. Keung, [2000] B.C.J. No. 2307</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1328 v. Surrey (City), [2001] B.C.J. No. 1744</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Stulec v. Johnson, [2000] B.C.J. No. 712</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Urban v. Murphy, [2004] B.C.J. No. 1905</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Watt v. Hicks, 2008 CHFL para. 15,516</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Weaver v. Pollock, [2018] B.C.J. No. 597</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Yehia v. McDonell, [2002] B.C.J. No. 641</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Yeung (Guardian ad litem of) v. Au, [2004] B.C.J. No. 2623</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Aujero v. British Columbia (Workers' Compensation Appeal Tribunal), [2018] B.C.J. No. 897</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Badesha v. Snowland Sporting Goods Ltd., [2015] B.C.J. No. 1512</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Belik v. Purolator Courier Ltd., [2007] B.C.J. No. 866</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Biggan v. Fall, [2011] B.C.J. No. 700</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Blue (Litigation guardian of) v. Esquimalt (Township), [2004] B.C.J. No. 1974</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Boren v. Vancouver Resource Society for the Physically Disabled, [2002] B.C.J. No. 1831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3"/>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4"/>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5"/>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2"/>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3"/>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4"/>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5"/>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6"/>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7"/>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8"/>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2"/>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3"/>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4"/>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25."/>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26."/>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2"/>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3"/>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4"/>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5"/>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6"/>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28."/>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9"/>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lowerLetter"/>
      <w:lvlText w:val="(%1)"/>
      <w:lvlJc w:val="left"/>
      <w:pPr>
        <w:tabs>
          <w:tab w:val="num" w:pos="1480"/>
        </w:tabs>
        <w:ind w:left="148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2"/>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3"/>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4"/>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5"/>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9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2"/>
      <w:numFmt w:val="lowerLetter"/>
      <w:lvlText w:val="(%1)"/>
      <w:lvlJc w:val="left"/>
      <w:pPr>
        <w:tabs>
          <w:tab w:val="num" w:pos="1480"/>
        </w:tabs>
        <w:ind w:left="148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2F49E99"/>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A9C638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B20BE8B"/>
    <w:multiLevelType w:val="multilevel"/>
    <w:tmpl w:val="00000001"/>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B8C87FB"/>
    <w:multiLevelType w:val="multilevel"/>
    <w:tmpl w:val="00000001"/>
    <w:lvl w:ilvl="0">
      <w:start w:val="1"/>
      <w:numFmt w:val="decimal"/>
      <w:lvlText w:val="17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C59D7E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DA5FC57"/>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F7339FD"/>
    <w:multiLevelType w:val="multilevel"/>
    <w:tmpl w:val="00000001"/>
    <w:lvl w:ilvl="0">
      <w:start w:val="1"/>
      <w:numFmt w:val="decimal"/>
      <w:lvlText w:val="20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10D10BEB"/>
    <w:multiLevelType w:val="multilevel"/>
    <w:tmpl w:val="00000001"/>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1E60CC52"/>
    <w:multiLevelType w:val="multilevel"/>
    <w:tmpl w:val="00000001"/>
    <w:lvl w:ilvl="0">
      <w:start w:val="1"/>
      <w:numFmt w:val="decimal"/>
      <w:lvlText w:val="15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289DFA1C"/>
    <w:multiLevelType w:val="multilevel"/>
    <w:tmpl w:val="00000001"/>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2D52271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2E12126D"/>
    <w:multiLevelType w:val="multilevel"/>
    <w:tmpl w:val="00000001"/>
    <w:lvl w:ilvl="0">
      <w:start w:val="1"/>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342865BD"/>
    <w:multiLevelType w:val="multilevel"/>
    <w:tmpl w:val="00000001"/>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3687EC2C"/>
    <w:multiLevelType w:val="multilevel"/>
    <w:tmpl w:val="00000001"/>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3753814D"/>
    <w:multiLevelType w:val="multilevel"/>
    <w:tmpl w:val="00000001"/>
    <w:lvl w:ilvl="0">
      <w:start w:val="1"/>
      <w:numFmt w:val="decimal"/>
      <w:lvlText w:val="6(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3F32FFF0"/>
    <w:multiLevelType w:val="multilevel"/>
    <w:tmpl w:val="00000001"/>
    <w:lvl w:ilvl="0">
      <w:start w:val="1"/>
      <w:numFmt w:val="decimal"/>
      <w:lvlText w:val="3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42F4898D"/>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462EE616"/>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478DC4B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4A65EDD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4DA18A0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54064889"/>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543A76F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54486AA6"/>
    <w:multiLevelType w:val="multilevel"/>
    <w:tmpl w:val="00000001"/>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5AD31C4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5E6A46CB"/>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5F16393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5FDBDD5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6418ED4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6820A029"/>
    <w:multiLevelType w:val="multilevel"/>
    <w:tmpl w:val="0000000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694CCA7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69A06993"/>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93"/>
  </w:num>
  <w:num w:numId="10">
    <w:abstractNumId w:val="107"/>
  </w:num>
  <w:num w:numId="11">
    <w:abstractNumId w:val="122"/>
  </w:num>
  <w:num w:numId="12">
    <w:abstractNumId w:val="8"/>
  </w:num>
  <w:num w:numId="13">
    <w:abstractNumId w:val="9"/>
  </w:num>
  <w:num w:numId="14">
    <w:abstractNumId w:val="10"/>
  </w:num>
  <w:num w:numId="15">
    <w:abstractNumId w:val="11"/>
  </w:num>
  <w:num w:numId="16">
    <w:abstractNumId w:val="12"/>
  </w:num>
  <w:num w:numId="17">
    <w:abstractNumId w:val="13"/>
  </w:num>
  <w:num w:numId="18">
    <w:abstractNumId w:val="14"/>
  </w:num>
  <w:num w:numId="19">
    <w:abstractNumId w:val="15"/>
  </w:num>
  <w:num w:numId="20">
    <w:abstractNumId w:val="16"/>
  </w:num>
  <w:num w:numId="21">
    <w:abstractNumId w:val="17"/>
  </w:num>
  <w:num w:numId="22">
    <w:abstractNumId w:val="18"/>
  </w:num>
  <w:num w:numId="23">
    <w:abstractNumId w:val="19"/>
  </w:num>
  <w:num w:numId="24">
    <w:abstractNumId w:val="109"/>
  </w:num>
  <w:num w:numId="25">
    <w:abstractNumId w:val="96"/>
  </w:num>
  <w:num w:numId="26">
    <w:abstractNumId w:val="113"/>
  </w:num>
  <w:num w:numId="27">
    <w:abstractNumId w:val="20"/>
  </w:num>
  <w:num w:numId="28">
    <w:abstractNumId w:val="21"/>
  </w:num>
  <w:num w:numId="29">
    <w:abstractNumId w:val="22"/>
  </w:num>
  <w:num w:numId="30">
    <w:abstractNumId w:val="23"/>
  </w:num>
  <w:num w:numId="31">
    <w:abstractNumId w:val="24"/>
  </w:num>
  <w:num w:numId="32">
    <w:abstractNumId w:val="25"/>
  </w:num>
  <w:num w:numId="33">
    <w:abstractNumId w:val="26"/>
  </w:num>
  <w:num w:numId="34">
    <w:abstractNumId w:val="27"/>
  </w:num>
  <w:num w:numId="35">
    <w:abstractNumId w:val="28"/>
  </w:num>
  <w:num w:numId="36">
    <w:abstractNumId w:val="29"/>
  </w:num>
  <w:num w:numId="37">
    <w:abstractNumId w:val="120"/>
  </w:num>
  <w:num w:numId="38">
    <w:abstractNumId w:val="117"/>
  </w:num>
  <w:num w:numId="39">
    <w:abstractNumId w:val="118"/>
  </w:num>
  <w:num w:numId="40">
    <w:abstractNumId w:val="105"/>
  </w:num>
  <w:num w:numId="41">
    <w:abstractNumId w:val="102"/>
  </w:num>
  <w:num w:numId="42">
    <w:abstractNumId w:val="112"/>
  </w:num>
  <w:num w:numId="43">
    <w:abstractNumId w:val="94"/>
  </w:num>
  <w:num w:numId="44">
    <w:abstractNumId w:val="108"/>
  </w:num>
  <w:num w:numId="45">
    <w:abstractNumId w:val="100"/>
  </w:num>
  <w:num w:numId="46">
    <w:abstractNumId w:val="101"/>
  </w:num>
  <w:num w:numId="47">
    <w:abstractNumId w:val="114"/>
  </w:num>
  <w:num w:numId="48">
    <w:abstractNumId w:val="121"/>
  </w:num>
  <w:num w:numId="49">
    <w:abstractNumId w:val="116"/>
  </w:num>
  <w:num w:numId="50">
    <w:abstractNumId w:val="103"/>
  </w:num>
  <w:num w:numId="51">
    <w:abstractNumId w:val="119"/>
  </w:num>
  <w:num w:numId="52">
    <w:abstractNumId w:val="111"/>
  </w:num>
  <w:num w:numId="53">
    <w:abstractNumId w:val="106"/>
  </w:num>
  <w:num w:numId="54">
    <w:abstractNumId w:val="99"/>
  </w:num>
  <w:num w:numId="55">
    <w:abstractNumId w:val="110"/>
  </w:num>
  <w:num w:numId="56">
    <w:abstractNumId w:val="98"/>
  </w:num>
  <w:num w:numId="57">
    <w:abstractNumId w:val="30"/>
  </w:num>
  <w:num w:numId="58">
    <w:abstractNumId w:val="31"/>
  </w:num>
  <w:num w:numId="59">
    <w:abstractNumId w:val="32"/>
  </w:num>
  <w:num w:numId="60">
    <w:abstractNumId w:val="33"/>
  </w:num>
  <w:num w:numId="61">
    <w:abstractNumId w:val="34"/>
  </w:num>
  <w:num w:numId="62">
    <w:abstractNumId w:val="35"/>
  </w:num>
  <w:num w:numId="63">
    <w:abstractNumId w:val="36"/>
  </w:num>
  <w:num w:numId="64">
    <w:abstractNumId w:val="37"/>
  </w:num>
  <w:num w:numId="65">
    <w:abstractNumId w:val="38"/>
  </w:num>
  <w:num w:numId="66">
    <w:abstractNumId w:val="97"/>
  </w:num>
  <w:num w:numId="67">
    <w:abstractNumId w:val="95"/>
  </w:num>
  <w:num w:numId="68">
    <w:abstractNumId w:val="104"/>
  </w:num>
  <w:num w:numId="69">
    <w:abstractNumId w:val="115"/>
  </w:num>
  <w:num w:numId="70">
    <w:abstractNumId w:val="39"/>
  </w:num>
  <w:num w:numId="71">
    <w:abstractNumId w:val="40"/>
  </w:num>
  <w:num w:numId="72">
    <w:abstractNumId w:val="41"/>
  </w:num>
  <w:num w:numId="73">
    <w:abstractNumId w:val="42"/>
  </w:num>
  <w:num w:numId="74">
    <w:abstractNumId w:val="43"/>
  </w:num>
  <w:num w:numId="75">
    <w:abstractNumId w:val="44"/>
  </w:num>
  <w:num w:numId="76">
    <w:abstractNumId w:val="45"/>
  </w:num>
  <w:num w:numId="77">
    <w:abstractNumId w:val="46"/>
  </w:num>
  <w:num w:numId="78">
    <w:abstractNumId w:val="47"/>
  </w:num>
  <w:num w:numId="79">
    <w:abstractNumId w:val="48"/>
  </w:num>
  <w:num w:numId="80">
    <w:abstractNumId w:val="49"/>
  </w:num>
  <w:num w:numId="81">
    <w:abstractNumId w:val="50"/>
  </w:num>
  <w:num w:numId="82">
    <w:abstractNumId w:val="51"/>
  </w:num>
  <w:num w:numId="83">
    <w:abstractNumId w:val="52"/>
  </w:num>
  <w:num w:numId="84">
    <w:abstractNumId w:val="53"/>
  </w:num>
  <w:num w:numId="85">
    <w:abstractNumId w:val="54"/>
  </w:num>
  <w:num w:numId="86">
    <w:abstractNumId w:val="55"/>
  </w:num>
  <w:num w:numId="87">
    <w:abstractNumId w:val="56"/>
  </w:num>
  <w:num w:numId="88">
    <w:abstractNumId w:val="57"/>
  </w:num>
  <w:num w:numId="89">
    <w:abstractNumId w:val="58"/>
  </w:num>
  <w:num w:numId="90">
    <w:abstractNumId w:val="59"/>
  </w:num>
  <w:num w:numId="91">
    <w:abstractNumId w:val="60"/>
  </w:num>
  <w:num w:numId="92">
    <w:abstractNumId w:val="61"/>
  </w:num>
  <w:num w:numId="93">
    <w:abstractNumId w:val="62"/>
  </w:num>
  <w:num w:numId="94">
    <w:abstractNumId w:val="63"/>
  </w:num>
  <w:num w:numId="95">
    <w:abstractNumId w:val="64"/>
  </w:num>
  <w:num w:numId="96">
    <w:abstractNumId w:val="65"/>
  </w:num>
  <w:num w:numId="97">
    <w:abstractNumId w:val="66"/>
  </w:num>
  <w:num w:numId="98">
    <w:abstractNumId w:val="67"/>
  </w:num>
  <w:num w:numId="99">
    <w:abstractNumId w:val="68"/>
  </w:num>
  <w:num w:numId="100">
    <w:abstractNumId w:val="69"/>
  </w:num>
  <w:num w:numId="101">
    <w:abstractNumId w:val="70"/>
  </w:num>
  <w:num w:numId="102">
    <w:abstractNumId w:val="71"/>
  </w:num>
  <w:num w:numId="103">
    <w:abstractNumId w:val="72"/>
  </w:num>
  <w:num w:numId="104">
    <w:abstractNumId w:val="73"/>
  </w:num>
  <w:num w:numId="105">
    <w:abstractNumId w:val="74"/>
  </w:num>
  <w:num w:numId="106">
    <w:abstractNumId w:val="75"/>
  </w:num>
  <w:num w:numId="107">
    <w:abstractNumId w:val="76"/>
  </w:num>
  <w:num w:numId="108">
    <w:abstractNumId w:val="77"/>
  </w:num>
  <w:num w:numId="109">
    <w:abstractNumId w:val="78"/>
  </w:num>
  <w:num w:numId="110">
    <w:abstractNumId w:val="79"/>
  </w:num>
  <w:num w:numId="111">
    <w:abstractNumId w:val="80"/>
  </w:num>
  <w:num w:numId="112">
    <w:abstractNumId w:val="81"/>
  </w:num>
  <w:num w:numId="113">
    <w:abstractNumId w:val="82"/>
  </w:num>
  <w:num w:numId="114">
    <w:abstractNumId w:val="83"/>
  </w:num>
  <w:num w:numId="115">
    <w:abstractNumId w:val="84"/>
  </w:num>
  <w:num w:numId="116">
    <w:abstractNumId w:val="85"/>
  </w:num>
  <w:num w:numId="117">
    <w:abstractNumId w:val="86"/>
  </w:num>
  <w:num w:numId="118">
    <w:abstractNumId w:val="87"/>
  </w:num>
  <w:num w:numId="119">
    <w:abstractNumId w:val="88"/>
  </w:num>
  <w:num w:numId="120">
    <w:abstractNumId w:val="89"/>
  </w:num>
  <w:num w:numId="121">
    <w:abstractNumId w:val="90"/>
  </w:num>
  <w:num w:numId="122">
    <w:abstractNumId w:val="92"/>
  </w:num>
  <w:num w:numId="123">
    <w:abstractNumId w:val="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81-F27X-610H-00000-00&amp;context=" TargetMode="External" /><Relationship Id="rId100" Type="http://schemas.openxmlformats.org/officeDocument/2006/relationships/header" Target="header23.xml" /><Relationship Id="rId101" Type="http://schemas.openxmlformats.org/officeDocument/2006/relationships/footer" Target="footer22.xml" /><Relationship Id="rId102" Type="http://schemas.openxmlformats.org/officeDocument/2006/relationships/footer" Target="footer23.xml" /><Relationship Id="rId103" Type="http://schemas.openxmlformats.org/officeDocument/2006/relationships/header" Target="header24.xml" /><Relationship Id="rId104" Type="http://schemas.openxmlformats.org/officeDocument/2006/relationships/footer" Target="footer24.xml" /><Relationship Id="rId105" Type="http://schemas.openxmlformats.org/officeDocument/2006/relationships/hyperlink" Target="https://advance.lexis.com/api/document?collection=cases-ca&amp;id=urn:contentItem:5F7T-S7C1-JS0R-21Y6-00000-00&amp;context=" TargetMode="External" /><Relationship Id="rId106" Type="http://schemas.openxmlformats.org/officeDocument/2006/relationships/hyperlink" Target="https://advance.lexis.com/api/document?collection=cases-ca&amp;id=urn:contentItem:5F7T-S741-FJM6-61VP-00000-00&amp;context=" TargetMode="External" /><Relationship Id="rId107" Type="http://schemas.openxmlformats.org/officeDocument/2006/relationships/hyperlink" Target="https://advance.lexis.com/api/document?collection=cases-ca&amp;id=urn:contentItem:5F8T-N3T1-JJSF-23P9-00000-00&amp;context=" TargetMode="External" /><Relationship Id="rId108" Type="http://schemas.openxmlformats.org/officeDocument/2006/relationships/hyperlink" Target="https://advance.lexis.com/api/document?collection=cases-ca&amp;id=urn:contentItem:5F7T-S771-F361-M1PY-00000-00&amp;context=" TargetMode="External" /><Relationship Id="rId109" Type="http://schemas.openxmlformats.org/officeDocument/2006/relationships/hyperlink" Target="https://advance.lexis.com/api/document?collection=cases-ca&amp;id=urn:contentItem:5F8T-N3T1-JJSF-2339-00000-00&amp;context=" TargetMode="External" /><Relationship Id="rId11" Type="http://schemas.openxmlformats.org/officeDocument/2006/relationships/hyperlink" Target="https://advance.lexis.com/api/document?collection=cases-ca&amp;id=urn:contentItem:5F7T-S6Y1-F65M-606T-00000-00&amp;context=" TargetMode="External" /><Relationship Id="rId110" Type="http://schemas.openxmlformats.org/officeDocument/2006/relationships/hyperlink" Target="https://advance.lexis.com/api/document?collection=cases-ca&amp;id=urn:contentItem:5F81-YGM1-JG02-S109-00000-00&amp;context=" TargetMode="External" /><Relationship Id="rId111" Type="http://schemas.openxmlformats.org/officeDocument/2006/relationships/hyperlink" Target="https://advance.lexis.com/api/document?collection=cases-ca&amp;id=urn:contentItem:5F7T-S701-JJYN-B2J8-00000-00&amp;context=" TargetMode="External" /><Relationship Id="rId112" Type="http://schemas.openxmlformats.org/officeDocument/2006/relationships/header" Target="header25.xml" /><Relationship Id="rId113" Type="http://schemas.openxmlformats.org/officeDocument/2006/relationships/header" Target="header26.xml" /><Relationship Id="rId114" Type="http://schemas.openxmlformats.org/officeDocument/2006/relationships/footer" Target="footer25.xml" /><Relationship Id="rId115" Type="http://schemas.openxmlformats.org/officeDocument/2006/relationships/footer" Target="footer26.xml" /><Relationship Id="rId116" Type="http://schemas.openxmlformats.org/officeDocument/2006/relationships/header" Target="header27.xml" /><Relationship Id="rId117" Type="http://schemas.openxmlformats.org/officeDocument/2006/relationships/footer" Target="footer27.xml" /><Relationship Id="rId118" Type="http://schemas.openxmlformats.org/officeDocument/2006/relationships/hyperlink" Target="https://advance.lexis.com/api/document?collection=cases-ca&amp;id=urn:contentItem:5F7T-S7G1-JN6B-S1T4-00000-00&amp;context=" TargetMode="External" /><Relationship Id="rId119" Type="http://schemas.openxmlformats.org/officeDocument/2006/relationships/hyperlink" Target="https://advance.lexis.com/api/document?collection=legislation-ca&amp;id=urn:contentItem:5F3B-B9C1-FJDY-X0G5-00000-00&amp;context=" TargetMode="External" /><Relationship Id="rId12" Type="http://schemas.openxmlformats.org/officeDocument/2006/relationships/hyperlink" Target="https://advance.lexis.com/api/document?collection=cases-ca&amp;id=urn:contentItem:5F81-VJT1-JK4W-M40S-00000-00&amp;context=" TargetMode="External" /><Relationship Id="rId120" Type="http://schemas.openxmlformats.org/officeDocument/2006/relationships/hyperlink" Target="https://advance.lexis.com/api/document?collection=legislation-ca&amp;id=urn:contentItem:5XW1-RV51-DXPM-S1GJ-00000-00&amp;context=" TargetMode="External" /><Relationship Id="rId121" Type="http://schemas.openxmlformats.org/officeDocument/2006/relationships/hyperlink" Target="https://advance.lexis.com/api/document?collection=cases-ca&amp;id=urn:contentItem:5F7T-S731-JNJT-B1W0-00000-00&amp;context=" TargetMode="External" /><Relationship Id="rId122" Type="http://schemas.openxmlformats.org/officeDocument/2006/relationships/hyperlink" Target="https://advance.lexis.com/api/document?collection=legislation-ca&amp;id=urn:contentItem:5VYK-WB41-F22N-X4VK-00000-00&amp;context=" TargetMode="External" /><Relationship Id="rId123" Type="http://schemas.openxmlformats.org/officeDocument/2006/relationships/hyperlink" Target="https://advance.lexis.com/api/document?collection=cases-ca&amp;id=urn:contentItem:5F8T-N3V1-JTGH-B14S-00000-00&amp;context=" TargetMode="External" /><Relationship Id="rId124" Type="http://schemas.openxmlformats.org/officeDocument/2006/relationships/hyperlink" Target="https://advance.lexis.com/api/document?collection=cases-ca&amp;id=urn:contentItem:5F7T-S711-JB2B-S0W5-00000-00&amp;context=" TargetMode="External" /><Relationship Id="rId125" Type="http://schemas.openxmlformats.org/officeDocument/2006/relationships/hyperlink" Target="https://advance.lexis.com/api/document?collection=cases-ca&amp;id=urn:contentItem:5F82-1SB1-F8SS-645X-00000-00&amp;context=" TargetMode="External" /><Relationship Id="rId126" Type="http://schemas.openxmlformats.org/officeDocument/2006/relationships/hyperlink" Target="https://advance.lexis.com/api/document?collection=cases-ca&amp;id=urn:contentItem:5F82-1SC1-FJTD-G51C-00000-00&amp;context=" TargetMode="External" /><Relationship Id="rId127" Type="http://schemas.openxmlformats.org/officeDocument/2006/relationships/hyperlink" Target="https://advance.lexis.com/api/document?collection=cases-ca&amp;id=urn:contentItem:5F82-1SC1-FJTD-G52C-00000-00&amp;context=" TargetMode="External" /><Relationship Id="rId128" Type="http://schemas.openxmlformats.org/officeDocument/2006/relationships/hyperlink" Target="https://advance.lexis.com/api/document?collection=cases-ca&amp;id=urn:contentItem:5F8T-N3T1-JFKM-6540-00000-00&amp;context=" TargetMode="External" /><Relationship Id="rId129" Type="http://schemas.openxmlformats.org/officeDocument/2006/relationships/hyperlink" Target="https://advance.lexis.com/api/document?collection=cases-ca&amp;id=urn:contentItem:5F8T-N3T1-JJSF-23F7-00000-00&amp;context=" TargetMode="External" /><Relationship Id="rId13" Type="http://schemas.openxmlformats.org/officeDocument/2006/relationships/header" Target="header4.xml" /><Relationship Id="rId130" Type="http://schemas.openxmlformats.org/officeDocument/2006/relationships/hyperlink" Target="https://advance.lexis.com/api/document?collection=cases-ca&amp;id=urn:contentItem:5F8T-N3S1-JT99-253W-00000-00&amp;context=" TargetMode="External" /><Relationship Id="rId131" Type="http://schemas.openxmlformats.org/officeDocument/2006/relationships/hyperlink" Target="https://advance.lexis.com/api/document?collection=cases-ca&amp;id=urn:contentItem:5F8T-N3S1-JT99-24WH-00000-00&amp;context=" TargetMode="External" /><Relationship Id="rId132" Type="http://schemas.openxmlformats.org/officeDocument/2006/relationships/hyperlink" Target="https://advance.lexis.com/api/document?collection=cases-ca&amp;id=urn:contentItem:5F8T-N3S1-JT99-24W4-00000-00&amp;context=" TargetMode="External" /><Relationship Id="rId133" Type="http://schemas.openxmlformats.org/officeDocument/2006/relationships/hyperlink" Target="https://advance.lexis.com/api/document?collection=cases-ca&amp;id=urn:contentItem:5F81-YGV1-DYFH-X53N-00000-00&amp;context=" TargetMode="External" /><Relationship Id="rId134" Type="http://schemas.openxmlformats.org/officeDocument/2006/relationships/hyperlink" Target="https://advance.lexis.com/api/document?collection=cases-ca&amp;id=urn:contentItem:5F7T-S6X1-F7ND-G3JY-00000-00&amp;context=" TargetMode="External" /><Relationship Id="rId135" Type="http://schemas.openxmlformats.org/officeDocument/2006/relationships/hyperlink" Target="https://advance.lexis.com/api/document?collection=cases-ca&amp;id=urn:contentItem:5F8P-SBV1-DXWW-2257-00000-00&amp;context=" TargetMode="External" /><Relationship Id="rId136" Type="http://schemas.openxmlformats.org/officeDocument/2006/relationships/hyperlink" Target="https://advance.lexis.com/api/document?collection=cases-ca&amp;id=urn:contentItem:5F81-WC31-F5KY-B4JG-00000-00&amp;context=" TargetMode="External" /><Relationship Id="rId137" Type="http://schemas.openxmlformats.org/officeDocument/2006/relationships/hyperlink" Target="https://advance.lexis.com/api/document?collection=cases-ca&amp;id=urn:contentItem:5F7T-S6Y1-F65M-60GC-00000-00&amp;context=" TargetMode="External" /><Relationship Id="rId138" Type="http://schemas.openxmlformats.org/officeDocument/2006/relationships/hyperlink" Target="https://advance.lexis.com/api/document?collection=cases-ca&amp;id=urn:contentItem:5F8T-N3T1-JFKM-651B-00000-00&amp;context=" TargetMode="External" /><Relationship Id="rId139" Type="http://schemas.openxmlformats.org/officeDocument/2006/relationships/hyperlink" Target="https://advance.lexis.com/api/document?collection=cases-ca&amp;id=urn:contentItem:5F8T-N3V1-JTGH-B190-00000-00&amp;context=" TargetMode="External" /><Relationship Id="rId14" Type="http://schemas.openxmlformats.org/officeDocument/2006/relationships/header" Target="header5.xml" /><Relationship Id="rId140" Type="http://schemas.openxmlformats.org/officeDocument/2006/relationships/hyperlink" Target="https://advance.lexis.com/api/document?collection=cases-ca&amp;id=urn:contentItem:5F7T-S7F1-FBN1-21V4-00000-00&amp;context=" TargetMode="External" /><Relationship Id="rId141" Type="http://schemas.openxmlformats.org/officeDocument/2006/relationships/hyperlink" Target="https://advance.lexis.com/api/document?collection=legislation-ca&amp;id=urn:contentItem:5VYK-WB51-JWXF-20Y0-00000-00&amp;context=" TargetMode="External" /><Relationship Id="rId142" Type="http://schemas.openxmlformats.org/officeDocument/2006/relationships/hyperlink" Target="https://advance.lexis.com/api/document?collection=cases-ca&amp;id=urn:contentItem:5F7T-S781-FH4C-X31B-00000-00&amp;context=" TargetMode="External" /><Relationship Id="rId143" Type="http://schemas.openxmlformats.org/officeDocument/2006/relationships/header" Target="header28.xml" /><Relationship Id="rId144" Type="http://schemas.openxmlformats.org/officeDocument/2006/relationships/header" Target="header29.xml" /><Relationship Id="rId145" Type="http://schemas.openxmlformats.org/officeDocument/2006/relationships/footer" Target="footer28.xml" /><Relationship Id="rId146" Type="http://schemas.openxmlformats.org/officeDocument/2006/relationships/footer" Target="footer29.xml" /><Relationship Id="rId147" Type="http://schemas.openxmlformats.org/officeDocument/2006/relationships/header" Target="header30.xml" /><Relationship Id="rId148" Type="http://schemas.openxmlformats.org/officeDocument/2006/relationships/footer" Target="footer30.xml" /><Relationship Id="rId149" Type="http://schemas.openxmlformats.org/officeDocument/2006/relationships/hyperlink" Target="https://advance.lexis.com/api/document?collection=cases-ca&amp;id=urn:contentItem:5F7T-S771-JN14-G2J5-00000-00&amp;context=" TargetMode="External" /><Relationship Id="rId15" Type="http://schemas.openxmlformats.org/officeDocument/2006/relationships/footer" Target="footer4.xml" /><Relationship Id="rId150" Type="http://schemas.openxmlformats.org/officeDocument/2006/relationships/header" Target="header31.xml" /><Relationship Id="rId151" Type="http://schemas.openxmlformats.org/officeDocument/2006/relationships/header" Target="header32.xml" /><Relationship Id="rId152" Type="http://schemas.openxmlformats.org/officeDocument/2006/relationships/footer" Target="footer31.xml" /><Relationship Id="rId153" Type="http://schemas.openxmlformats.org/officeDocument/2006/relationships/footer" Target="footer32.xml" /><Relationship Id="rId154" Type="http://schemas.openxmlformats.org/officeDocument/2006/relationships/header" Target="header33.xml" /><Relationship Id="rId155" Type="http://schemas.openxmlformats.org/officeDocument/2006/relationships/footer" Target="footer33.xml" /><Relationship Id="rId156" Type="http://schemas.openxmlformats.org/officeDocument/2006/relationships/hyperlink" Target="https://advance.lexis.com/api/document?collection=cases-ca&amp;id=urn:contentItem:5F7T-S771-JW5H-X1PN-00000-00&amp;context=" TargetMode="External" /><Relationship Id="rId157" Type="http://schemas.openxmlformats.org/officeDocument/2006/relationships/hyperlink" Target="https://advance.lexis.com/api/document?collection=legislation-ca&amp;id=urn:contentItem:5F41-1FJ1-JBDT-B066-00000-00&amp;context=" TargetMode="External" /><Relationship Id="rId158" Type="http://schemas.openxmlformats.org/officeDocument/2006/relationships/hyperlink" Target="https://advance.lexis.com/api/document?collection=cases-ca&amp;id=urn:contentItem:5F7T-S6T1-JTNR-M2MX-00000-00&amp;context=" TargetMode="External" /><Relationship Id="rId159" Type="http://schemas.openxmlformats.org/officeDocument/2006/relationships/hyperlink" Target="https://advance.lexis.com/api/document?collection=cases-ca&amp;id=urn:contentItem:5F7T-S741-F2F4-G2BG-00000-00&amp;context=" TargetMode="External" /><Relationship Id="rId16" Type="http://schemas.openxmlformats.org/officeDocument/2006/relationships/footer" Target="footer5.xml" /><Relationship Id="rId160" Type="http://schemas.openxmlformats.org/officeDocument/2006/relationships/hyperlink" Target="https://advance.lexis.com/api/document?collection=cases-ca&amp;id=urn:contentItem:5F8P-T8W1-FC1F-M3NJ-00000-00&amp;context=" TargetMode="External" /><Relationship Id="rId161" Type="http://schemas.openxmlformats.org/officeDocument/2006/relationships/hyperlink" Target="https://advance.lexis.com/api/document?collection=cases-ca&amp;id=urn:contentItem:5F8P-T8T1-FFMK-M1RY-00000-00&amp;context=" TargetMode="External" /><Relationship Id="rId162" Type="http://schemas.openxmlformats.org/officeDocument/2006/relationships/hyperlink" Target="https://advance.lexis.com/api/document?collection=cases-ca&amp;id=urn:contentItem:5F7T-S751-JP4G-61G4-00000-00&amp;context=" TargetMode="External" /><Relationship Id="rId163" Type="http://schemas.openxmlformats.org/officeDocument/2006/relationships/hyperlink" Target="https://advance.lexis.com/api/document?collection=cases-ca&amp;id=urn:contentItem:5F7T-S741-F528-G21K-00000-00&amp;context=" TargetMode="External" /><Relationship Id="rId164" Type="http://schemas.openxmlformats.org/officeDocument/2006/relationships/header" Target="header34.xml" /><Relationship Id="rId165" Type="http://schemas.openxmlformats.org/officeDocument/2006/relationships/header" Target="header35.xml" /><Relationship Id="rId166" Type="http://schemas.openxmlformats.org/officeDocument/2006/relationships/footer" Target="footer34.xml" /><Relationship Id="rId167" Type="http://schemas.openxmlformats.org/officeDocument/2006/relationships/footer" Target="footer35.xml" /><Relationship Id="rId168" Type="http://schemas.openxmlformats.org/officeDocument/2006/relationships/header" Target="header36.xml" /><Relationship Id="rId169" Type="http://schemas.openxmlformats.org/officeDocument/2006/relationships/footer" Target="footer36.xml" /><Relationship Id="rId17" Type="http://schemas.openxmlformats.org/officeDocument/2006/relationships/header" Target="header6.xml" /><Relationship Id="rId170" Type="http://schemas.openxmlformats.org/officeDocument/2006/relationships/hyperlink" Target="https://advance.lexis.com/api/document?collection=cases-ca&amp;id=urn:contentItem:5F7T-S771-F81W-22DC-00000-00&amp;context=" TargetMode="External" /><Relationship Id="rId171" Type="http://schemas.openxmlformats.org/officeDocument/2006/relationships/hyperlink" Target="https://advance.lexis.com/api/document?collection=legislation-ca&amp;id=urn:contentItem:5F41-1FG1-F4NT-X0BT-00000-00&amp;context=" TargetMode="External" /><Relationship Id="rId172" Type="http://schemas.openxmlformats.org/officeDocument/2006/relationships/hyperlink" Target="https://advance.lexis.com/api/document?collection=legislation-ca&amp;id=urn:contentItem:5F41-1FJ1-JBDT-B069-00000-00&amp;context=" TargetMode="External" /><Relationship Id="rId173" Type="http://schemas.openxmlformats.org/officeDocument/2006/relationships/hyperlink" Target="https://advance.lexis.com/api/document?collection=cases-ca&amp;id=urn:contentItem:5F7T-S761-FFMK-M1BC-00000-00&amp;context=" TargetMode="External" /><Relationship Id="rId174" Type="http://schemas.openxmlformats.org/officeDocument/2006/relationships/hyperlink" Target="https://advance.lexis.com/api/document?collection=cases-ca&amp;id=urn:contentItem:5F8P-SBV1-DXWW-22D5-00000-00&amp;context=" TargetMode="External" /><Relationship Id="rId175" Type="http://schemas.openxmlformats.org/officeDocument/2006/relationships/hyperlink" Target="https://advance.lexis.com/api/document?collection=cases-ca&amp;id=urn:contentItem:5F8P-SBV1-DXWW-22DK-00000-00&amp;context=" TargetMode="External" /><Relationship Id="rId176" Type="http://schemas.openxmlformats.org/officeDocument/2006/relationships/header" Target="header37.xml" /><Relationship Id="rId177" Type="http://schemas.openxmlformats.org/officeDocument/2006/relationships/header" Target="header38.xml" /><Relationship Id="rId178" Type="http://schemas.openxmlformats.org/officeDocument/2006/relationships/footer" Target="footer37.xml" /><Relationship Id="rId179" Type="http://schemas.openxmlformats.org/officeDocument/2006/relationships/footer" Target="footer38.xml" /><Relationship Id="rId18" Type="http://schemas.openxmlformats.org/officeDocument/2006/relationships/footer" Target="footer6.xml" /><Relationship Id="rId180" Type="http://schemas.openxmlformats.org/officeDocument/2006/relationships/header" Target="header39.xml" /><Relationship Id="rId181" Type="http://schemas.openxmlformats.org/officeDocument/2006/relationships/footer" Target="footer39.xml" /><Relationship Id="rId182" Type="http://schemas.openxmlformats.org/officeDocument/2006/relationships/hyperlink" Target="https://advance.lexis.com/api/document?collection=cases-ca&amp;id=urn:contentItem:5F7T-S771-JSJC-X02P-00000-00&amp;context=" TargetMode="External" /><Relationship Id="rId183" Type="http://schemas.openxmlformats.org/officeDocument/2006/relationships/hyperlink" Target="https://advance.lexis.com/api/document?collection=legislation-ca&amp;id=urn:contentItem:5F41-1FJ1-JKPJ-G0P7-00000-00&amp;context=" TargetMode="External" /><Relationship Id="rId184" Type="http://schemas.openxmlformats.org/officeDocument/2006/relationships/hyperlink" Target="https://advance.lexis.com/api/document?collection=cases-ca&amp;id=urn:contentItem:5F7T-S6X1-JTNR-M3KJ-00000-00&amp;context=" TargetMode="External" /><Relationship Id="rId185" Type="http://schemas.openxmlformats.org/officeDocument/2006/relationships/hyperlink" Target="https://advance.lexis.com/api/document?collection=cases-ca&amp;id=urn:contentItem:5F7T-S6W1-F7ND-G2SS-00000-00&amp;context=" TargetMode="External" /><Relationship Id="rId186" Type="http://schemas.openxmlformats.org/officeDocument/2006/relationships/hyperlink" Target="https://advance.lexis.com/api/document?collection=cases-ca&amp;id=urn:contentItem:5F7T-S6Y1-F65M-602G-00000-00&amp;context=" TargetMode="External" /><Relationship Id="rId187" Type="http://schemas.openxmlformats.org/officeDocument/2006/relationships/hyperlink" Target="https://advance.lexis.com/api/document?collection=cases-ca&amp;id=urn:contentItem:5F7T-S6W1-F7ND-G2N1-00000-00&amp;context=" TargetMode="External" /><Relationship Id="rId188" Type="http://schemas.openxmlformats.org/officeDocument/2006/relationships/hyperlink" Target="https://advance.lexis.com/api/document?collection=cases-ca&amp;id=urn:contentItem:5F7T-S6T1-DY89-M2WT-00000-00&amp;context=" TargetMode="External" /><Relationship Id="rId189" Type="http://schemas.openxmlformats.org/officeDocument/2006/relationships/hyperlink" Target="https://advance.lexis.com/api/document?collection=cases-ca&amp;id=urn:contentItem:5F7T-S6R1-DXWW-234C-00000-00&amp;context=" TargetMode="External" /><Relationship Id="rId19" Type="http://schemas.openxmlformats.org/officeDocument/2006/relationships/hyperlink" Target="https://advance.lexis.com/api/document?collection=cases-ca&amp;id=urn:contentItem:5F7T-S791-FJTD-G2HC-00000-00&amp;context=" TargetMode="External" /><Relationship Id="rId190" Type="http://schemas.openxmlformats.org/officeDocument/2006/relationships/hyperlink" Target="https://advance.lexis.com/api/document?collection=cases-ca&amp;id=urn:contentItem:5F81-VJV1-F60C-X397-00000-00&amp;context=" TargetMode="External" /><Relationship Id="rId191" Type="http://schemas.openxmlformats.org/officeDocument/2006/relationships/hyperlink" Target="https://advance.lexis.com/api/document?collection=cases-ca&amp;id=urn:contentItem:5F7T-S741-F1H1-21VP-00000-00&amp;context=" TargetMode="External" /><Relationship Id="rId192" Type="http://schemas.openxmlformats.org/officeDocument/2006/relationships/header" Target="header40.xml" /><Relationship Id="rId193" Type="http://schemas.openxmlformats.org/officeDocument/2006/relationships/header" Target="header41.xml" /><Relationship Id="rId194" Type="http://schemas.openxmlformats.org/officeDocument/2006/relationships/footer" Target="footer40.xml" /><Relationship Id="rId195" Type="http://schemas.openxmlformats.org/officeDocument/2006/relationships/footer" Target="footer41.xml" /><Relationship Id="rId196" Type="http://schemas.openxmlformats.org/officeDocument/2006/relationships/header" Target="header42.xml" /><Relationship Id="rId197" Type="http://schemas.openxmlformats.org/officeDocument/2006/relationships/footer" Target="footer42.xml" /><Relationship Id="rId198" Type="http://schemas.openxmlformats.org/officeDocument/2006/relationships/hyperlink" Target="https://advance.lexis.com/api/document?collection=cases-ca&amp;id=urn:contentItem:5F7T-S7C1-JSRM-60WP-00000-00&amp;context=" TargetMode="External" /><Relationship Id="rId199" Type="http://schemas.openxmlformats.org/officeDocument/2006/relationships/hyperlink" Target="https://advance.lexis.com/api/document?collection=legislation-ca&amp;id=urn:contentItem:5VYK-47Y1-F06F-21ND-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legislation-ca&amp;id=urn:contentItem:5F41-1FH1-F361-M0HG-00000-00&amp;context=" TargetMode="External" /><Relationship Id="rId200" Type="http://schemas.openxmlformats.org/officeDocument/2006/relationships/hyperlink" Target="https://advance.lexis.com/api/document?collection=legislation-ca&amp;id=urn:contentItem:5F41-1FG1-FC1F-M0TW-00000-00&amp;context=" TargetMode="External" /><Relationship Id="rId201" Type="http://schemas.openxmlformats.org/officeDocument/2006/relationships/hyperlink" Target="https://advance.lexis.com/api/document?collection=cases-ca&amp;id=urn:contentItem:5F7T-S711-F27X-60WG-00000-00&amp;context=" TargetMode="External" /><Relationship Id="rId202" Type="http://schemas.openxmlformats.org/officeDocument/2006/relationships/hyperlink" Target="https://advance.lexis.com/api/document?collection=cases-ca&amp;id=urn:contentItem:5F7T-S781-F7G6-637H-00000-00&amp;context=" TargetMode="External" /><Relationship Id="rId203" Type="http://schemas.openxmlformats.org/officeDocument/2006/relationships/hyperlink" Target="https://advance.lexis.com/api/document?collection=cases-ca&amp;id=urn:contentItem:5F7T-S711-F5KY-B10P-00000-00&amp;context=" TargetMode="External" /><Relationship Id="rId204" Type="http://schemas.openxmlformats.org/officeDocument/2006/relationships/hyperlink" Target="https://advance.lexis.com/api/document?collection=cases-ca&amp;id=urn:contentItem:5F8T-N3R1-JJSF-22NG-00000-00&amp;context=" TargetMode="External" /><Relationship Id="rId205" Type="http://schemas.openxmlformats.org/officeDocument/2006/relationships/hyperlink" Target="https://advance.lexis.com/api/document?collection=cases-ca&amp;id=urn:contentItem:5F7T-S6T1-FJTD-G17T-00000-00&amp;context=" TargetMode="External" /><Relationship Id="rId206" Type="http://schemas.openxmlformats.org/officeDocument/2006/relationships/hyperlink" Target="https://advance.lexis.com/api/document?collection=cases-ca&amp;id=urn:contentItem:5F7T-S741-FJM6-61FN-00000-00&amp;context=" TargetMode="External" /><Relationship Id="rId207" Type="http://schemas.openxmlformats.org/officeDocument/2006/relationships/hyperlink" Target="https://advance.lexis.com/api/document?collection=cases-ca&amp;id=urn:contentItem:5F7T-S6X1-K0BB-S057-00000-00&amp;context=" TargetMode="External" /><Relationship Id="rId208" Type="http://schemas.openxmlformats.org/officeDocument/2006/relationships/header" Target="header43.xml" /><Relationship Id="rId209" Type="http://schemas.openxmlformats.org/officeDocument/2006/relationships/header" Target="header44.xml" /><Relationship Id="rId21" Type="http://schemas.openxmlformats.org/officeDocument/2006/relationships/hyperlink" Target="https://advance.lexis.com/api/document?collection=cases-ca&amp;id=urn:contentItem:5F7T-S711-JG02-S1W7-00000-00&amp;context=" TargetMode="External" /><Relationship Id="rId210" Type="http://schemas.openxmlformats.org/officeDocument/2006/relationships/footer" Target="footer43.xml" /><Relationship Id="rId211" Type="http://schemas.openxmlformats.org/officeDocument/2006/relationships/footer" Target="footer44.xml" /><Relationship Id="rId212" Type="http://schemas.openxmlformats.org/officeDocument/2006/relationships/header" Target="header45.xml" /><Relationship Id="rId213" Type="http://schemas.openxmlformats.org/officeDocument/2006/relationships/footer" Target="footer45.xml" /><Relationship Id="rId214" Type="http://schemas.openxmlformats.org/officeDocument/2006/relationships/hyperlink" Target="https://advance.lexis.com/api/document?collection=cases-ca&amp;id=urn:contentItem:5F7T-S7C1-FGRY-B03P-00000-00&amp;context=" TargetMode="External" /><Relationship Id="rId215" Type="http://schemas.openxmlformats.org/officeDocument/2006/relationships/hyperlink" Target="https://advance.lexis.com/api/document?collection=legislation-ca&amp;id=urn:contentItem:5F41-1FH1-F361-M0HC-00000-00&amp;context=" TargetMode="External" /><Relationship Id="rId216" Type="http://schemas.openxmlformats.org/officeDocument/2006/relationships/hyperlink" Target="https://advance.lexis.com/api/document?collection=cases-ca&amp;id=urn:contentItem:5F7T-S731-DY33-B10X-00000-00&amp;context=" TargetMode="External" /><Relationship Id="rId217" Type="http://schemas.openxmlformats.org/officeDocument/2006/relationships/hyperlink" Target="https://advance.lexis.com/api/document?collection=cases-ca&amp;id=urn:contentItem:5F7T-S751-JP4G-611C-00000-00&amp;context=" TargetMode="External" /><Relationship Id="rId218" Type="http://schemas.openxmlformats.org/officeDocument/2006/relationships/hyperlink" Target="https://advance.lexis.com/api/document?collection=cases-ca&amp;id=urn:contentItem:5F7T-S6X1-JTNR-M3X3-00000-00&amp;context=" TargetMode="External" /><Relationship Id="rId219" Type="http://schemas.openxmlformats.org/officeDocument/2006/relationships/header" Target="header46.xml" /><Relationship Id="rId22" Type="http://schemas.openxmlformats.org/officeDocument/2006/relationships/hyperlink" Target="https://advance.lexis.com/api/document?collection=cases-ca&amp;id=urn:contentItem:5F7T-S771-JSJC-X041-00000-00&amp;context=" TargetMode="External" /><Relationship Id="rId220" Type="http://schemas.openxmlformats.org/officeDocument/2006/relationships/header" Target="header47.xml" /><Relationship Id="rId221" Type="http://schemas.openxmlformats.org/officeDocument/2006/relationships/footer" Target="footer46.xml" /><Relationship Id="rId222" Type="http://schemas.openxmlformats.org/officeDocument/2006/relationships/footer" Target="footer47.xml" /><Relationship Id="rId223" Type="http://schemas.openxmlformats.org/officeDocument/2006/relationships/header" Target="header48.xml" /><Relationship Id="rId224" Type="http://schemas.openxmlformats.org/officeDocument/2006/relationships/footer" Target="footer48.xml" /><Relationship Id="rId225" Type="http://schemas.openxmlformats.org/officeDocument/2006/relationships/hyperlink" Target="https://advance.lexis.com/api/document?collection=cases-ca&amp;id=urn:contentItem:5WDS-HC71-FG68-G0HP-00000-00&amp;context=" TargetMode="External" /><Relationship Id="rId226" Type="http://schemas.openxmlformats.org/officeDocument/2006/relationships/hyperlink" Target="https://advance.lexis.com/api/document?collection=legislation-ca&amp;id=urn:contentItem:5KXH-VVG1-F57G-S3JC-00000-00&amp;context=" TargetMode="External" /><Relationship Id="rId227" Type="http://schemas.openxmlformats.org/officeDocument/2006/relationships/hyperlink" Target="https://advance.lexis.com/api/document?collection=cases-ca&amp;id=urn:contentItem:5F7T-S6Y1-FJDY-X23K-00000-00&amp;context=" TargetMode="External" /><Relationship Id="rId228" Type="http://schemas.openxmlformats.org/officeDocument/2006/relationships/hyperlink" Target="https://advance.lexis.com/api/document?collection=cases-ca&amp;id=urn:contentItem:5F7T-S7N1-JGHR-M38N-00000-00&amp;context=" TargetMode="External" /><Relationship Id="rId229" Type="http://schemas.openxmlformats.org/officeDocument/2006/relationships/hyperlink" Target="https://advance.lexis.com/api/document?collection=cases-ca&amp;id=urn:contentItem:5F7T-S7D1-FFFC-B1DT-00000-00&amp;context=" TargetMode="External" /><Relationship Id="rId23" Type="http://schemas.openxmlformats.org/officeDocument/2006/relationships/hyperlink" Target="https://advance.lexis.com/api/document?collection=cases-ca&amp;id=urn:contentItem:5F7T-S701-JF75-M4N2-00000-00&amp;context=" TargetMode="External" /><Relationship Id="rId230" Type="http://schemas.openxmlformats.org/officeDocument/2006/relationships/hyperlink" Target="https://advance.lexis.com/api/document?collection=cases-ca&amp;id=urn:contentItem:5F7T-S7F1-FJTD-G3D8-00000-00&amp;context=" TargetMode="External" /><Relationship Id="rId231" Type="http://schemas.openxmlformats.org/officeDocument/2006/relationships/hyperlink" Target="https://advance.lexis.com/api/document?collection=cases-ca&amp;id=urn:contentItem:5F7T-S7N1-JJ1H-X2VM-00000-00&amp;context=" TargetMode="External" /><Relationship Id="rId232" Type="http://schemas.openxmlformats.org/officeDocument/2006/relationships/hyperlink" Target="https://advance.lexis.com/api/document?collection=cases-ca&amp;id=urn:contentItem:5F8T-N3V1-JTGH-B1H3-00000-00&amp;context=" TargetMode="External" /><Relationship Id="rId233" Type="http://schemas.openxmlformats.org/officeDocument/2006/relationships/hyperlink" Target="https://advance.lexis.com/api/document?collection=cases-ca&amp;id=urn:contentItem:5F7T-S7M1-F4W2-6297-00000-00&amp;context=" TargetMode="External" /><Relationship Id="rId234" Type="http://schemas.openxmlformats.org/officeDocument/2006/relationships/hyperlink" Target="https://advance.lexis.com/api/document?collection=cases-ca&amp;id=urn:contentItem:5MF2-KC41-F60C-X1HY-00000-00&amp;context=" TargetMode="External" /><Relationship Id="rId235" Type="http://schemas.openxmlformats.org/officeDocument/2006/relationships/hyperlink" Target="https://advance.lexis.com/api/document?collection=cases-ca&amp;id=urn:contentItem:5F7T-S7J1-JGBH-B2B4-00000-00&amp;context=" TargetMode="External" /><Relationship Id="rId236" Type="http://schemas.openxmlformats.org/officeDocument/2006/relationships/hyperlink" Target="https://advance.lexis.com/api/document?collection=cases-ca&amp;id=urn:contentItem:5F7T-S7N1-DXWW-20HJ-00000-00&amp;context=" TargetMode="External" /><Relationship Id="rId237" Type="http://schemas.openxmlformats.org/officeDocument/2006/relationships/hyperlink" Target="https://advance.lexis.com/api/document?collection=cases-ca&amp;id=urn:contentItem:5F7T-S7K1-F1H1-222P-00000-00&amp;context=" TargetMode="External" /><Relationship Id="rId238" Type="http://schemas.openxmlformats.org/officeDocument/2006/relationships/hyperlink" Target="https://advance.lexis.com/api/document?collection=legislation-ca&amp;id=urn:contentItem:5W2C-X5J1-JJ1H-X0DP-00000-00&amp;context=" TargetMode="External" /><Relationship Id="rId239" Type="http://schemas.openxmlformats.org/officeDocument/2006/relationships/header" Target="header49.xml" /><Relationship Id="rId24" Type="http://schemas.openxmlformats.org/officeDocument/2006/relationships/hyperlink" Target="https://advance.lexis.com/api/document?collection=cases-ca&amp;id=urn:contentItem:5F8T-N3V1-JF75-M3S6-00000-00&amp;context=" TargetMode="External" /><Relationship Id="rId240" Type="http://schemas.openxmlformats.org/officeDocument/2006/relationships/header" Target="header50.xml" /><Relationship Id="rId241" Type="http://schemas.openxmlformats.org/officeDocument/2006/relationships/footer" Target="footer49.xml" /><Relationship Id="rId242" Type="http://schemas.openxmlformats.org/officeDocument/2006/relationships/footer" Target="footer50.xml" /><Relationship Id="rId243" Type="http://schemas.openxmlformats.org/officeDocument/2006/relationships/header" Target="header51.xml" /><Relationship Id="rId244" Type="http://schemas.openxmlformats.org/officeDocument/2006/relationships/footer" Target="footer51.xml" /><Relationship Id="rId245" Type="http://schemas.openxmlformats.org/officeDocument/2006/relationships/hyperlink" Target="https://advance.lexis.com/api/document?collection=cases-ca&amp;id=urn:contentItem:5F7T-S771-JTGH-B1B6-00000-00&amp;context=" TargetMode="External" /><Relationship Id="rId246" Type="http://schemas.openxmlformats.org/officeDocument/2006/relationships/hyperlink" Target="https://advance.lexis.com/api/document?collection=cases-ca&amp;id=urn:contentItem:5F7T-S721-F5T5-M260-00000-00&amp;context=" TargetMode="External" /><Relationship Id="rId247" Type="http://schemas.openxmlformats.org/officeDocument/2006/relationships/hyperlink" Target="https://advance.lexis.com/api/document?collection=cases-ca&amp;id=urn:contentItem:5F81-WC31-F5KY-B4SM-00000-00&amp;context=" TargetMode="External" /><Relationship Id="rId248" Type="http://schemas.openxmlformats.org/officeDocument/2006/relationships/hyperlink" Target="https://advance.lexis.com/api/document?collection=cases-ca&amp;id=urn:contentItem:5F7T-S771-F2TK-22WY-00000-00&amp;context=" TargetMode="External" /><Relationship Id="rId249" Type="http://schemas.openxmlformats.org/officeDocument/2006/relationships/hyperlink" Target="https://advance.lexis.com/api/document?collection=cases-ca&amp;id=urn:contentItem:5F7T-S711-JG02-S1F6-00000-00&amp;context=" TargetMode="External" /><Relationship Id="rId25" Type="http://schemas.openxmlformats.org/officeDocument/2006/relationships/hyperlink" Target="https://advance.lexis.com/api/document?collection=cases-ca&amp;id=urn:contentItem:5F7T-S701-JBT7-X23F-00000-00&amp;context=" TargetMode="External" /><Relationship Id="rId250" Type="http://schemas.openxmlformats.org/officeDocument/2006/relationships/header" Target="header52.xml" /><Relationship Id="rId251" Type="http://schemas.openxmlformats.org/officeDocument/2006/relationships/header" Target="header53.xml" /><Relationship Id="rId252" Type="http://schemas.openxmlformats.org/officeDocument/2006/relationships/footer" Target="footer52.xml" /><Relationship Id="rId253" Type="http://schemas.openxmlformats.org/officeDocument/2006/relationships/footer" Target="footer53.xml" /><Relationship Id="rId254" Type="http://schemas.openxmlformats.org/officeDocument/2006/relationships/header" Target="header54.xml" /><Relationship Id="rId255" Type="http://schemas.openxmlformats.org/officeDocument/2006/relationships/footer" Target="footer54.xml" /><Relationship Id="rId256" Type="http://schemas.openxmlformats.org/officeDocument/2006/relationships/hyperlink" Target="https://advance.lexis.com/api/document?collection=cases-ca&amp;id=urn:contentItem:5F7T-S791-FJTD-G2J9-00000-00&amp;context=" TargetMode="External" /><Relationship Id="rId257" Type="http://schemas.openxmlformats.org/officeDocument/2006/relationships/header" Target="header55.xml" /><Relationship Id="rId258" Type="http://schemas.openxmlformats.org/officeDocument/2006/relationships/header" Target="header56.xml" /><Relationship Id="rId259" Type="http://schemas.openxmlformats.org/officeDocument/2006/relationships/footer" Target="footer55.xml" /><Relationship Id="rId26" Type="http://schemas.openxmlformats.org/officeDocument/2006/relationships/header" Target="header7.xml" /><Relationship Id="rId260" Type="http://schemas.openxmlformats.org/officeDocument/2006/relationships/footer" Target="footer56.xml" /><Relationship Id="rId261" Type="http://schemas.openxmlformats.org/officeDocument/2006/relationships/header" Target="header57.xml" /><Relationship Id="rId262" Type="http://schemas.openxmlformats.org/officeDocument/2006/relationships/footer" Target="footer57.xml" /><Relationship Id="rId263" Type="http://schemas.openxmlformats.org/officeDocument/2006/relationships/hyperlink" Target="https://advance.lexis.com/api/document?collection=cases-ca&amp;id=urn:contentItem:5F7T-S7F1-FFFC-B256-00000-00&amp;context=" TargetMode="External" /><Relationship Id="rId264" Type="http://schemas.openxmlformats.org/officeDocument/2006/relationships/hyperlink" Target="https://advance.lexis.com/api/document?collection=legislation-ca&amp;id=urn:contentItem:5F41-1FK1-JSJC-X1CM-00000-00&amp;context=" TargetMode="External" /><Relationship Id="rId265" Type="http://schemas.openxmlformats.org/officeDocument/2006/relationships/hyperlink" Target="https://advance.lexis.com/api/document?collection=cases-ca&amp;id=urn:contentItem:5F7T-S6W1-F8SS-62MR-00000-00&amp;context=" TargetMode="External" /><Relationship Id="rId266" Type="http://schemas.openxmlformats.org/officeDocument/2006/relationships/hyperlink" Target="https://advance.lexis.com/api/document?collection=cases-ca&amp;id=urn:contentItem:5F81-WC31-F5KY-B4VK-00000-00&amp;context=" TargetMode="External" /><Relationship Id="rId267" Type="http://schemas.openxmlformats.org/officeDocument/2006/relationships/hyperlink" Target="https://advance.lexis.com/api/document?collection=cases-ca&amp;id=urn:contentItem:5F8T-N3P1-FC6N-X150-00000-00&amp;context=" TargetMode="External" /><Relationship Id="rId268" Type="http://schemas.openxmlformats.org/officeDocument/2006/relationships/hyperlink" Target="https://advance.lexis.com/api/document?collection=cases-ca&amp;id=urn:contentItem:5F7T-S7H1-K054-G25X-00000-00&amp;context=" TargetMode="External" /><Relationship Id="rId269" Type="http://schemas.openxmlformats.org/officeDocument/2006/relationships/hyperlink" Target="https://advance.lexis.com/api/document?collection=cases-ca&amp;id=urn:contentItem:5F7T-S6V1-F2TK-220Y-00000-00&amp;context=" TargetMode="External" /><Relationship Id="rId27" Type="http://schemas.openxmlformats.org/officeDocument/2006/relationships/header" Target="header8.xml" /><Relationship Id="rId270" Type="http://schemas.openxmlformats.org/officeDocument/2006/relationships/hyperlink" Target="https://advance.lexis.com/api/document?collection=cases-ca&amp;id=urn:contentItem:5F8P-SD51-JB2B-S07Y-00000-00&amp;context=" TargetMode="External" /><Relationship Id="rId271" Type="http://schemas.openxmlformats.org/officeDocument/2006/relationships/hyperlink" Target="https://advance.lexis.com/api/document?collection=cases-ca&amp;id=urn:contentItem:5F7T-S6X1-FJDY-X1J8-00000-00&amp;context=" TargetMode="External" /><Relationship Id="rId272" Type="http://schemas.openxmlformats.org/officeDocument/2006/relationships/hyperlink" Target="https://advance.lexis.com/api/document?collection=cases-ca&amp;id=urn:contentItem:5F7T-XPW1-JW5H-X291-00000-00&amp;context=" TargetMode="External" /><Relationship Id="rId273" Type="http://schemas.openxmlformats.org/officeDocument/2006/relationships/hyperlink" Target="https://advance.lexis.com/api/document?collection=cases-ca&amp;id=urn:contentItem:5F7T-S751-JP4G-6170-00000-00&amp;context=" TargetMode="External" /><Relationship Id="rId274" Type="http://schemas.openxmlformats.org/officeDocument/2006/relationships/hyperlink" Target="https://advance.lexis.com/api/document?collection=cases-ca&amp;id=urn:contentItem:5F8P-SCT1-JP4G-60HW-00000-00&amp;context=" TargetMode="External" /><Relationship Id="rId275" Type="http://schemas.openxmlformats.org/officeDocument/2006/relationships/hyperlink" Target="https://advance.lexis.com/api/document?collection=cases-ca&amp;id=urn:contentItem:5F8P-SD11-JGHR-M4BD-00000-00&amp;context=" TargetMode="External" /><Relationship Id="rId276" Type="http://schemas.openxmlformats.org/officeDocument/2006/relationships/hyperlink" Target="https://advance.lexis.com/api/document?collection=cases-ca&amp;id=urn:contentItem:5F8N-K6X1-JXNB-62KX-00000-00&amp;context=" TargetMode="External" /><Relationship Id="rId277" Type="http://schemas.openxmlformats.org/officeDocument/2006/relationships/hyperlink" Target="https://advance.lexis.com/api/document?collection=cases-ca&amp;id=urn:contentItem:5F7T-S711-F27X-60NB-00000-00&amp;context=" TargetMode="External" /><Relationship Id="rId278" Type="http://schemas.openxmlformats.org/officeDocument/2006/relationships/hyperlink" Target="https://advance.lexis.com/api/document?collection=cases-ca&amp;id=urn:contentItem:5F7T-S721-JSC5-M3ND-00000-00&amp;context=" TargetMode="External" /><Relationship Id="rId279" Type="http://schemas.openxmlformats.org/officeDocument/2006/relationships/hyperlink" Target="https://advance.lexis.com/api/document?collection=cases-ca&amp;id=urn:contentItem:5F7T-S731-JC0G-63V8-00000-00&amp;context=" TargetMode="External" /><Relationship Id="rId28" Type="http://schemas.openxmlformats.org/officeDocument/2006/relationships/footer" Target="footer7.xml" /><Relationship Id="rId280" Type="http://schemas.openxmlformats.org/officeDocument/2006/relationships/hyperlink" Target="https://advance.lexis.com/api/document?collection=cases-ca&amp;id=urn:contentItem:5F8N-K731-JS0R-24FC-00000-00&amp;context=" TargetMode="External" /><Relationship Id="rId281" Type="http://schemas.openxmlformats.org/officeDocument/2006/relationships/hyperlink" Target="https://advance.lexis.com/api/document?collection=cases-ca&amp;id=urn:contentItem:5F7V-3DK1-FCYK-23TR-00000-00&amp;context=" TargetMode="External" /><Relationship Id="rId282" Type="http://schemas.openxmlformats.org/officeDocument/2006/relationships/hyperlink" Target="https://advance.lexis.com/api/document?collection=cases-ca&amp;id=urn:contentItem:5F7T-S771-JN14-G2NK-00000-00&amp;context=" TargetMode="External" /><Relationship Id="rId283" Type="http://schemas.openxmlformats.org/officeDocument/2006/relationships/hyperlink" Target="https://advance.lexis.com/api/document?collection=cases-ca&amp;id=urn:contentItem:5F7T-S7C1-JSRM-611W-00000-00&amp;context=" TargetMode="External" /><Relationship Id="rId284" Type="http://schemas.openxmlformats.org/officeDocument/2006/relationships/header" Target="header58.xml" /><Relationship Id="rId285" Type="http://schemas.openxmlformats.org/officeDocument/2006/relationships/header" Target="header59.xml" /><Relationship Id="rId286" Type="http://schemas.openxmlformats.org/officeDocument/2006/relationships/footer" Target="footer58.xml" /><Relationship Id="rId287" Type="http://schemas.openxmlformats.org/officeDocument/2006/relationships/footer" Target="footer59.xml" /><Relationship Id="rId288" Type="http://schemas.openxmlformats.org/officeDocument/2006/relationships/header" Target="header60.xml" /><Relationship Id="rId289" Type="http://schemas.openxmlformats.org/officeDocument/2006/relationships/footer" Target="footer60.xml" /><Relationship Id="rId29" Type="http://schemas.openxmlformats.org/officeDocument/2006/relationships/footer" Target="footer8.xml" /><Relationship Id="rId290" Type="http://schemas.openxmlformats.org/officeDocument/2006/relationships/hyperlink" Target="https://advance.lexis.com/api/document?collection=cases-ca&amp;id=urn:contentItem:5F7T-S7D1-JG02-S2N4-00000-00&amp;context=" TargetMode="External" /><Relationship Id="rId291" Type="http://schemas.openxmlformats.org/officeDocument/2006/relationships/header" Target="header61.xml" /><Relationship Id="rId292" Type="http://schemas.openxmlformats.org/officeDocument/2006/relationships/header" Target="header62.xml" /><Relationship Id="rId293" Type="http://schemas.openxmlformats.org/officeDocument/2006/relationships/footer" Target="footer61.xml" /><Relationship Id="rId294" Type="http://schemas.openxmlformats.org/officeDocument/2006/relationships/footer" Target="footer62.xml" /><Relationship Id="rId295" Type="http://schemas.openxmlformats.org/officeDocument/2006/relationships/header" Target="header63.xml" /><Relationship Id="rId296" Type="http://schemas.openxmlformats.org/officeDocument/2006/relationships/footer" Target="footer63.xml" /><Relationship Id="rId297" Type="http://schemas.openxmlformats.org/officeDocument/2006/relationships/hyperlink" Target="https://advance.lexis.com/api/document?collection=cases-ca&amp;id=urn:contentItem:5F7T-S7C1-JS0R-2223-00000-00&amp;context=" TargetMode="External" /><Relationship Id="rId298" Type="http://schemas.openxmlformats.org/officeDocument/2006/relationships/hyperlink" Target="https://advance.lexis.com/api/document?collection=cases-ca&amp;id=urn:contentItem:5F7T-S6V1-F2TK-21YN-00000-00&amp;context=" TargetMode="External" /><Relationship Id="rId299" Type="http://schemas.openxmlformats.org/officeDocument/2006/relationships/header" Target="header64.xml" /><Relationship Id="rId3" Type="http://schemas.openxmlformats.org/officeDocument/2006/relationships/fontTable" Target="fontTable.xml" /><Relationship Id="rId30" Type="http://schemas.openxmlformats.org/officeDocument/2006/relationships/header" Target="header9.xml" /><Relationship Id="rId300" Type="http://schemas.openxmlformats.org/officeDocument/2006/relationships/header" Target="header65.xml" /><Relationship Id="rId301" Type="http://schemas.openxmlformats.org/officeDocument/2006/relationships/footer" Target="footer64.xml" /><Relationship Id="rId302" Type="http://schemas.openxmlformats.org/officeDocument/2006/relationships/footer" Target="footer65.xml" /><Relationship Id="rId303" Type="http://schemas.openxmlformats.org/officeDocument/2006/relationships/header" Target="header66.xml" /><Relationship Id="rId304" Type="http://schemas.openxmlformats.org/officeDocument/2006/relationships/footer" Target="footer66.xml" /><Relationship Id="rId305" Type="http://schemas.openxmlformats.org/officeDocument/2006/relationships/hyperlink" Target="https://advance.lexis.com/api/document?collection=cases-ca&amp;id=urn:contentItem:5F7T-S781-F27X-61F6-00000-00&amp;context=" TargetMode="External" /><Relationship Id="rId306" Type="http://schemas.openxmlformats.org/officeDocument/2006/relationships/hyperlink" Target="https://advance.lexis.com/api/document?collection=cases-ca&amp;id=urn:contentItem:5F7T-S751-JGHR-M1RV-00000-00&amp;context=" TargetMode="External" /><Relationship Id="rId307" Type="http://schemas.openxmlformats.org/officeDocument/2006/relationships/hyperlink" Target="https://advance.lexis.com/api/document?collection=cases-ca&amp;id=urn:contentItem:5F8T-N3S1-JT99-2532-00000-00&amp;context=" TargetMode="External" /><Relationship Id="rId308" Type="http://schemas.openxmlformats.org/officeDocument/2006/relationships/hyperlink" Target="https://advance.lexis.com/api/document?collection=cases-ca&amp;id=urn:contentItem:5F8T-N3S1-JBDT-B0DW-00000-00&amp;context=" TargetMode="External" /><Relationship Id="rId309" Type="http://schemas.openxmlformats.org/officeDocument/2006/relationships/hyperlink" Target="https://advance.lexis.com/api/document?collection=cases-ca&amp;id=urn:contentItem:5F7T-S721-JSC5-M387-00000-00&amp;context=" TargetMode="External" /><Relationship Id="rId31" Type="http://schemas.openxmlformats.org/officeDocument/2006/relationships/footer" Target="footer9.xml" /><Relationship Id="rId310" Type="http://schemas.openxmlformats.org/officeDocument/2006/relationships/hyperlink" Target="https://advance.lexis.com/api/document?collection=cases-ca&amp;id=urn:contentItem:5F7T-S6W1-F4GK-M1J6-00000-00&amp;context=" TargetMode="External" /><Relationship Id="rId311" Type="http://schemas.openxmlformats.org/officeDocument/2006/relationships/hyperlink" Target="https://advance.lexis.com/api/document?collection=cases-ca&amp;id=urn:contentItem:5F7T-S771-F2TK-22PN-00000-00&amp;context=" TargetMode="External" /><Relationship Id="rId312" Type="http://schemas.openxmlformats.org/officeDocument/2006/relationships/hyperlink" Target="https://advance.lexis.com/api/document?collection=cases-ca&amp;id=urn:contentItem:5F7T-S781-F7G6-63HH-00000-00&amp;context=" TargetMode="External" /><Relationship Id="rId313" Type="http://schemas.openxmlformats.org/officeDocument/2006/relationships/header" Target="header67.xml" /><Relationship Id="rId314" Type="http://schemas.openxmlformats.org/officeDocument/2006/relationships/header" Target="header68.xml" /><Relationship Id="rId315" Type="http://schemas.openxmlformats.org/officeDocument/2006/relationships/footer" Target="footer67.xml" /><Relationship Id="rId316" Type="http://schemas.openxmlformats.org/officeDocument/2006/relationships/footer" Target="footer68.xml" /><Relationship Id="rId317" Type="http://schemas.openxmlformats.org/officeDocument/2006/relationships/header" Target="header69.xml" /><Relationship Id="rId318" Type="http://schemas.openxmlformats.org/officeDocument/2006/relationships/footer" Target="footer69.xml" /><Relationship Id="rId319" Type="http://schemas.openxmlformats.org/officeDocument/2006/relationships/hyperlink" Target="https://advance.lexis.com/api/document?collection=cases-ca&amp;id=urn:contentItem:5F7T-S771-JSJC-X0B7-00000-00&amp;context=" TargetMode="External" /><Relationship Id="rId32" Type="http://schemas.openxmlformats.org/officeDocument/2006/relationships/hyperlink" Target="https://advance.lexis.com/api/document?collection=cases-ca&amp;id=urn:contentItem:5F7T-S7B1-FH4C-X3N1-00000-00&amp;context=" TargetMode="External" /><Relationship Id="rId320" Type="http://schemas.openxmlformats.org/officeDocument/2006/relationships/hyperlink" Target="https://advance.lexis.com/api/document?collection=legislation-ca&amp;id=urn:contentItem:5TBM-3RM1-F7VM-S13S-00000-00&amp;context=" TargetMode="External" /><Relationship Id="rId321" Type="http://schemas.openxmlformats.org/officeDocument/2006/relationships/hyperlink" Target="https://advance.lexis.com/api/document?collection=cases-ca&amp;id=urn:contentItem:5F7T-S741-DY89-M39J-00000-00&amp;context=" TargetMode="External" /><Relationship Id="rId322" Type="http://schemas.openxmlformats.org/officeDocument/2006/relationships/hyperlink" Target="https://advance.lexis.com/api/document?collection=cases-ca&amp;id=urn:contentItem:5F7T-S751-FJDY-X419-00000-00&amp;context=" TargetMode="External" /><Relationship Id="rId323" Type="http://schemas.openxmlformats.org/officeDocument/2006/relationships/hyperlink" Target="https://advance.lexis.com/api/document?collection=cases-ca&amp;id=urn:contentItem:5F7T-S751-JP4G-614D-00000-00&amp;context=" TargetMode="External" /><Relationship Id="rId324" Type="http://schemas.openxmlformats.org/officeDocument/2006/relationships/hyperlink" Target="https://advance.lexis.com/api/document?collection=cases-ca&amp;id=urn:contentItem:5F7T-S751-JCJ5-24JJ-00000-00&amp;context=" TargetMode="External" /><Relationship Id="rId325" Type="http://schemas.openxmlformats.org/officeDocument/2006/relationships/hyperlink" Target="https://advance.lexis.com/api/document?collection=cases-ca&amp;id=urn:contentItem:5F7T-S741-DY89-M3MH-00000-00&amp;context=" TargetMode="External" /><Relationship Id="rId326" Type="http://schemas.openxmlformats.org/officeDocument/2006/relationships/hyperlink" Target="https://advance.lexis.com/api/document?collection=cases-ca&amp;id=urn:contentItem:5F7T-S751-F361-M0R6-00000-00&amp;context=" TargetMode="External" /><Relationship Id="rId327" Type="http://schemas.openxmlformats.org/officeDocument/2006/relationships/hyperlink" Target="https://advance.lexis.com/api/document?collection=cases-ca&amp;id=urn:contentItem:5F81-VJX1-F22N-X1NS-00000-00&amp;context=" TargetMode="External" /><Relationship Id="rId328" Type="http://schemas.openxmlformats.org/officeDocument/2006/relationships/hyperlink" Target="https://advance.lexis.com/api/document?collection=cases-ca&amp;id=urn:contentItem:5F81-VJX1-JP9P-G4HJ-00000-00&amp;context=" TargetMode="External" /><Relationship Id="rId329" Type="http://schemas.openxmlformats.org/officeDocument/2006/relationships/header" Target="header70.xml" /><Relationship Id="rId33" Type="http://schemas.openxmlformats.org/officeDocument/2006/relationships/header" Target="header10.xml" /><Relationship Id="rId330" Type="http://schemas.openxmlformats.org/officeDocument/2006/relationships/header" Target="header71.xml" /><Relationship Id="rId331" Type="http://schemas.openxmlformats.org/officeDocument/2006/relationships/footer" Target="footer70.xml" /><Relationship Id="rId332" Type="http://schemas.openxmlformats.org/officeDocument/2006/relationships/footer" Target="footer71.xml" /><Relationship Id="rId333" Type="http://schemas.openxmlformats.org/officeDocument/2006/relationships/header" Target="header72.xml" /><Relationship Id="rId334" Type="http://schemas.openxmlformats.org/officeDocument/2006/relationships/footer" Target="footer72.xml" /><Relationship Id="rId335" Type="http://schemas.openxmlformats.org/officeDocument/2006/relationships/hyperlink" Target="https://advance.lexis.com/api/document?collection=cases-ca&amp;id=urn:contentItem:5F7T-S7H1-JCRC-B18F-00000-00&amp;context=" TargetMode="External" /><Relationship Id="rId336" Type="http://schemas.openxmlformats.org/officeDocument/2006/relationships/hyperlink" Target="https://advance.lexis.com/api/document?collection=cases-ca&amp;id=urn:contentItem:5F7T-S7D1-JG02-S2K5-00000-00&amp;context=" TargetMode="External" /><Relationship Id="rId337" Type="http://schemas.openxmlformats.org/officeDocument/2006/relationships/hyperlink" Target="https://advance.lexis.com/api/document?collection=cases-ca&amp;id=urn:contentItem:5F7T-S7D1-JXG3-X0RR-00000-00&amp;context=" TargetMode="External" /><Relationship Id="rId338" Type="http://schemas.openxmlformats.org/officeDocument/2006/relationships/hyperlink" Target="https://advance.lexis.com/api/document?collection=cases-ca&amp;id=urn:contentItem:5F7T-S771-F81W-22D9-00000-00&amp;context=" TargetMode="External" /><Relationship Id="rId339" Type="http://schemas.openxmlformats.org/officeDocument/2006/relationships/hyperlink" Target="https://advance.lexis.com/api/document?collection=cases-ca&amp;id=urn:contentItem:5F7T-S7D1-FCSB-S2PD-00000-00&amp;context=" TargetMode="External" /><Relationship Id="rId34" Type="http://schemas.openxmlformats.org/officeDocument/2006/relationships/header" Target="header11.xml" /><Relationship Id="rId340" Type="http://schemas.openxmlformats.org/officeDocument/2006/relationships/hyperlink" Target="https://advance.lexis.com/api/document?collection=cases-ca&amp;id=urn:contentItem:5F7T-S781-FH4C-X2MB-00000-00&amp;context=" TargetMode="External" /><Relationship Id="rId341" Type="http://schemas.openxmlformats.org/officeDocument/2006/relationships/hyperlink" Target="https://advance.lexis.com/api/document?collection=cases-ca&amp;id=urn:contentItem:5F7T-S741-DY89-M3G2-00000-00&amp;context=" TargetMode="External" /><Relationship Id="rId342" Type="http://schemas.openxmlformats.org/officeDocument/2006/relationships/hyperlink" Target="https://advance.lexis.com/api/document?collection=cases-ca&amp;id=urn:contentItem:5F7T-S781-F06F-243P-00000-00&amp;context=" TargetMode="External" /><Relationship Id="rId343" Type="http://schemas.openxmlformats.org/officeDocument/2006/relationships/hyperlink" Target="https://advance.lexis.com/api/document?collection=cases-ca&amp;id=urn:contentItem:5F7T-S6X1-K0BB-S0MB-00000-00&amp;context=" TargetMode="External" /><Relationship Id="rId344" Type="http://schemas.openxmlformats.org/officeDocument/2006/relationships/hyperlink" Target="https://advance.lexis.com/api/document?collection=cases-ca&amp;id=urn:contentItem:5F7T-S7C1-FGRY-B09V-00000-00&amp;context=" TargetMode="External" /><Relationship Id="rId345" Type="http://schemas.openxmlformats.org/officeDocument/2006/relationships/hyperlink" Target="https://advance.lexis.com/api/document?collection=cases-ca&amp;id=urn:contentItem:5F7T-S7F1-DXWW-23PX-00000-00&amp;context=" TargetMode="External" /><Relationship Id="rId346" Type="http://schemas.openxmlformats.org/officeDocument/2006/relationships/hyperlink" Target="https://advance.lexis.com/api/document?collection=cases-ca&amp;id=urn:contentItem:5F7T-S791-JCJ5-24WP-00000-00&amp;context=" TargetMode="External" /><Relationship Id="rId347" Type="http://schemas.openxmlformats.org/officeDocument/2006/relationships/hyperlink" Target="https://advance.lexis.com/api/document?collection=cases-ca&amp;id=urn:contentItem:5F8P-SCJ1-FGJR-23TC-00000-00&amp;context=" TargetMode="External" /><Relationship Id="rId348" Type="http://schemas.openxmlformats.org/officeDocument/2006/relationships/hyperlink" Target="https://advance.lexis.com/api/document?collection=cases-ca&amp;id=urn:contentItem:5F82-1SH1-JF1Y-B2J7-00000-00&amp;context=" TargetMode="External" /><Relationship Id="rId349" Type="http://schemas.openxmlformats.org/officeDocument/2006/relationships/hyperlink" Target="https://advance.lexis.com/api/document?collection=cases-ca&amp;id=urn:contentItem:5F8T-N3V1-JFKM-609G-00000-00&amp;context=" TargetMode="External" /><Relationship Id="rId35" Type="http://schemas.openxmlformats.org/officeDocument/2006/relationships/footer" Target="footer10.xml" /><Relationship Id="rId350" Type="http://schemas.openxmlformats.org/officeDocument/2006/relationships/hyperlink" Target="https://advance.lexis.com/api/document?collection=cases-ca&amp;id=urn:contentItem:5F7T-S6W1-F956-S0NS-00000-00&amp;context=" TargetMode="External" /><Relationship Id="rId351" Type="http://schemas.openxmlformats.org/officeDocument/2006/relationships/hyperlink" Target="https://advance.lexis.com/api/document?collection=cases-ca&amp;id=urn:contentItem:5F7T-S6X1-F7ND-G44J-00000-00&amp;context=" TargetMode="External" /><Relationship Id="rId352" Type="http://schemas.openxmlformats.org/officeDocument/2006/relationships/hyperlink" Target="https://advance.lexis.com/api/document?collection=cases-ca&amp;id=urn:contentItem:5F16-9341-JF1Y-B3KT-00000-00&amp;context=" TargetMode="External" /><Relationship Id="rId353" Type="http://schemas.openxmlformats.org/officeDocument/2006/relationships/hyperlink" Target="https://advance.lexis.com/api/document?collection=cases-ca&amp;id=urn:contentItem:5F16-93F1-FGY5-M21V-00000-00&amp;context=" TargetMode="External" /><Relationship Id="rId354" Type="http://schemas.openxmlformats.org/officeDocument/2006/relationships/hyperlink" Target="https://advance.lexis.com/api/document?collection=cases-ca&amp;id=urn:contentItem:5F7T-S7F1-FBN1-21G0-00000-00&amp;context=" TargetMode="External" /><Relationship Id="rId355" Type="http://schemas.openxmlformats.org/officeDocument/2006/relationships/hyperlink" Target="https://advance.lexis.com/api/document?collection=cases-ca&amp;id=urn:contentItem:5F7T-S761-JGHR-M2JM-00000-00&amp;context=" TargetMode="External" /><Relationship Id="rId356" Type="http://schemas.openxmlformats.org/officeDocument/2006/relationships/header" Target="header73.xml" /><Relationship Id="rId357" Type="http://schemas.openxmlformats.org/officeDocument/2006/relationships/header" Target="header74.xml" /><Relationship Id="rId358" Type="http://schemas.openxmlformats.org/officeDocument/2006/relationships/footer" Target="footer73.xml" /><Relationship Id="rId359" Type="http://schemas.openxmlformats.org/officeDocument/2006/relationships/footer" Target="footer74.xml" /><Relationship Id="rId36" Type="http://schemas.openxmlformats.org/officeDocument/2006/relationships/footer" Target="footer11.xml" /><Relationship Id="rId360" Type="http://schemas.openxmlformats.org/officeDocument/2006/relationships/header" Target="header75.xml" /><Relationship Id="rId361" Type="http://schemas.openxmlformats.org/officeDocument/2006/relationships/footer" Target="footer75.xml" /><Relationship Id="rId362" Type="http://schemas.openxmlformats.org/officeDocument/2006/relationships/hyperlink" Target="https://advance.lexis.com/api/document?collection=cases-ca&amp;id=urn:contentItem:5F7T-S781-JC5P-G1R6-00000-00&amp;context=" TargetMode="External" /><Relationship Id="rId363" Type="http://schemas.openxmlformats.org/officeDocument/2006/relationships/hyperlink" Target="https://advance.lexis.com/api/document?collection=cases-ca&amp;id=urn:contentItem:5F81-VJT1-FD4T-B20N-00000-00&amp;context=" TargetMode="External" /><Relationship Id="rId364" Type="http://schemas.openxmlformats.org/officeDocument/2006/relationships/hyperlink" Target="https://advance.lexis.com/api/document?collection=cases-ca&amp;id=urn:contentItem:5F8P-SCT1-JTNR-M2NY-00000-00&amp;context=" TargetMode="External" /><Relationship Id="rId365" Type="http://schemas.openxmlformats.org/officeDocument/2006/relationships/hyperlink" Target="https://advance.lexis.com/api/document?collection=cases-ca&amp;id=urn:contentItem:5F81-VJV1-FC6N-X2Y0-00000-00&amp;context=" TargetMode="External" /><Relationship Id="rId366" Type="http://schemas.openxmlformats.org/officeDocument/2006/relationships/hyperlink" Target="https://advance.lexis.com/api/document?collection=cases-ca&amp;id=urn:contentItem:5F7T-S781-JC5P-G1JF-00000-00&amp;context=" TargetMode="External" /><Relationship Id="rId367" Type="http://schemas.openxmlformats.org/officeDocument/2006/relationships/header" Target="header76.xml" /><Relationship Id="rId368" Type="http://schemas.openxmlformats.org/officeDocument/2006/relationships/header" Target="header77.xml" /><Relationship Id="rId369" Type="http://schemas.openxmlformats.org/officeDocument/2006/relationships/footer" Target="footer76.xml" /><Relationship Id="rId37" Type="http://schemas.openxmlformats.org/officeDocument/2006/relationships/header" Target="header12.xml" /><Relationship Id="rId370" Type="http://schemas.openxmlformats.org/officeDocument/2006/relationships/footer" Target="footer77.xml" /><Relationship Id="rId371" Type="http://schemas.openxmlformats.org/officeDocument/2006/relationships/header" Target="header78.xml" /><Relationship Id="rId372" Type="http://schemas.openxmlformats.org/officeDocument/2006/relationships/footer" Target="footer78.xml" /><Relationship Id="rId373" Type="http://schemas.openxmlformats.org/officeDocument/2006/relationships/hyperlink" Target="https://advance.lexis.com/api/document?collection=cases-ca&amp;id=urn:contentItem:5F7T-S7C1-JCJ5-20FH-00000-00&amp;context=" TargetMode="External" /><Relationship Id="rId374" Type="http://schemas.openxmlformats.org/officeDocument/2006/relationships/header" Target="header79.xml" /><Relationship Id="rId375" Type="http://schemas.openxmlformats.org/officeDocument/2006/relationships/header" Target="header80.xml" /><Relationship Id="rId376" Type="http://schemas.openxmlformats.org/officeDocument/2006/relationships/footer" Target="footer79.xml" /><Relationship Id="rId377" Type="http://schemas.openxmlformats.org/officeDocument/2006/relationships/footer" Target="footer80.xml" /><Relationship Id="rId378" Type="http://schemas.openxmlformats.org/officeDocument/2006/relationships/header" Target="header81.xml" /><Relationship Id="rId379" Type="http://schemas.openxmlformats.org/officeDocument/2006/relationships/footer" Target="footer81.xml" /><Relationship Id="rId38" Type="http://schemas.openxmlformats.org/officeDocument/2006/relationships/footer" Target="footer12.xml" /><Relationship Id="rId380" Type="http://schemas.openxmlformats.org/officeDocument/2006/relationships/hyperlink" Target="https://advance.lexis.com/api/document?collection=cases-ca&amp;id=urn:contentItem:5F7T-S7K1-F1H1-224F-00000-00&amp;context=" TargetMode="External" /><Relationship Id="rId381" Type="http://schemas.openxmlformats.org/officeDocument/2006/relationships/hyperlink" Target="https://advance.lexis.com/api/document?collection=cases-ca&amp;id=urn:contentItem:5F7T-S701-JF75-M4RP-00000-00&amp;context=" TargetMode="External" /><Relationship Id="rId382" Type="http://schemas.openxmlformats.org/officeDocument/2006/relationships/hyperlink" Target="https://advance.lexis.com/api/document?collection=cases-ca&amp;id=urn:contentItem:5F7T-S7G1-FCYK-208P-00000-00&amp;context=" TargetMode="External" /><Relationship Id="rId383" Type="http://schemas.openxmlformats.org/officeDocument/2006/relationships/hyperlink" Target="https://advance.lexis.com/api/document?collection=cases-ca&amp;id=urn:contentItem:5F7T-S7D1-FCSB-S308-00000-00&amp;context=" TargetMode="External" /><Relationship Id="rId384" Type="http://schemas.openxmlformats.org/officeDocument/2006/relationships/header" Target="header82.xml" /><Relationship Id="rId385" Type="http://schemas.openxmlformats.org/officeDocument/2006/relationships/header" Target="header83.xml" /><Relationship Id="rId386" Type="http://schemas.openxmlformats.org/officeDocument/2006/relationships/footer" Target="footer82.xml" /><Relationship Id="rId387" Type="http://schemas.openxmlformats.org/officeDocument/2006/relationships/footer" Target="footer83.xml" /><Relationship Id="rId388" Type="http://schemas.openxmlformats.org/officeDocument/2006/relationships/header" Target="header84.xml" /><Relationship Id="rId389" Type="http://schemas.openxmlformats.org/officeDocument/2006/relationships/footer" Target="footer84.xml" /><Relationship Id="rId39" Type="http://schemas.openxmlformats.org/officeDocument/2006/relationships/hyperlink" Target="https://advance.lexis.com/api/document?collection=cases-ca&amp;id=urn:contentItem:5F7T-S7C1-JS0R-2299-00000-00&amp;context=" TargetMode="External" /><Relationship Id="rId390" Type="http://schemas.openxmlformats.org/officeDocument/2006/relationships/hyperlink" Target="https://advance.lexis.com/api/document?collection=cases-ca&amp;id=urn:contentItem:5F7T-S771-JW5H-X1S5-00000-00&amp;context=" TargetMode="External" /><Relationship Id="rId391" Type="http://schemas.openxmlformats.org/officeDocument/2006/relationships/hyperlink" Target="https://advance.lexis.com/api/document?collection=cases-ca&amp;id=urn:contentItem:5F7T-S741-F57G-S1KB-00000-00&amp;context=" TargetMode="External" /><Relationship Id="rId392" Type="http://schemas.openxmlformats.org/officeDocument/2006/relationships/header" Target="header85.xml" /><Relationship Id="rId393" Type="http://schemas.openxmlformats.org/officeDocument/2006/relationships/header" Target="header86.xml" /><Relationship Id="rId394" Type="http://schemas.openxmlformats.org/officeDocument/2006/relationships/footer" Target="footer85.xml" /><Relationship Id="rId395" Type="http://schemas.openxmlformats.org/officeDocument/2006/relationships/footer" Target="footer86.xml" /><Relationship Id="rId396" Type="http://schemas.openxmlformats.org/officeDocument/2006/relationships/header" Target="header87.xml" /><Relationship Id="rId397" Type="http://schemas.openxmlformats.org/officeDocument/2006/relationships/footer" Target="footer87.xml" /><Relationship Id="rId398" Type="http://schemas.openxmlformats.org/officeDocument/2006/relationships/hyperlink" Target="https://advance.lexis.com/api/document?collection=cases-ca&amp;id=urn:contentItem:5F7T-S771-JTGH-B14Y-00000-00&amp;context=" TargetMode="External" /><Relationship Id="rId399" Type="http://schemas.openxmlformats.org/officeDocument/2006/relationships/hyperlink" Target="https://advance.lexis.com/api/document?collection=cases-ca&amp;id=urn:contentItem:5F7T-S6T1-JT99-216D-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8T-N3S1-JT99-250W-00000-00&amp;context=" TargetMode="External" /><Relationship Id="rId400" Type="http://schemas.openxmlformats.org/officeDocument/2006/relationships/hyperlink" Target="https://advance.lexis.com/api/document?collection=cases-ca&amp;id=urn:contentItem:5F7T-S6T1-FJTD-G1BM-00000-00&amp;context=" TargetMode="External" /><Relationship Id="rId401" Type="http://schemas.openxmlformats.org/officeDocument/2006/relationships/hyperlink" Target="https://advance.lexis.com/api/document?collection=cases-ca&amp;id=urn:contentItem:5F7T-S6Y1-DY33-B07K-00000-00&amp;context=" TargetMode="External" /><Relationship Id="rId402" Type="http://schemas.openxmlformats.org/officeDocument/2006/relationships/hyperlink" Target="https://advance.lexis.com/api/document?collection=cases-ca&amp;id=urn:contentItem:5F8T-N3P1-K0BB-S0X3-00000-00&amp;context=" TargetMode="External" /><Relationship Id="rId403" Type="http://schemas.openxmlformats.org/officeDocument/2006/relationships/hyperlink" Target="https://advance.lexis.com/api/document?collection=cases-ca&amp;id=urn:contentItem:5F7T-S6T1-JT99-212H-00000-00&amp;context=" TargetMode="External" /><Relationship Id="rId404" Type="http://schemas.openxmlformats.org/officeDocument/2006/relationships/hyperlink" Target="https://advance.lexis.com/api/document?collection=cases-ca&amp;id=urn:contentItem:5F7T-S711-JG02-S1N3-00000-00&amp;context=" TargetMode="External" /><Relationship Id="rId405" Type="http://schemas.openxmlformats.org/officeDocument/2006/relationships/header" Target="header88.xml" /><Relationship Id="rId406" Type="http://schemas.openxmlformats.org/officeDocument/2006/relationships/header" Target="header89.xml" /><Relationship Id="rId407" Type="http://schemas.openxmlformats.org/officeDocument/2006/relationships/footer" Target="footer88.xml" /><Relationship Id="rId408" Type="http://schemas.openxmlformats.org/officeDocument/2006/relationships/footer" Target="footer89.xml" /><Relationship Id="rId409" Type="http://schemas.openxmlformats.org/officeDocument/2006/relationships/header" Target="header90.xml" /><Relationship Id="rId41" Type="http://schemas.openxmlformats.org/officeDocument/2006/relationships/hyperlink" Target="https://advance.lexis.com/api/document?collection=cases-ca&amp;id=urn:contentItem:5F8T-N3S1-JT99-250X-00000-00&amp;context=" TargetMode="External" /><Relationship Id="rId410" Type="http://schemas.openxmlformats.org/officeDocument/2006/relationships/footer" Target="footer90.xml" /><Relationship Id="rId411" Type="http://schemas.openxmlformats.org/officeDocument/2006/relationships/hyperlink" Target="https://advance.lexis.com/api/document?collection=cases-ca&amp;id=urn:contentItem:5F7T-S781-FH4C-X2V6-00000-00&amp;context=" TargetMode="External" /><Relationship Id="rId412" Type="http://schemas.openxmlformats.org/officeDocument/2006/relationships/hyperlink" Target="https://advance.lexis.com/api/document?collection=legislation-ca&amp;id=urn:contentItem:5F41-1FH1-F361-M0FY-00000-00&amp;context=" TargetMode="External" /><Relationship Id="rId413" Type="http://schemas.openxmlformats.org/officeDocument/2006/relationships/hyperlink" Target="https://advance.lexis.com/api/document?collection=cases-ca&amp;id=urn:contentItem:5F8T-N3V1-FC1F-M41J-00000-00&amp;context=" TargetMode="External" /><Relationship Id="rId414" Type="http://schemas.openxmlformats.org/officeDocument/2006/relationships/hyperlink" Target="https://advance.lexis.com/api/document?collection=cases-ca&amp;id=urn:contentItem:5F7T-S711-F27X-60PD-00000-00&amp;context=" TargetMode="External" /><Relationship Id="rId415" Type="http://schemas.openxmlformats.org/officeDocument/2006/relationships/hyperlink" Target="https://advance.lexis.com/api/document?collection=cases-ca&amp;id=urn:contentItem:5F7T-S761-F81W-222B-00000-00&amp;context=" TargetMode="External" /><Relationship Id="rId416" Type="http://schemas.openxmlformats.org/officeDocument/2006/relationships/hyperlink" Target="https://advance.lexis.com/api/document?collection=cases-ca&amp;id=urn:contentItem:5F7T-S701-JK4W-M0ST-00000-00&amp;context=" TargetMode="External" /><Relationship Id="rId417" Type="http://schemas.openxmlformats.org/officeDocument/2006/relationships/hyperlink" Target="https://advance.lexis.com/api/document?collection=cases-ca&amp;id=urn:contentItem:5F7T-S761-F81W-21P4-00000-00&amp;context=" TargetMode="External" /><Relationship Id="rId418" Type="http://schemas.openxmlformats.org/officeDocument/2006/relationships/hyperlink" Target="https://advance.lexis.com/api/document?collection=cases-ca&amp;id=urn:contentItem:5F7T-S6Y1-F65M-60F4-00000-00&amp;context=" TargetMode="External" /><Relationship Id="rId419" Type="http://schemas.openxmlformats.org/officeDocument/2006/relationships/hyperlink" Target="https://advance.lexis.com/api/document?collection=cases-ca&amp;id=urn:contentItem:5F7T-S7H1-K054-G25D-00000-00&amp;context=" TargetMode="External" /><Relationship Id="rId42" Type="http://schemas.openxmlformats.org/officeDocument/2006/relationships/hyperlink" Target="https://advance.lexis.com/api/document?collection=cases-ca&amp;id=urn:contentItem:5F8T-N3S1-JT99-250Y-00000-00&amp;context=" TargetMode="External" /><Relationship Id="rId420" Type="http://schemas.openxmlformats.org/officeDocument/2006/relationships/header" Target="header91.xml" /><Relationship Id="rId421" Type="http://schemas.openxmlformats.org/officeDocument/2006/relationships/header" Target="header92.xml" /><Relationship Id="rId422" Type="http://schemas.openxmlformats.org/officeDocument/2006/relationships/footer" Target="footer91.xml" /><Relationship Id="rId423" Type="http://schemas.openxmlformats.org/officeDocument/2006/relationships/footer" Target="footer92.xml" /><Relationship Id="rId424" Type="http://schemas.openxmlformats.org/officeDocument/2006/relationships/header" Target="header93.xml" /><Relationship Id="rId425" Type="http://schemas.openxmlformats.org/officeDocument/2006/relationships/footer" Target="footer93.xml" /><Relationship Id="rId426" Type="http://schemas.openxmlformats.org/officeDocument/2006/relationships/hyperlink" Target="https://advance.lexis.com/api/document?collection=cases-ca&amp;id=urn:contentItem:5F7T-S7C1-FGRY-B0CR-00000-00&amp;context=" TargetMode="External" /><Relationship Id="rId427" Type="http://schemas.openxmlformats.org/officeDocument/2006/relationships/header" Target="header94.xml" /><Relationship Id="rId428" Type="http://schemas.openxmlformats.org/officeDocument/2006/relationships/header" Target="header95.xml" /><Relationship Id="rId429" Type="http://schemas.openxmlformats.org/officeDocument/2006/relationships/footer" Target="footer94.xml" /><Relationship Id="rId43" Type="http://schemas.openxmlformats.org/officeDocument/2006/relationships/hyperlink" Target="https://advance.lexis.com/api/document?collection=cases-ca&amp;id=urn:contentItem:5F8T-N3T1-JFKM-655W-00000-00&amp;context=" TargetMode="External" /><Relationship Id="rId430" Type="http://schemas.openxmlformats.org/officeDocument/2006/relationships/footer" Target="footer95.xml" /><Relationship Id="rId431" Type="http://schemas.openxmlformats.org/officeDocument/2006/relationships/header" Target="header96.xml" /><Relationship Id="rId432" Type="http://schemas.openxmlformats.org/officeDocument/2006/relationships/footer" Target="footer96.xml" /><Relationship Id="rId433" Type="http://schemas.openxmlformats.org/officeDocument/2006/relationships/hyperlink" Target="https://advance.lexis.com/api/document?collection=cases-ca&amp;id=urn:contentItem:5F7T-S751-FJDY-X3MN-00000-00&amp;context=" TargetMode="External" /><Relationship Id="rId434" Type="http://schemas.openxmlformats.org/officeDocument/2006/relationships/header" Target="header97.xml" /><Relationship Id="rId435" Type="http://schemas.openxmlformats.org/officeDocument/2006/relationships/header" Target="header98.xml" /><Relationship Id="rId436" Type="http://schemas.openxmlformats.org/officeDocument/2006/relationships/footer" Target="footer97.xml" /><Relationship Id="rId437" Type="http://schemas.openxmlformats.org/officeDocument/2006/relationships/footer" Target="footer98.xml" /><Relationship Id="rId438" Type="http://schemas.openxmlformats.org/officeDocument/2006/relationships/header" Target="header99.xml" /><Relationship Id="rId439" Type="http://schemas.openxmlformats.org/officeDocument/2006/relationships/footer" Target="footer99.xml" /><Relationship Id="rId44" Type="http://schemas.openxmlformats.org/officeDocument/2006/relationships/hyperlink" Target="https://advance.lexis.com/api/document?collection=cases-ca&amp;id=urn:contentItem:5F8T-N3V1-JFKM-6085-00000-00&amp;context=" TargetMode="External" /><Relationship Id="rId440" Type="http://schemas.openxmlformats.org/officeDocument/2006/relationships/hyperlink" Target="https://advance.lexis.com/api/document?collection=cases-ca&amp;id=urn:contentItem:5F7T-S7H1-F016-S437-00000-00&amp;context=" TargetMode="External" /><Relationship Id="rId441" Type="http://schemas.openxmlformats.org/officeDocument/2006/relationships/hyperlink" Target="https://advance.lexis.com/api/document?collection=cases-ca&amp;id=urn:contentItem:5F7T-S751-F361-M0WN-00000-00&amp;context=" TargetMode="External" /><Relationship Id="rId442" Type="http://schemas.openxmlformats.org/officeDocument/2006/relationships/hyperlink" Target="https://advance.lexis.com/api/document?collection=cases-ca&amp;id=urn:contentItem:5F7T-S7D1-FBFS-S1M7-00000-00&amp;context=" TargetMode="External" /><Relationship Id="rId443" Type="http://schemas.openxmlformats.org/officeDocument/2006/relationships/hyperlink" Target="https://advance.lexis.com/api/document?collection=cases-ca&amp;id=urn:contentItem:5F82-1SF1-F361-M45M-00000-00&amp;context=" TargetMode="External" /><Relationship Id="rId444" Type="http://schemas.openxmlformats.org/officeDocument/2006/relationships/hyperlink" Target="https://advance.lexis.com/api/document?collection=cases-ca&amp;id=urn:contentItem:5F7T-S751-JBM1-M2JJ-00000-00&amp;context=" TargetMode="External" /><Relationship Id="rId445" Type="http://schemas.openxmlformats.org/officeDocument/2006/relationships/hyperlink" Target="https://advance.lexis.com/api/document?collection=cases-ca&amp;id=urn:contentItem:5F7T-S7C1-F7VM-S3SK-00000-00&amp;context=" TargetMode="External" /><Relationship Id="rId446" Type="http://schemas.openxmlformats.org/officeDocument/2006/relationships/hyperlink" Target="https://advance.lexis.com/api/document?collection=cases-ca&amp;id=urn:contentItem:5F7T-S7D1-JN6B-S119-00000-00&amp;context=" TargetMode="External" /><Relationship Id="rId447" Type="http://schemas.openxmlformats.org/officeDocument/2006/relationships/hyperlink" Target="https://advance.lexis.com/api/document?collection=cases-ca&amp;id=urn:contentItem:5F7T-S7F1-JK4W-M1T2-00000-00&amp;context=" TargetMode="External" /><Relationship Id="rId448" Type="http://schemas.openxmlformats.org/officeDocument/2006/relationships/hyperlink" Target="https://advance.lexis.com/api/document?collection=cases-ca&amp;id=urn:contentItem:5F7T-S7G1-JPP5-2227-00000-00&amp;context=" TargetMode="External" /><Relationship Id="rId449" Type="http://schemas.openxmlformats.org/officeDocument/2006/relationships/hyperlink" Target="https://advance.lexis.com/api/document?collection=cases-ca&amp;id=urn:contentItem:5F7T-S7H1-JS5Y-B318-00000-00&amp;context=" TargetMode="External" /><Relationship Id="rId45" Type="http://schemas.openxmlformats.org/officeDocument/2006/relationships/hyperlink" Target="https://advance.lexis.com/api/document?collection=cases-ca&amp;id=urn:contentItem:5F8T-N3V1-FC1F-M45J-00000-00&amp;context=" TargetMode="External" /><Relationship Id="rId450" Type="http://schemas.openxmlformats.org/officeDocument/2006/relationships/hyperlink" Target="https://advance.lexis.com/api/document?collection=cases-ca&amp;id=urn:contentItem:5F7T-S7G1-JN6B-S1BC-00000-00&amp;context=" TargetMode="External" /><Relationship Id="rId451" Type="http://schemas.openxmlformats.org/officeDocument/2006/relationships/hyperlink" Target="https://advance.lexis.com/api/document?collection=cases-ca&amp;id=urn:contentItem:5F7T-S7F1-JBT7-X2KB-00000-00&amp;context=" TargetMode="External" /><Relationship Id="rId452" Type="http://schemas.openxmlformats.org/officeDocument/2006/relationships/hyperlink" Target="https://advance.lexis.com/api/document?collection=cases-ca&amp;id=urn:contentItem:5F7T-S7G1-JNY7-X3SH-00000-00&amp;context=" TargetMode="External" /><Relationship Id="rId453" Type="http://schemas.openxmlformats.org/officeDocument/2006/relationships/hyperlink" Target="https://advance.lexis.com/api/document?collection=cases-ca&amp;id=urn:contentItem:5F7T-S7H1-JS5Y-B33T-00000-00&amp;context=" TargetMode="External" /><Relationship Id="rId454" Type="http://schemas.openxmlformats.org/officeDocument/2006/relationships/hyperlink" Target="https://advance.lexis.com/api/document?collection=cases-ca&amp;id=urn:contentItem:5F7T-S771-JN14-G2PR-00000-00&amp;context=" TargetMode="External" /><Relationship Id="rId455" Type="http://schemas.openxmlformats.org/officeDocument/2006/relationships/hyperlink" Target="https://advance.lexis.com/api/document?collection=cases-ca&amp;id=urn:contentItem:5F7T-S731-F016-S3D3-00000-00&amp;context=" TargetMode="External" /><Relationship Id="rId456" Type="http://schemas.openxmlformats.org/officeDocument/2006/relationships/hyperlink" Target="https://advance.lexis.com/api/document?collection=cases-ca&amp;id=urn:contentItem:5F7T-S751-JCJ5-24CV-00000-00&amp;context=" TargetMode="External" /><Relationship Id="rId457" Type="http://schemas.openxmlformats.org/officeDocument/2006/relationships/hyperlink" Target="https://advance.lexis.com/api/document?collection=cases-ca&amp;id=urn:contentItem:5F7T-S761-F81W-21RK-00000-00&amp;context=" TargetMode="External" /><Relationship Id="rId458" Type="http://schemas.openxmlformats.org/officeDocument/2006/relationships/hyperlink" Target="https://advance.lexis.com/api/document?collection=cases-ca&amp;id=urn:contentItem:5F7T-S731-DY33-B0YN-00000-00&amp;context=" TargetMode="External" /><Relationship Id="rId459" Type="http://schemas.openxmlformats.org/officeDocument/2006/relationships/hyperlink" Target="https://advance.lexis.com/api/document?collection=cases-ca&amp;id=urn:contentItem:5F7T-S6W1-JB7K-21G3-00000-00&amp;context=" TargetMode="External" /><Relationship Id="rId46" Type="http://schemas.openxmlformats.org/officeDocument/2006/relationships/hyperlink" Target="https://advance.lexis.com/api/document?collection=cases-ca&amp;id=urn:contentItem:5F8T-N3V1-JF75-M3SS-00000-00&amp;context=" TargetMode="External" /><Relationship Id="rId460" Type="http://schemas.openxmlformats.org/officeDocument/2006/relationships/header" Target="header100.xml" /><Relationship Id="rId461" Type="http://schemas.openxmlformats.org/officeDocument/2006/relationships/header" Target="header101.xml" /><Relationship Id="rId462" Type="http://schemas.openxmlformats.org/officeDocument/2006/relationships/footer" Target="footer100.xml" /><Relationship Id="rId463" Type="http://schemas.openxmlformats.org/officeDocument/2006/relationships/footer" Target="footer101.xml" /><Relationship Id="rId464" Type="http://schemas.openxmlformats.org/officeDocument/2006/relationships/header" Target="header102.xml" /><Relationship Id="rId465" Type="http://schemas.openxmlformats.org/officeDocument/2006/relationships/footer" Target="footer102.xml" /><Relationship Id="rId466" Type="http://schemas.openxmlformats.org/officeDocument/2006/relationships/hyperlink" Target="https://advance.lexis.com/api/document?collection=cases-ca&amp;id=urn:contentItem:5F7T-S7F1-FFFC-B24G-00000-00&amp;context=" TargetMode="External" /><Relationship Id="rId467" Type="http://schemas.openxmlformats.org/officeDocument/2006/relationships/header" Target="header103.xml" /><Relationship Id="rId468" Type="http://schemas.openxmlformats.org/officeDocument/2006/relationships/header" Target="header104.xml" /><Relationship Id="rId469" Type="http://schemas.openxmlformats.org/officeDocument/2006/relationships/footer" Target="footer103.xml" /><Relationship Id="rId47" Type="http://schemas.openxmlformats.org/officeDocument/2006/relationships/hyperlink" Target="https://advance.lexis.com/api/document?collection=cases-ca&amp;id=urn:contentItem:5F8T-N3V1-JF75-M3KN-00000-00&amp;context=" TargetMode="External" /><Relationship Id="rId470" Type="http://schemas.openxmlformats.org/officeDocument/2006/relationships/footer" Target="footer104.xml" /><Relationship Id="rId471" Type="http://schemas.openxmlformats.org/officeDocument/2006/relationships/header" Target="header105.xml" /><Relationship Id="rId472" Type="http://schemas.openxmlformats.org/officeDocument/2006/relationships/footer" Target="footer105.xml" /><Relationship Id="rId473" Type="http://schemas.openxmlformats.org/officeDocument/2006/relationships/hyperlink" Target="https://advance.lexis.com/api/document?collection=cases-ca&amp;id=urn:contentItem:5F7T-S7C1-F30T-B23F-00000-00&amp;context=" TargetMode="External" /><Relationship Id="rId474" Type="http://schemas.openxmlformats.org/officeDocument/2006/relationships/hyperlink" Target="https://advance.lexis.com/api/document?collection=cases-ca&amp;id=urn:contentItem:5F16-93B1-F4GK-M3X6-00000-00&amp;context=" TargetMode="External" /><Relationship Id="rId475" Type="http://schemas.openxmlformats.org/officeDocument/2006/relationships/hyperlink" Target="https://advance.lexis.com/api/document?collection=cases-ca&amp;id=urn:contentItem:5F8T-N3T1-JFKM-655K-00000-00&amp;context=" TargetMode="External" /><Relationship Id="rId476" Type="http://schemas.openxmlformats.org/officeDocument/2006/relationships/hyperlink" Target="https://advance.lexis.com/api/document?collection=cases-ca&amp;id=urn:contentItem:5F7T-S751-JNS1-M1PR-00000-00&amp;context=" TargetMode="External" /><Relationship Id="rId477" Type="http://schemas.openxmlformats.org/officeDocument/2006/relationships/hyperlink" Target="https://advance.lexis.com/api/document?collection=cases-ca&amp;id=urn:contentItem:5F7T-S781-F7G6-6386-00000-00&amp;context=" TargetMode="External" /><Relationship Id="rId478" Type="http://schemas.openxmlformats.org/officeDocument/2006/relationships/hyperlink" Target="https://advance.lexis.com/api/document?collection=cases-ca&amp;id=urn:contentItem:5F8T-N3R1-JNS1-M12J-00000-00&amp;context=" TargetMode="External" /><Relationship Id="rId479" Type="http://schemas.openxmlformats.org/officeDocument/2006/relationships/hyperlink" Target="https://advance.lexis.com/api/document?collection=cases-ca&amp;id=urn:contentItem:5F7T-S781-FH4C-X2N3-00000-00&amp;context=" TargetMode="External" /><Relationship Id="rId48" Type="http://schemas.openxmlformats.org/officeDocument/2006/relationships/hyperlink" Target="https://advance.lexis.com/api/document?collection=cases-ca&amp;id=urn:contentItem:5F8T-N3V1-JFKM-60B3-00000-00&amp;context=" TargetMode="External" /><Relationship Id="rId480" Type="http://schemas.openxmlformats.org/officeDocument/2006/relationships/header" Target="header106.xml" /><Relationship Id="rId481" Type="http://schemas.openxmlformats.org/officeDocument/2006/relationships/header" Target="header107.xml" /><Relationship Id="rId482" Type="http://schemas.openxmlformats.org/officeDocument/2006/relationships/footer" Target="footer106.xml" /><Relationship Id="rId483" Type="http://schemas.openxmlformats.org/officeDocument/2006/relationships/footer" Target="footer107.xml" /><Relationship Id="rId484" Type="http://schemas.openxmlformats.org/officeDocument/2006/relationships/header" Target="header108.xml" /><Relationship Id="rId485" Type="http://schemas.openxmlformats.org/officeDocument/2006/relationships/footer" Target="footer108.xml" /><Relationship Id="rId486" Type="http://schemas.openxmlformats.org/officeDocument/2006/relationships/hyperlink" Target="https://advance.lexis.com/api/document?collection=cases-ca&amp;id=urn:contentItem:5F7T-S771-JN14-G2SW-00000-00&amp;context=" TargetMode="External" /><Relationship Id="rId487" Type="http://schemas.openxmlformats.org/officeDocument/2006/relationships/hyperlink" Target="https://advance.lexis.com/api/document?collection=legislation-ca&amp;id=urn:contentItem:5W2C-X5J1-JJ1H-X0F6-00000-00&amp;context=" TargetMode="External" /><Relationship Id="rId488" Type="http://schemas.openxmlformats.org/officeDocument/2006/relationships/hyperlink" Target="https://advance.lexis.com/api/document?collection=cases-ca&amp;id=urn:contentItem:5F7T-S6T1-JJSF-210X-00000-00&amp;context=" TargetMode="External" /><Relationship Id="rId489" Type="http://schemas.openxmlformats.org/officeDocument/2006/relationships/hyperlink" Target="https://advance.lexis.com/api/document?collection=cases-ca&amp;id=urn:contentItem:5F16-93D1-F81W-219M-00000-00&amp;context=" TargetMode="External" /><Relationship Id="rId49" Type="http://schemas.openxmlformats.org/officeDocument/2006/relationships/hyperlink" Target="https://advance.lexis.com/api/document?collection=cases-ca&amp;id=urn:contentItem:5F7T-S7B1-JCJ5-206H-00000-00&amp;context=" TargetMode="External" /><Relationship Id="rId490" Type="http://schemas.openxmlformats.org/officeDocument/2006/relationships/hyperlink" Target="https://advance.lexis.com/api/document?collection=cases-ca&amp;id=urn:contentItem:5F7T-S6W1-F7ND-G2T3-00000-00&amp;context=" TargetMode="External" /><Relationship Id="rId491" Type="http://schemas.openxmlformats.org/officeDocument/2006/relationships/hyperlink" Target="https://advance.lexis.com/api/document?collection=cases-ca&amp;id=urn:contentItem:5F81-VJV1-JK4W-M4N7-00000-00&amp;context=" TargetMode="External" /><Relationship Id="rId492" Type="http://schemas.openxmlformats.org/officeDocument/2006/relationships/hyperlink" Target="https://advance.lexis.com/api/document?collection=cases-ca&amp;id=urn:contentItem:5F7T-S731-JC0G-63HG-00000-00&amp;context=" TargetMode="External" /><Relationship Id="rId493" Type="http://schemas.openxmlformats.org/officeDocument/2006/relationships/header" Target="header109.xml" /><Relationship Id="rId494" Type="http://schemas.openxmlformats.org/officeDocument/2006/relationships/header" Target="header110.xml" /><Relationship Id="rId495" Type="http://schemas.openxmlformats.org/officeDocument/2006/relationships/footer" Target="footer109.xml" /><Relationship Id="rId496" Type="http://schemas.openxmlformats.org/officeDocument/2006/relationships/footer" Target="footer110.xml" /><Relationship Id="rId497" Type="http://schemas.openxmlformats.org/officeDocument/2006/relationships/header" Target="header111.xml" /><Relationship Id="rId498" Type="http://schemas.openxmlformats.org/officeDocument/2006/relationships/footer" Target="footer111.xml" /><Relationship Id="rId499" Type="http://schemas.openxmlformats.org/officeDocument/2006/relationships/hyperlink" Target="https://advance.lexis.com/api/document?collection=cases-ca&amp;id=urn:contentItem:5F7T-S771-JN14-G2BF-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H1-JG02-S3CH-00000-00&amp;context=" TargetMode="External" /><Relationship Id="rId500" Type="http://schemas.openxmlformats.org/officeDocument/2006/relationships/hyperlink" Target="https://advance.lexis.com/api/document?collection=cases-ca&amp;id=urn:contentItem:5F7T-S6Y1-JP9P-G1B1-00000-00&amp;context=" TargetMode="External" /><Relationship Id="rId501" Type="http://schemas.openxmlformats.org/officeDocument/2006/relationships/header" Target="header112.xml" /><Relationship Id="rId502" Type="http://schemas.openxmlformats.org/officeDocument/2006/relationships/header" Target="header113.xml" /><Relationship Id="rId503" Type="http://schemas.openxmlformats.org/officeDocument/2006/relationships/footer" Target="footer112.xml" /><Relationship Id="rId504" Type="http://schemas.openxmlformats.org/officeDocument/2006/relationships/footer" Target="footer113.xml" /><Relationship Id="rId505" Type="http://schemas.openxmlformats.org/officeDocument/2006/relationships/header" Target="header114.xml" /><Relationship Id="rId506" Type="http://schemas.openxmlformats.org/officeDocument/2006/relationships/footer" Target="footer114.xml" /><Relationship Id="rId507" Type="http://schemas.openxmlformats.org/officeDocument/2006/relationships/hyperlink" Target="https://advance.lexis.com/api/document?collection=cases-ca&amp;id=urn:contentItem:5F7T-S781-F06F-2447-00000-00&amp;context=" TargetMode="External" /><Relationship Id="rId508" Type="http://schemas.openxmlformats.org/officeDocument/2006/relationships/hyperlink" Target="https://advance.lexis.com/api/document?collection=cases-ca&amp;id=urn:contentItem:5F8P-SCJ1-F900-G3F9-00000-00&amp;context=" TargetMode="External" /><Relationship Id="rId509" Type="http://schemas.openxmlformats.org/officeDocument/2006/relationships/hyperlink" Target="https://advance.lexis.com/api/document?collection=cases-ca&amp;id=urn:contentItem:5F7T-S761-FGJR-22KT-00000-00&amp;context=" TargetMode="External" /><Relationship Id="rId51" Type="http://schemas.openxmlformats.org/officeDocument/2006/relationships/hyperlink" Target="https://advance.lexis.com/api/document?collection=cases-ca&amp;id=urn:contentItem:5F7T-S6W1-JB7K-21F4-00000-00&amp;context=" TargetMode="External" /><Relationship Id="rId510" Type="http://schemas.openxmlformats.org/officeDocument/2006/relationships/hyperlink" Target="https://advance.lexis.com/api/document?collection=cases-ca&amp;id=urn:contentItem:5F7T-S771-JN14-G2DF-00000-00&amp;context=" TargetMode="External" /><Relationship Id="rId511" Type="http://schemas.openxmlformats.org/officeDocument/2006/relationships/hyperlink" Target="https://advance.lexis.com/api/document?collection=cases-ca&amp;id=urn:contentItem:5F7T-S711-F5KY-B0TM-00000-00&amp;context=" TargetMode="External" /><Relationship Id="rId512" Type="http://schemas.openxmlformats.org/officeDocument/2006/relationships/hyperlink" Target="https://advance.lexis.com/api/document?collection=cases-ca&amp;id=urn:contentItem:5F7T-S771-F2TK-22YF-00000-00&amp;context=" TargetMode="External" /><Relationship Id="rId513" Type="http://schemas.openxmlformats.org/officeDocument/2006/relationships/header" Target="header115.xml" /><Relationship Id="rId514" Type="http://schemas.openxmlformats.org/officeDocument/2006/relationships/header" Target="header116.xml" /><Relationship Id="rId515" Type="http://schemas.openxmlformats.org/officeDocument/2006/relationships/footer" Target="footer115.xml" /><Relationship Id="rId516" Type="http://schemas.openxmlformats.org/officeDocument/2006/relationships/footer" Target="footer116.xml" /><Relationship Id="rId517" Type="http://schemas.openxmlformats.org/officeDocument/2006/relationships/header" Target="header117.xml" /><Relationship Id="rId518" Type="http://schemas.openxmlformats.org/officeDocument/2006/relationships/footer" Target="footer117.xml" /><Relationship Id="rId519" Type="http://schemas.openxmlformats.org/officeDocument/2006/relationships/hyperlink" Target="https://advance.lexis.com/api/document?collection=cases-ca&amp;id=urn:contentItem:5F7T-S771-JSJC-X0H2-00000-00&amp;context=" TargetMode="External" /><Relationship Id="rId52" Type="http://schemas.openxmlformats.org/officeDocument/2006/relationships/hyperlink" Target="https://advance.lexis.com/api/document?collection=cases-ca&amp;id=urn:contentItem:5F7T-S781-JSC5-M4GD-00000-00&amp;context=" TargetMode="External" /><Relationship Id="rId520" Type="http://schemas.openxmlformats.org/officeDocument/2006/relationships/hyperlink" Target="https://advance.lexis.com/api/document?collection=cases-ca&amp;id=urn:contentItem:5F7T-S741-F2F4-G2KJ-00000-00&amp;context=" TargetMode="External" /><Relationship Id="rId521" Type="http://schemas.openxmlformats.org/officeDocument/2006/relationships/hyperlink" Target="https://advance.lexis.com/api/document?collection=cases-ca&amp;id=urn:contentItem:5F7T-S751-F361-M0RY-00000-00&amp;context=" TargetMode="External" /><Relationship Id="rId522" Type="http://schemas.openxmlformats.org/officeDocument/2006/relationships/hyperlink" Target="https://advance.lexis.com/api/document?collection=cases-ca&amp;id=urn:contentItem:5F7T-S741-F57G-S20F-00000-00&amp;context=" TargetMode="External" /><Relationship Id="rId523" Type="http://schemas.openxmlformats.org/officeDocument/2006/relationships/hyperlink" Target="https://advance.lexis.com/api/document?collection=cases-ca&amp;id=urn:contentItem:5F7T-S751-JNS1-M1JJ-00000-00&amp;context=" TargetMode="External" /><Relationship Id="rId524" Type="http://schemas.openxmlformats.org/officeDocument/2006/relationships/hyperlink" Target="https://advance.lexis.com/api/document?collection=cases-ca&amp;id=urn:contentItem:5F7T-S751-JNS1-M1KN-00000-00&amp;context=" TargetMode="External" /><Relationship Id="rId525" Type="http://schemas.openxmlformats.org/officeDocument/2006/relationships/hyperlink" Target="https://advance.lexis.com/api/document?collection=cases-ca&amp;id=urn:contentItem:5F7T-S761-FGJR-22M7-00000-00&amp;context=" TargetMode="External" /><Relationship Id="rId526" Type="http://schemas.openxmlformats.org/officeDocument/2006/relationships/hyperlink" Target="https://advance.lexis.com/api/document?collection=cases-ca&amp;id=urn:contentItem:5F7T-S751-JNS1-M1HG-00000-00&amp;context=" TargetMode="External" /><Relationship Id="rId527" Type="http://schemas.openxmlformats.org/officeDocument/2006/relationships/hyperlink" Target="https://advance.lexis.com/api/document?collection=cases-ca&amp;id=urn:contentItem:5F7T-S751-JNS1-M1MM-00000-00&amp;context=" TargetMode="External" /><Relationship Id="rId528" Type="http://schemas.openxmlformats.org/officeDocument/2006/relationships/hyperlink" Target="https://advance.lexis.com/api/document?collection=cases-ca&amp;id=urn:contentItem:5F7T-S751-JNS1-M1JC-00000-00&amp;context=" TargetMode="External" /><Relationship Id="rId529" Type="http://schemas.openxmlformats.org/officeDocument/2006/relationships/hyperlink" Target="https://advance.lexis.com/api/document?collection=cases-ca&amp;id=urn:contentItem:5F7T-S731-DY33-B0XF-00000-00&amp;context=" TargetMode="External" /><Relationship Id="rId53" Type="http://schemas.openxmlformats.org/officeDocument/2006/relationships/hyperlink" Target="https://advance.lexis.com/api/document?collection=cases-ca&amp;id=urn:contentItem:5F7T-S761-F81W-222K-00000-00&amp;context=" TargetMode="External" /><Relationship Id="rId530" Type="http://schemas.openxmlformats.org/officeDocument/2006/relationships/hyperlink" Target="https://advance.lexis.com/api/document?collection=cases-ca&amp;id=urn:contentItem:5F8T-N3T1-JFKM-6549-00000-00&amp;context=" TargetMode="External" /><Relationship Id="rId531" Type="http://schemas.openxmlformats.org/officeDocument/2006/relationships/hyperlink" Target="https://advance.lexis.com/api/document?collection=cases-ca&amp;id=urn:contentItem:5F8T-N3V1-JF75-M3CD-00000-00&amp;context=" TargetMode="External" /><Relationship Id="rId532" Type="http://schemas.openxmlformats.org/officeDocument/2006/relationships/hyperlink" Target="https://advance.lexis.com/api/document?collection=cases-ca&amp;id=urn:contentItem:5F7T-S741-DY89-M395-00000-00&amp;context=" TargetMode="External" /><Relationship Id="rId533" Type="http://schemas.openxmlformats.org/officeDocument/2006/relationships/hyperlink" Target="https://advance.lexis.com/api/document?collection=cases-ca&amp;id=urn:contentItem:5F7T-S751-JBM1-M2MF-00000-00&amp;context=" TargetMode="External" /><Relationship Id="rId534" Type="http://schemas.openxmlformats.org/officeDocument/2006/relationships/hyperlink" Target="https://advance.lexis.com/api/document?collection=cases-ca&amp;id=urn:contentItem:5F7T-S6W1-JYYX-61KD-00000-00&amp;context=" TargetMode="External" /><Relationship Id="rId535" Type="http://schemas.openxmlformats.org/officeDocument/2006/relationships/header" Target="header118.xml" /><Relationship Id="rId536" Type="http://schemas.openxmlformats.org/officeDocument/2006/relationships/header" Target="header119.xml" /><Relationship Id="rId537" Type="http://schemas.openxmlformats.org/officeDocument/2006/relationships/footer" Target="footer118.xml" /><Relationship Id="rId538" Type="http://schemas.openxmlformats.org/officeDocument/2006/relationships/footer" Target="footer119.xml" /><Relationship Id="rId539" Type="http://schemas.openxmlformats.org/officeDocument/2006/relationships/header" Target="header120.xml" /><Relationship Id="rId54" Type="http://schemas.openxmlformats.org/officeDocument/2006/relationships/hyperlink" Target="https://advance.lexis.com/api/document?collection=cases-ca&amp;id=urn:contentItem:5F7T-S741-F8D9-M1MM-00000-00&amp;context=" TargetMode="External" /><Relationship Id="rId540" Type="http://schemas.openxmlformats.org/officeDocument/2006/relationships/footer" Target="footer120.xml" /><Relationship Id="rId541" Type="http://schemas.openxmlformats.org/officeDocument/2006/relationships/hyperlink" Target="https://advance.lexis.com/api/document?collection=cases-ca&amp;id=urn:contentItem:5F7T-S7D1-FCSB-S2V2-00000-00&amp;context=" TargetMode="External" /><Relationship Id="rId542" Type="http://schemas.openxmlformats.org/officeDocument/2006/relationships/hyperlink" Target="https://advance.lexis.com/api/document?collection=cases-ca&amp;id=urn:contentItem:5F8T-N3T1-JJSF-23BN-00000-00&amp;context=" TargetMode="External" /><Relationship Id="rId543" Type="http://schemas.openxmlformats.org/officeDocument/2006/relationships/hyperlink" Target="https://advance.lexis.com/api/document?collection=cases-ca&amp;id=urn:contentItem:5F7T-S6Y1-JPP5-2188-00000-00&amp;context=" TargetMode="External" /><Relationship Id="rId544" Type="http://schemas.openxmlformats.org/officeDocument/2006/relationships/hyperlink" Target="https://advance.lexis.com/api/document?collection=cases-ca&amp;id=urn:contentItem:5F8P-SCX1-JB7K-22GH-00000-00&amp;context=" TargetMode="External" /><Relationship Id="rId545" Type="http://schemas.openxmlformats.org/officeDocument/2006/relationships/hyperlink" Target="https://advance.lexis.com/api/document?collection=cases-ca&amp;id=urn:contentItem:5F7T-S7C1-F7VM-S38W-00000-00&amp;context=" TargetMode="External" /><Relationship Id="rId546" Type="http://schemas.openxmlformats.org/officeDocument/2006/relationships/hyperlink" Target="https://advance.lexis.com/api/document?collection=cases-ca&amp;id=urn:contentItem:5F7T-S751-JP4G-610S-00000-00&amp;context=" TargetMode="External" /><Relationship Id="rId547" Type="http://schemas.openxmlformats.org/officeDocument/2006/relationships/hyperlink" Target="https://advance.lexis.com/api/document?collection=cases-ca&amp;id=urn:contentItem:5F81-VJV1-F60C-X3FY-00000-00&amp;context=" TargetMode="External" /><Relationship Id="rId548" Type="http://schemas.openxmlformats.org/officeDocument/2006/relationships/header" Target="header121.xml" /><Relationship Id="rId549" Type="http://schemas.openxmlformats.org/officeDocument/2006/relationships/header" Target="header122.xml" /><Relationship Id="rId55" Type="http://schemas.openxmlformats.org/officeDocument/2006/relationships/hyperlink" Target="https://advance.lexis.com/api/document?collection=cases-ca&amp;id=urn:contentItem:5F8T-N3T1-JJSF-2361-00000-00&amp;context=" TargetMode="External" /><Relationship Id="rId550" Type="http://schemas.openxmlformats.org/officeDocument/2006/relationships/footer" Target="footer121.xml" /><Relationship Id="rId551" Type="http://schemas.openxmlformats.org/officeDocument/2006/relationships/footer" Target="footer122.xml" /><Relationship Id="rId552" Type="http://schemas.openxmlformats.org/officeDocument/2006/relationships/header" Target="header123.xml" /><Relationship Id="rId553" Type="http://schemas.openxmlformats.org/officeDocument/2006/relationships/footer" Target="footer123.xml" /><Relationship Id="rId554" Type="http://schemas.openxmlformats.org/officeDocument/2006/relationships/hyperlink" Target="https://advance.lexis.com/api/document?collection=cases-ca&amp;id=urn:contentItem:5K6X-H241-JNS1-M0MT-00000-00&amp;context=" TargetMode="External" /><Relationship Id="rId555" Type="http://schemas.openxmlformats.org/officeDocument/2006/relationships/hyperlink" Target="https://advance.lexis.com/api/document?collection=cases-ca&amp;id=urn:contentItem:5F7T-S7G1-JWR6-S1GN-00000-00&amp;context=" TargetMode="External" /><Relationship Id="rId556" Type="http://schemas.openxmlformats.org/officeDocument/2006/relationships/header" Target="header124.xml" /><Relationship Id="rId557" Type="http://schemas.openxmlformats.org/officeDocument/2006/relationships/header" Target="header125.xml" /><Relationship Id="rId558" Type="http://schemas.openxmlformats.org/officeDocument/2006/relationships/footer" Target="footer124.xml" /><Relationship Id="rId559" Type="http://schemas.openxmlformats.org/officeDocument/2006/relationships/footer" Target="footer125.xml" /><Relationship Id="rId56" Type="http://schemas.openxmlformats.org/officeDocument/2006/relationships/hyperlink" Target="https://advance.lexis.com/api/document?collection=cases-ca&amp;id=urn:contentItem:5F7T-S711-FJDY-X3FK-00000-00&amp;context=" TargetMode="External" /><Relationship Id="rId560" Type="http://schemas.openxmlformats.org/officeDocument/2006/relationships/header" Target="header126.xml" /><Relationship Id="rId561" Type="http://schemas.openxmlformats.org/officeDocument/2006/relationships/footer" Target="footer126.xml" /><Relationship Id="rId562" Type="http://schemas.openxmlformats.org/officeDocument/2006/relationships/hyperlink" Target="https://advance.lexis.com/api/document?collection=cases-ca&amp;id=urn:contentItem:5S2J-PSY1-FG68-G2GW-00000-00&amp;context=" TargetMode="External" /><Relationship Id="rId563" Type="http://schemas.openxmlformats.org/officeDocument/2006/relationships/image" Target="media/image1.jpeg" /><Relationship Id="rId564" Type="http://schemas.openxmlformats.org/officeDocument/2006/relationships/hyperlink" Target="https://advance.lexis.com/api/document?collection=cases-ca&amp;id=urn:contentItem:5F8T-N3V1-JTGH-B18F-00000-00&amp;context=" TargetMode="External" /><Relationship Id="rId565" Type="http://schemas.openxmlformats.org/officeDocument/2006/relationships/hyperlink" Target="https://advance.lexis.com/api/document?collection=cases-ca&amp;id=urn:contentItem:5F8T-N3V1-FH4C-X20M-00000-00&amp;context=" TargetMode="External" /><Relationship Id="rId566" Type="http://schemas.openxmlformats.org/officeDocument/2006/relationships/hyperlink" Target="https://advance.lexis.com/api/document?collection=cases-ca&amp;id=urn:contentItem:5K0R-HRN1-JX8W-M240-00000-00&amp;context=" TargetMode="External" /><Relationship Id="rId567" Type="http://schemas.openxmlformats.org/officeDocument/2006/relationships/hyperlink" Target="https://advance.lexis.com/api/document?collection=cases-ca&amp;id=urn:contentItem:5F7T-S7D1-JN6B-S131-00000-00&amp;context=" TargetMode="External" /><Relationship Id="rId568" Type="http://schemas.openxmlformats.org/officeDocument/2006/relationships/hyperlink" Target="https://advance.lexis.com/api/document?collection=cases-ca&amp;id=urn:contentItem:5F7T-S731-JNJT-B1SM-00000-00&amp;context=" TargetMode="External" /><Relationship Id="rId569" Type="http://schemas.openxmlformats.org/officeDocument/2006/relationships/hyperlink" Target="https://advance.lexis.com/api/document?collection=cases-ca&amp;id=urn:contentItem:5F7T-S741-F528-G29P-00000-00&amp;context=" TargetMode="External" /><Relationship Id="rId57" Type="http://schemas.openxmlformats.org/officeDocument/2006/relationships/hyperlink" Target="https://advance.lexis.com/api/document?collection=cases-ca&amp;id=urn:contentItem:5F7T-S771-JWBS-61M2-00000-00&amp;context=" TargetMode="External" /><Relationship Id="rId570" Type="http://schemas.openxmlformats.org/officeDocument/2006/relationships/hyperlink" Target="https://advance.lexis.com/api/document?collection=cases-ca&amp;id=urn:contentItem:5F7T-S7K1-JKHB-62J8-00000-00&amp;context=" TargetMode="External" /><Relationship Id="rId571" Type="http://schemas.openxmlformats.org/officeDocument/2006/relationships/hyperlink" Target="https://advance.lexis.com/api/document?collection=cases-ca&amp;id=urn:contentItem:5GN8-FRT1-FC6N-X1Y8-00000-00&amp;context=" TargetMode="External" /><Relationship Id="rId572" Type="http://schemas.openxmlformats.org/officeDocument/2006/relationships/hyperlink" Target="https://advance.lexis.com/api/document?collection=cases-ca&amp;id=urn:contentItem:5F7T-S7P1-JP4G-61WN-00000-00&amp;context=" TargetMode="External" /><Relationship Id="rId573" Type="http://schemas.openxmlformats.org/officeDocument/2006/relationships/hyperlink" Target="https://advance.lexis.com/api/document?collection=cases-ca&amp;id=urn:contentItem:5GCC-XVB1-JSXV-G0CG-00000-00&amp;context=" TargetMode="External" /><Relationship Id="rId574" Type="http://schemas.openxmlformats.org/officeDocument/2006/relationships/hyperlink" Target="https://advance.lexis.com/api/document?collection=cases-ca&amp;id=urn:contentItem:5HXW-S171-JX8W-M07X-00000-00&amp;context=" TargetMode="External" /><Relationship Id="rId575" Type="http://schemas.openxmlformats.org/officeDocument/2006/relationships/hyperlink" Target="https://advance.lexis.com/api/document?collection=cases-ca&amp;id=urn:contentItem:5F7T-S7B1-FH4C-X3C9-00000-00&amp;context=" TargetMode="External" /><Relationship Id="rId576" Type="http://schemas.openxmlformats.org/officeDocument/2006/relationships/hyperlink" Target="https://advance.lexis.com/api/document?collection=cases-ca&amp;id=urn:contentItem:5F7T-S7D1-DY89-M463-00000-00&amp;context=" TargetMode="External" /><Relationship Id="rId577" Type="http://schemas.openxmlformats.org/officeDocument/2006/relationships/hyperlink" Target="https://advance.lexis.com/api/document?collection=cases-ca&amp;id=urn:contentItem:5F7T-S6T1-JJ1H-X220-00000-00&amp;context=" TargetMode="External" /><Relationship Id="rId578" Type="http://schemas.openxmlformats.org/officeDocument/2006/relationships/image" Target="media/image2.jpeg" /><Relationship Id="rId579" Type="http://schemas.openxmlformats.org/officeDocument/2006/relationships/hyperlink" Target="https://advance.lexis.com/api/document?collection=cases-ca&amp;id=urn:contentItem:5G4B-CVF1-JPGX-S2TN-00000-00&amp;context=" TargetMode="External" /><Relationship Id="rId58" Type="http://schemas.openxmlformats.org/officeDocument/2006/relationships/hyperlink" Target="https://advance.lexis.com/api/document?collection=cases-ca&amp;id=urn:contentItem:5F7V-3DH1-FK0M-S1NR-00000-00&amp;context=" TargetMode="External" /><Relationship Id="rId580" Type="http://schemas.openxmlformats.org/officeDocument/2006/relationships/image" Target="media/image3.jpeg" /><Relationship Id="rId581" Type="http://schemas.openxmlformats.org/officeDocument/2006/relationships/hyperlink" Target="https://advance.lexis.com/api/document?collection=cases-ca&amp;id=urn:contentItem:5F7T-S6Y1-JPP5-2189-00000-00&amp;context=" TargetMode="External" /><Relationship Id="rId582" Type="http://schemas.openxmlformats.org/officeDocument/2006/relationships/hyperlink" Target="https://advance.lexis.com/api/document?collection=cases-ca&amp;id=urn:contentItem:5F7T-S7K1-DXWW-2018-00000-00&amp;context=" TargetMode="External" /><Relationship Id="rId583" Type="http://schemas.openxmlformats.org/officeDocument/2006/relationships/hyperlink" Target="https://advance.lexis.com/api/document?collection=cases-ca&amp;id=urn:contentItem:5F7T-S731-F60C-X11W-00000-00&amp;context=" TargetMode="External" /><Relationship Id="rId584" Type="http://schemas.openxmlformats.org/officeDocument/2006/relationships/hyperlink" Target="https://advance.lexis.com/api/document?collection=cases-ca&amp;id=urn:contentItem:5F7T-S771-JSJC-X05N-00000-00&amp;context=" TargetMode="External" /><Relationship Id="rId585" Type="http://schemas.openxmlformats.org/officeDocument/2006/relationships/hyperlink" Target="https://advance.lexis.com/api/document?collection=cases-ca&amp;id=urn:contentItem:5F7T-S731-DY33-B0TG-00000-00&amp;context=" TargetMode="External" /><Relationship Id="rId586" Type="http://schemas.openxmlformats.org/officeDocument/2006/relationships/hyperlink" Target="https://advance.lexis.com/api/document?collection=cases-ca&amp;id=urn:contentItem:5F7T-S7J1-DXWW-24R0-00000-00&amp;context=" TargetMode="External" /><Relationship Id="rId587" Type="http://schemas.openxmlformats.org/officeDocument/2006/relationships/hyperlink" Target="https://advance.lexis.com/api/document?collection=cases-ca&amp;id=urn:contentItem:5F7T-S791-JCJ5-255J-00000-00&amp;context=" TargetMode="External" /><Relationship Id="rId588" Type="http://schemas.openxmlformats.org/officeDocument/2006/relationships/hyperlink" Target="https://advance.lexis.com/api/document?collection=cases-ca&amp;id=urn:contentItem:5F7T-S7F1-F7VM-S3VD-00000-00&amp;context=" TargetMode="External" /><Relationship Id="rId589" Type="http://schemas.openxmlformats.org/officeDocument/2006/relationships/hyperlink" Target="https://advance.lexis.com/api/document?collection=cases-ca&amp;id=urn:contentItem:5F7T-S6Y1-F65M-604Y-00000-00&amp;context=" TargetMode="External" /><Relationship Id="rId59" Type="http://schemas.openxmlformats.org/officeDocument/2006/relationships/hyperlink" Target="https://advance.lexis.com/api/document?collection=cases-ca&amp;id=urn:contentItem:5F8P-SCJ1-JB7K-228D-00000-00&amp;context=" TargetMode="External" /><Relationship Id="rId590" Type="http://schemas.openxmlformats.org/officeDocument/2006/relationships/hyperlink" Target="https://advance.lexis.com/api/document?collection=cases-ca&amp;id=urn:contentItem:5F7T-S7K1-JSJC-X168-00000-00&amp;context=" TargetMode="External" /><Relationship Id="rId591" Type="http://schemas.openxmlformats.org/officeDocument/2006/relationships/image" Target="media/image4.jpeg" /><Relationship Id="rId592" Type="http://schemas.openxmlformats.org/officeDocument/2006/relationships/hyperlink" Target="https://advance.lexis.com/api/document?collection=cases-ca&amp;id=urn:contentItem:5F8T-N3V1-FC1F-M4BC-00000-00&amp;context=" TargetMode="External" /><Relationship Id="rId593" Type="http://schemas.openxmlformats.org/officeDocument/2006/relationships/hyperlink" Target="https://advance.lexis.com/api/document?collection=cases-ca&amp;id=urn:contentItem:5F7T-S7N1-F57G-S2D4-00000-00&amp;context=" TargetMode="External" /><Relationship Id="rId594" Type="http://schemas.openxmlformats.org/officeDocument/2006/relationships/hyperlink" Target="https://advance.lexis.com/api/document?collection=cases-ca&amp;id=urn:contentItem:5F7T-S7H1-FCSB-S3RY-00000-00&amp;context=" TargetMode="External" /><Relationship Id="rId595" Type="http://schemas.openxmlformats.org/officeDocument/2006/relationships/hyperlink" Target="https://advance.lexis.com/api/document?collection=cases-ca&amp;id=urn:contentItem:5F7T-S7K1-DY33-B1K8-00000-00&amp;context=" TargetMode="External" /><Relationship Id="rId596" Type="http://schemas.openxmlformats.org/officeDocument/2006/relationships/hyperlink" Target="https://advance.lexis.com/api/document?collection=cases-ca&amp;id=urn:contentItem:5F7T-S7K1-DY33-B1R6-00000-00&amp;context=" TargetMode="External" /><Relationship Id="rId597" Type="http://schemas.openxmlformats.org/officeDocument/2006/relationships/hyperlink" Target="https://advance.lexis.com/api/document?collection=cases-ca&amp;id=urn:contentItem:5F7T-S7H1-JCRC-B10Y-00000-00&amp;context=" TargetMode="External" /><Relationship Id="rId598" Type="http://schemas.openxmlformats.org/officeDocument/2006/relationships/hyperlink" Target="https://advance.lexis.com/api/document?collection=cases-ca&amp;id=urn:contentItem:5F8T-N3R1-JJSF-22R8-00000-00&amp;context=" TargetMode="External" /><Relationship Id="rId599" Type="http://schemas.openxmlformats.org/officeDocument/2006/relationships/image" Target="media/image5.png"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T1-JJSF-234V-00000-00&amp;context=" TargetMode="External" /><Relationship Id="rId600" Type="http://schemas.openxmlformats.org/officeDocument/2006/relationships/image" Target="media/image6.jpeg" /><Relationship Id="rId601" Type="http://schemas.openxmlformats.org/officeDocument/2006/relationships/image" Target="media/image7.jpeg" /><Relationship Id="rId602" Type="http://schemas.openxmlformats.org/officeDocument/2006/relationships/header" Target="header127.xml" /><Relationship Id="rId603" Type="http://schemas.openxmlformats.org/officeDocument/2006/relationships/header" Target="header128.xml" /><Relationship Id="rId604" Type="http://schemas.openxmlformats.org/officeDocument/2006/relationships/footer" Target="footer127.xml" /><Relationship Id="rId605" Type="http://schemas.openxmlformats.org/officeDocument/2006/relationships/footer" Target="footer128.xml" /><Relationship Id="rId606" Type="http://schemas.openxmlformats.org/officeDocument/2006/relationships/header" Target="header129.xml" /><Relationship Id="rId607" Type="http://schemas.openxmlformats.org/officeDocument/2006/relationships/footer" Target="footer129.xml" /><Relationship Id="rId608" Type="http://schemas.openxmlformats.org/officeDocument/2006/relationships/hyperlink" Target="https://advance.lexis.com/api/document?collection=cases-ca&amp;id=urn:contentItem:5F7T-S781-F900-G0PB-00000-00&amp;context=" TargetMode="External" /><Relationship Id="rId609" Type="http://schemas.openxmlformats.org/officeDocument/2006/relationships/header" Target="header130.xml" /><Relationship Id="rId61" Type="http://schemas.openxmlformats.org/officeDocument/2006/relationships/hyperlink" Target="https://advance.lexis.com/api/document?collection=cases-ca&amp;id=urn:contentItem:5F7T-S741-DXPM-S0VK-00000-00&amp;context=" TargetMode="External" /><Relationship Id="rId610" Type="http://schemas.openxmlformats.org/officeDocument/2006/relationships/header" Target="header131.xml" /><Relationship Id="rId611" Type="http://schemas.openxmlformats.org/officeDocument/2006/relationships/footer" Target="footer130.xml" /><Relationship Id="rId612" Type="http://schemas.openxmlformats.org/officeDocument/2006/relationships/footer" Target="footer131.xml" /><Relationship Id="rId613" Type="http://schemas.openxmlformats.org/officeDocument/2006/relationships/header" Target="header132.xml" /><Relationship Id="rId614" Type="http://schemas.openxmlformats.org/officeDocument/2006/relationships/footer" Target="footer132.xml" /><Relationship Id="rId615" Type="http://schemas.openxmlformats.org/officeDocument/2006/relationships/hyperlink" Target="https://advance.lexis.com/api/document?collection=cases-ca&amp;id=urn:contentItem:5F7T-S7D1-F7ND-G0ST-00000-00&amp;context=" TargetMode="External" /><Relationship Id="rId616" Type="http://schemas.openxmlformats.org/officeDocument/2006/relationships/hyperlink" Target="https://advance.lexis.com/api/document?collection=legislation-ca&amp;id=urn:contentItem:5F41-1FG1-JJYN-B04P-00000-00&amp;context=" TargetMode="External" /><Relationship Id="rId617" Type="http://schemas.openxmlformats.org/officeDocument/2006/relationships/hyperlink" Target="https://advance.lexis.com/api/document?collection=cases-ca&amp;id=urn:contentItem:5F8T-N3V1-JF75-M3GM-00000-00&amp;context=" TargetMode="External" /><Relationship Id="rId618" Type="http://schemas.openxmlformats.org/officeDocument/2006/relationships/hyperlink" Target="https://advance.lexis.com/api/document?collection=cases-ca&amp;id=urn:contentItem:5F8P-SDD1-JKHB-6136-00000-00&amp;context=" TargetMode="External" /><Relationship Id="rId619" Type="http://schemas.openxmlformats.org/officeDocument/2006/relationships/hyperlink" Target="https://advance.lexis.com/api/document?collection=cases-ca&amp;id=urn:contentItem:5F7T-S6Y1-JTNR-M4KK-00000-00&amp;context=" TargetMode="External" /><Relationship Id="rId62" Type="http://schemas.openxmlformats.org/officeDocument/2006/relationships/header" Target="header13.xml" /><Relationship Id="rId620" Type="http://schemas.openxmlformats.org/officeDocument/2006/relationships/hyperlink" Target="https://advance.lexis.com/api/document?collection=cases-ca&amp;id=urn:contentItem:5F7T-S741-DY89-M3K6-00000-00&amp;context=" TargetMode="External" /><Relationship Id="rId621" Type="http://schemas.openxmlformats.org/officeDocument/2006/relationships/hyperlink" Target="https://advance.lexis.com/api/document?collection=cases-ca&amp;id=urn:contentItem:5F7T-S771-JW5H-X1Y9-00000-00&amp;context=" TargetMode="External" /><Relationship Id="rId622" Type="http://schemas.openxmlformats.org/officeDocument/2006/relationships/hyperlink" Target="https://advance.lexis.com/api/document?collection=cases-ca&amp;id=urn:contentItem:5F7T-S751-FJDY-X3JC-00000-00&amp;context=" TargetMode="External" /><Relationship Id="rId623" Type="http://schemas.openxmlformats.org/officeDocument/2006/relationships/hyperlink" Target="https://advance.lexis.com/api/document?collection=cases-ca&amp;id=urn:contentItem:5F7T-S751-JBM1-M29N-00000-00&amp;context=" TargetMode="External" /><Relationship Id="rId624" Type="http://schemas.openxmlformats.org/officeDocument/2006/relationships/hyperlink" Target="https://advance.lexis.com/api/document?collection=cases-ca&amp;id=urn:contentItem:5F7T-S7C1-FCSB-S236-00000-00&amp;context=" TargetMode="External" /><Relationship Id="rId625" Type="http://schemas.openxmlformats.org/officeDocument/2006/relationships/hyperlink" Target="https://advance.lexis.com/api/document?collection=cases-ca&amp;id=urn:contentItem:5F8P-SCJ1-FGJR-23R2-00000-00&amp;context=" TargetMode="External" /><Relationship Id="rId626" Type="http://schemas.openxmlformats.org/officeDocument/2006/relationships/hyperlink" Target="https://advance.lexis.com/api/document?collection=cases-ca&amp;id=urn:contentItem:5F7T-S771-F81W-22V0-00000-00&amp;context=" TargetMode="External" /><Relationship Id="rId627" Type="http://schemas.openxmlformats.org/officeDocument/2006/relationships/header" Target="header133.xml" /><Relationship Id="rId628" Type="http://schemas.openxmlformats.org/officeDocument/2006/relationships/header" Target="header134.xml" /><Relationship Id="rId629" Type="http://schemas.openxmlformats.org/officeDocument/2006/relationships/footer" Target="footer133.xml" /><Relationship Id="rId63" Type="http://schemas.openxmlformats.org/officeDocument/2006/relationships/header" Target="header14.xml" /><Relationship Id="rId630" Type="http://schemas.openxmlformats.org/officeDocument/2006/relationships/footer" Target="footer134.xml" /><Relationship Id="rId631" Type="http://schemas.openxmlformats.org/officeDocument/2006/relationships/header" Target="header135.xml" /><Relationship Id="rId632" Type="http://schemas.openxmlformats.org/officeDocument/2006/relationships/footer" Target="footer135.xml" /><Relationship Id="rId633" Type="http://schemas.openxmlformats.org/officeDocument/2006/relationships/hyperlink" Target="https://advance.lexis.com/api/document?collection=cases-ca&amp;id=urn:contentItem:5SBM-WNB1-FGJR-21YC-00000-00&amp;context=" TargetMode="External" /><Relationship Id="rId634" Type="http://schemas.openxmlformats.org/officeDocument/2006/relationships/hyperlink" Target="https://advance.lexis.com/api/document?collection=cases-ca&amp;id=urn:contentItem:5F7T-S7D1-JN6B-S188-00000-00&amp;context=" TargetMode="External" /><Relationship Id="rId635" Type="http://schemas.openxmlformats.org/officeDocument/2006/relationships/hyperlink" Target="https://advance.lexis.com/api/document?collection=cases-ca&amp;id=urn:contentItem:5F8T-N3V1-JF75-M3SR-00000-00&amp;context=" TargetMode="External" /><Relationship Id="rId636" Type="http://schemas.openxmlformats.org/officeDocument/2006/relationships/hyperlink" Target="https://advance.lexis.com/api/document?collection=cases-ca&amp;id=urn:contentItem:5F8T-N3V1-FC1F-M442-00000-00&amp;context=" TargetMode="External" /><Relationship Id="rId637" Type="http://schemas.openxmlformats.org/officeDocument/2006/relationships/hyperlink" Target="https://advance.lexis.com/api/document?collection=cases-ca&amp;id=urn:contentItem:5F7T-S761-FFMK-M147-00000-00&amp;context=" TargetMode="External" /><Relationship Id="rId638" Type="http://schemas.openxmlformats.org/officeDocument/2006/relationships/hyperlink" Target="https://advance.lexis.com/api/document?collection=cases-ca&amp;id=urn:contentItem:5F8T-N3T1-JGHR-M1S5-00000-00&amp;context=" TargetMode="External" /><Relationship Id="rId639" Type="http://schemas.openxmlformats.org/officeDocument/2006/relationships/hyperlink" Target="https://advance.lexis.com/api/document?collection=cases-ca&amp;id=urn:contentItem:5F8T-N3V1-JF75-M3TY-00000-00&amp;context=" TargetMode="External" /><Relationship Id="rId64" Type="http://schemas.openxmlformats.org/officeDocument/2006/relationships/footer" Target="footer13.xml" /><Relationship Id="rId640" Type="http://schemas.openxmlformats.org/officeDocument/2006/relationships/header" Target="header136.xml" /><Relationship Id="rId641" Type="http://schemas.openxmlformats.org/officeDocument/2006/relationships/header" Target="header137.xml" /><Relationship Id="rId642" Type="http://schemas.openxmlformats.org/officeDocument/2006/relationships/footer" Target="footer136.xml" /><Relationship Id="rId643" Type="http://schemas.openxmlformats.org/officeDocument/2006/relationships/footer" Target="footer137.xml" /><Relationship Id="rId644" Type="http://schemas.openxmlformats.org/officeDocument/2006/relationships/header" Target="header138.xml" /><Relationship Id="rId645" Type="http://schemas.openxmlformats.org/officeDocument/2006/relationships/footer" Target="footer138.xml" /><Relationship Id="rId646" Type="http://schemas.openxmlformats.org/officeDocument/2006/relationships/hyperlink" Target="https://advance.lexis.com/api/document?collection=cases-ca&amp;id=urn:contentItem:5GJ2-WXC1-F4GK-M3R2-00000-00&amp;context=" TargetMode="External" /><Relationship Id="rId647" Type="http://schemas.openxmlformats.org/officeDocument/2006/relationships/hyperlink" Target="https://advance.lexis.com/api/document?collection=legislation-ca&amp;id=urn:contentItem:5F41-1FG1-F4NT-X09N-00000-00&amp;context=" TargetMode="External" /><Relationship Id="rId648" Type="http://schemas.openxmlformats.org/officeDocument/2006/relationships/hyperlink" Target="https://advance.lexis.com/api/document?collection=cases-ca&amp;id=urn:contentItem:5F7T-S7P1-JSJC-X1T9-00000-00&amp;context=" TargetMode="External" /><Relationship Id="rId649" Type="http://schemas.openxmlformats.org/officeDocument/2006/relationships/hyperlink" Target="https://advance.lexis.com/api/document?collection=cases-ca&amp;id=urn:contentItem:5F7T-S7M1-JCRC-B1XN-00000-00&amp;context=" TargetMode="External" /><Relationship Id="rId65" Type="http://schemas.openxmlformats.org/officeDocument/2006/relationships/footer" Target="footer14.xml" /><Relationship Id="rId650" Type="http://schemas.openxmlformats.org/officeDocument/2006/relationships/hyperlink" Target="https://advance.lexis.com/api/document?collection=cases-ca&amp;id=urn:contentItem:5F7T-S7G1-JBT7-X484-00000-00&amp;context=" TargetMode="External" /><Relationship Id="rId651" Type="http://schemas.openxmlformats.org/officeDocument/2006/relationships/hyperlink" Target="https://advance.lexis.com/api/document?collection=cases-ca&amp;id=urn:contentItem:5F7T-S771-JWBS-61TF-00000-00&amp;context=" TargetMode="External" /><Relationship Id="rId652" Type="http://schemas.openxmlformats.org/officeDocument/2006/relationships/hyperlink" Target="https://advance.lexis.com/api/document?collection=cases-ca&amp;id=urn:contentItem:5F7T-S7F1-JX3N-B1R5-00000-00&amp;context=" TargetMode="External" /><Relationship Id="rId653" Type="http://schemas.openxmlformats.org/officeDocument/2006/relationships/hyperlink" Target="https://advance.lexis.com/api/document?collection=cases-ca&amp;id=urn:contentItem:5F7V-3DJ1-JF1Y-B20R-00000-00&amp;context=" TargetMode="External" /><Relationship Id="rId654" Type="http://schemas.openxmlformats.org/officeDocument/2006/relationships/hyperlink" Target="https://advance.lexis.com/api/document?collection=cases-ca&amp;id=urn:contentItem:5F7T-S751-JBM1-M2HC-00000-00&amp;context=" TargetMode="External" /><Relationship Id="rId655" Type="http://schemas.openxmlformats.org/officeDocument/2006/relationships/hyperlink" Target="https://advance.lexis.com/api/document?collection=cases-ca&amp;id=urn:contentItem:5F7T-S741-F57G-S205-00000-00&amp;context=" TargetMode="External" /><Relationship Id="rId656" Type="http://schemas.openxmlformats.org/officeDocument/2006/relationships/hyperlink" Target="https://advance.lexis.com/api/document?collection=cases-ca&amp;id=urn:contentItem:5F7T-S7M1-DYMS-629S-00000-00&amp;context=" TargetMode="External" /><Relationship Id="rId657" Type="http://schemas.openxmlformats.org/officeDocument/2006/relationships/hyperlink" Target="https://advance.lexis.com/api/document?collection=cases-ca&amp;id=urn:contentItem:5F7T-S7P1-JCRC-B1YS-00000-00&amp;context=" TargetMode="External" /><Relationship Id="rId658" Type="http://schemas.openxmlformats.org/officeDocument/2006/relationships/hyperlink" Target="https://advance.lexis.com/api/document?collection=cases-ca&amp;id=urn:contentItem:5F7T-S7P1-F2TK-23RT-00000-00&amp;context=" TargetMode="External" /><Relationship Id="rId659" Type="http://schemas.openxmlformats.org/officeDocument/2006/relationships/hyperlink" Target="https://advance.lexis.com/api/document?collection=cases-ca&amp;id=urn:contentItem:5F7T-S7F1-FFFC-B1VX-00000-00&amp;context=" TargetMode="External" /><Relationship Id="rId66" Type="http://schemas.openxmlformats.org/officeDocument/2006/relationships/header" Target="header15.xml" /><Relationship Id="rId660" Type="http://schemas.openxmlformats.org/officeDocument/2006/relationships/hyperlink" Target="https://advance.lexis.com/api/document?collection=cases-ca&amp;id=urn:contentItem:5F16-9351-FFFC-B2W8-00000-00&amp;context=" TargetMode="External" /><Relationship Id="rId661" Type="http://schemas.openxmlformats.org/officeDocument/2006/relationships/hyperlink" Target="https://advance.lexis.com/api/document?collection=cases-ca&amp;id=urn:contentItem:5F16-92X1-JK4W-M2VN-00000-00&amp;context=" TargetMode="External" /><Relationship Id="rId662" Type="http://schemas.openxmlformats.org/officeDocument/2006/relationships/hyperlink" Target="https://advance.lexis.com/api/document?collection=cases-ca&amp;id=urn:contentItem:5F8T-N3S1-JT99-252H-00000-00&amp;context=" TargetMode="External" /><Relationship Id="rId663" Type="http://schemas.openxmlformats.org/officeDocument/2006/relationships/hyperlink" Target="https://advance.lexis.com/api/document?collection=cases-ca&amp;id=urn:contentItem:5F7T-S7P1-F2TK-23RB-00000-00&amp;context=" TargetMode="External" /><Relationship Id="rId664" Type="http://schemas.openxmlformats.org/officeDocument/2006/relationships/hyperlink" Target="https://advance.lexis.com/api/document?collection=cases-ca&amp;id=urn:contentItem:5F7T-S6X1-FCCX-60WD-00000-00&amp;context=" TargetMode="External" /><Relationship Id="rId665" Type="http://schemas.openxmlformats.org/officeDocument/2006/relationships/hyperlink" Target="https://advance.lexis.com/api/document?collection=cases-ca&amp;id=urn:contentItem:5F7T-S7F1-JX3N-B199-00000-00&amp;context=" TargetMode="External" /><Relationship Id="rId666" Type="http://schemas.openxmlformats.org/officeDocument/2006/relationships/hyperlink" Target="https://advance.lexis.com/api/document?collection=cases-ca&amp;id=urn:contentItem:5F7T-S7G1-JNY7-X3VF-00000-00&amp;context=" TargetMode="External" /><Relationship Id="rId667" Type="http://schemas.openxmlformats.org/officeDocument/2006/relationships/hyperlink" Target="https://advance.lexis.com/api/document?collection=cases-ca&amp;id=urn:contentItem:5F7T-S7K1-JNY7-X48K-00000-00&amp;context=" TargetMode="External" /><Relationship Id="rId668" Type="http://schemas.openxmlformats.org/officeDocument/2006/relationships/hyperlink" Target="https://advance.lexis.com/api/document?collection=cases-ca&amp;id=urn:contentItem:5F8T-N3S1-JBDT-B0G0-00000-00&amp;context=" TargetMode="External" /><Relationship Id="rId669" Type="http://schemas.openxmlformats.org/officeDocument/2006/relationships/hyperlink" Target="https://advance.lexis.com/api/document?collection=cases-ca&amp;id=urn:contentItem:5F8N-K711-F1P7-B39G-00000-00&amp;context=" TargetMode="External" /><Relationship Id="rId67" Type="http://schemas.openxmlformats.org/officeDocument/2006/relationships/footer" Target="footer15.xml" /><Relationship Id="rId670" Type="http://schemas.openxmlformats.org/officeDocument/2006/relationships/hyperlink" Target="https://advance.lexis.com/api/document?collection=cases-ca&amp;id=urn:contentItem:5F7T-S791-JCJ5-2532-00000-00&amp;context=" TargetMode="External" /><Relationship Id="rId671" Type="http://schemas.openxmlformats.org/officeDocument/2006/relationships/hyperlink" Target="https://advance.lexis.com/api/document?collection=cases-ca&amp;id=urn:contentItem:5F8T-N3V1-JF75-M3DT-00000-00&amp;context=" TargetMode="External" /><Relationship Id="rId672" Type="http://schemas.openxmlformats.org/officeDocument/2006/relationships/hyperlink" Target="https://advance.lexis.com/api/document?collection=cases-ca&amp;id=urn:contentItem:5F7T-S771-JW5H-X278-00000-00&amp;context=" TargetMode="External" /><Relationship Id="rId673" Type="http://schemas.openxmlformats.org/officeDocument/2006/relationships/hyperlink" Target="https://advance.lexis.com/api/document?collection=cases-ca&amp;id=urn:contentItem:5F7T-S7C1-FGRY-B0D4-00000-00&amp;context=" TargetMode="External" /><Relationship Id="rId674" Type="http://schemas.openxmlformats.org/officeDocument/2006/relationships/hyperlink" Target="https://advance.lexis.com/api/document?collection=cases-ca&amp;id=urn:contentItem:5F8T-N3R1-JJSF-22R9-00000-00&amp;context=" TargetMode="External" /><Relationship Id="rId675" Type="http://schemas.openxmlformats.org/officeDocument/2006/relationships/hyperlink" Target="https://advance.lexis.com/api/document?collection=cases-ca&amp;id=urn:contentItem:5F16-9351-FCYK-2250-00000-00&amp;context=" TargetMode="External" /><Relationship Id="rId676" Type="http://schemas.openxmlformats.org/officeDocument/2006/relationships/hyperlink" Target="https://advance.lexis.com/api/document?collection=cases-ca&amp;id=urn:contentItem:5F16-9341-JF1Y-B3T7-00000-00&amp;context=" TargetMode="External" /><Relationship Id="rId677" Type="http://schemas.openxmlformats.org/officeDocument/2006/relationships/hyperlink" Target="https://advance.lexis.com/api/document?collection=cases-ca&amp;id=urn:contentItem:5F7T-S751-JX3N-B147-00000-00&amp;context=" TargetMode="External" /><Relationship Id="rId678" Type="http://schemas.openxmlformats.org/officeDocument/2006/relationships/hyperlink" Target="https://advance.lexis.com/api/document?collection=cases-ca&amp;id=urn:contentItem:5F8P-SDR1-FCCX-64XF-00000-00&amp;context=" TargetMode="External" /><Relationship Id="rId679" Type="http://schemas.openxmlformats.org/officeDocument/2006/relationships/hyperlink" Target="https://advance.lexis.com/api/document?collection=cases-ca&amp;id=urn:contentItem:5F8P-SDH1-JBDT-B2RM-00000-00&amp;context=" TargetMode="External" /><Relationship Id="rId68" Type="http://schemas.openxmlformats.org/officeDocument/2006/relationships/hyperlink" Target="https://advance.lexis.com/api/document?collection=cases-ca&amp;id=urn:contentItem:5F7T-S7B1-F7ND-G567-00000-00&amp;context=" TargetMode="External" /><Relationship Id="rId680" Type="http://schemas.openxmlformats.org/officeDocument/2006/relationships/hyperlink" Target="https://advance.lexis.com/api/document?collection=cases-ca&amp;id=urn:contentItem:5F81-VJV1-F60C-X2XD-00000-00&amp;context=" TargetMode="External" /><Relationship Id="rId681" Type="http://schemas.openxmlformats.org/officeDocument/2006/relationships/hyperlink" Target="https://advance.lexis.com/api/document?collection=cases-ca&amp;id=urn:contentItem:5F81-VJT1-JF75-M0TP-00000-00&amp;context=" TargetMode="External" /><Relationship Id="rId682" Type="http://schemas.openxmlformats.org/officeDocument/2006/relationships/hyperlink" Target="https://advance.lexis.com/api/document?collection=cases-ca&amp;id=urn:contentItem:5F7T-S7H1-K054-G2BW-00000-00&amp;context=" TargetMode="External" /><Relationship Id="rId683" Type="http://schemas.openxmlformats.org/officeDocument/2006/relationships/hyperlink" Target="https://advance.lexis.com/api/document?collection=cases-ca&amp;id=urn:contentItem:5F8P-SBV1-DYMS-63F9-00000-00&amp;context=" TargetMode="External" /><Relationship Id="rId684" Type="http://schemas.openxmlformats.org/officeDocument/2006/relationships/hyperlink" Target="https://advance.lexis.com/api/document?collection=cases-ca&amp;id=urn:contentItem:5F7T-S7H1-K054-G20G-00000-00&amp;context=" TargetMode="External" /><Relationship Id="rId685" Type="http://schemas.openxmlformats.org/officeDocument/2006/relationships/hyperlink" Target="https://advance.lexis.com/api/document?collection=cases-ca&amp;id=urn:contentItem:5F8N-K6T1-JNS1-M241-00000-00&amp;context=" TargetMode="External" /><Relationship Id="rId686" Type="http://schemas.openxmlformats.org/officeDocument/2006/relationships/hyperlink" Target="https://advance.lexis.com/api/document?collection=cases-ca&amp;id=urn:contentItem:5F8N-K731-F361-M0RG-00000-00&amp;context=" TargetMode="External" /><Relationship Id="rId687" Type="http://schemas.openxmlformats.org/officeDocument/2006/relationships/hyperlink" Target="https://advance.lexis.com/api/document?collection=cases-ca&amp;id=urn:contentItem:5F16-93C1-JWR6-S095-00000-00&amp;context=" TargetMode="External" /><Relationship Id="rId688" Type="http://schemas.openxmlformats.org/officeDocument/2006/relationships/hyperlink" Target="https://advance.lexis.com/api/document?collection=cases-ca&amp;id=urn:contentItem:5F8T-N3T1-JJSF-2372-00000-00&amp;context=" TargetMode="External" /><Relationship Id="rId689" Type="http://schemas.openxmlformats.org/officeDocument/2006/relationships/hyperlink" Target="https://iclr.co.uk/pubrefLookup/redirectTo?ref=11+App.+Cas.+332" TargetMode="External" /><Relationship Id="rId69" Type="http://schemas.openxmlformats.org/officeDocument/2006/relationships/hyperlink" Target="https://advance.lexis.com/api/document?collection=legislation-ca&amp;id=urn:contentItem:5F41-1FH1-F361-M0DT-00000-00&amp;context=" TargetMode="External" /><Relationship Id="rId690" Type="http://schemas.openxmlformats.org/officeDocument/2006/relationships/image" Target="media/image8.png" /><Relationship Id="rId691" Type="http://schemas.openxmlformats.org/officeDocument/2006/relationships/hyperlink" Target="https://advance.lexis.com/api/document?collection=cases-ca&amp;id=urn:contentItem:5F16-9351-JC5P-G1YW-00000-00&amp;context=" TargetMode="External" /><Relationship Id="rId692" Type="http://schemas.openxmlformats.org/officeDocument/2006/relationships/header" Target="header139.xml" /><Relationship Id="rId693" Type="http://schemas.openxmlformats.org/officeDocument/2006/relationships/header" Target="header140.xml" /><Relationship Id="rId694" Type="http://schemas.openxmlformats.org/officeDocument/2006/relationships/footer" Target="footer139.xml" /><Relationship Id="rId695" Type="http://schemas.openxmlformats.org/officeDocument/2006/relationships/footer" Target="footer140.xml" /><Relationship Id="rId696" Type="http://schemas.openxmlformats.org/officeDocument/2006/relationships/header" Target="header141.xml" /><Relationship Id="rId697" Type="http://schemas.openxmlformats.org/officeDocument/2006/relationships/footer" Target="footer141.xml" /><Relationship Id="rId698" Type="http://schemas.openxmlformats.org/officeDocument/2006/relationships/hyperlink" Target="https://advance.lexis.com/api/document?collection=cases-ca&amp;id=urn:contentItem:5F7T-S7F1-DXWW-249G-00000-00&amp;context=" TargetMode="External" /><Relationship Id="rId699" Type="http://schemas.openxmlformats.org/officeDocument/2006/relationships/hyperlink" Target="https://advance.lexis.com/api/document?collection=legislation-ca&amp;id=urn:contentItem:5F3B-BD61-F57G-S176-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01-JF75-M47G-00000-00&amp;context=" TargetMode="External" /><Relationship Id="rId700" Type="http://schemas.openxmlformats.org/officeDocument/2006/relationships/hyperlink" Target="https://advance.lexis.com/api/document?collection=cases-ca&amp;id=urn:contentItem:5FB6-3XS1-FBN1-21VW-00000-00&amp;context=" TargetMode="External" /><Relationship Id="rId701" Type="http://schemas.openxmlformats.org/officeDocument/2006/relationships/hyperlink" Target="https://advance.lexis.com/api/document?collection=legislation-ca&amp;id=urn:contentItem:5VYK-W9X1-FFTT-X0TW-00000-00&amp;context=" TargetMode="External" /><Relationship Id="rId702" Type="http://schemas.openxmlformats.org/officeDocument/2006/relationships/hyperlink" Target="https://advance.lexis.com/api/document?collection=cases-ca&amp;id=urn:contentItem:5F8T-N3V1-JF75-M3JV-00000-00&amp;context=" TargetMode="External" /><Relationship Id="rId703" Type="http://schemas.openxmlformats.org/officeDocument/2006/relationships/hyperlink" Target="https://advance.lexis.com/api/document?collection=cases-ca&amp;id=urn:contentItem:5F8T-N3V1-FC1F-M489-00000-00&amp;context=" TargetMode="External" /><Relationship Id="rId704" Type="http://schemas.openxmlformats.org/officeDocument/2006/relationships/hyperlink" Target="https://advance.lexis.com/api/document?collection=cases-ca&amp;id=urn:contentItem:5F8T-N3V1-FC1F-M49X-00000-00&amp;context=" TargetMode="External" /><Relationship Id="rId705" Type="http://schemas.openxmlformats.org/officeDocument/2006/relationships/hyperlink" Target="https://advance.lexis.com/api/document?collection=cases-ca&amp;id=urn:contentItem:5F8W-V3P1-JWXF-21J7-00000-00&amp;context=" TargetMode="External" /><Relationship Id="rId706" Type="http://schemas.openxmlformats.org/officeDocument/2006/relationships/hyperlink" Target="https://advance.lexis.com/api/document?collection=cases-ca&amp;id=urn:contentItem:5F8T-N3V1-JF75-M3JW-00000-00&amp;context=" TargetMode="External" /><Relationship Id="rId707" Type="http://schemas.openxmlformats.org/officeDocument/2006/relationships/hyperlink" Target="https://advance.lexis.com/api/document?collection=cases-ca&amp;id=urn:contentItem:5F7T-S7F1-F7VM-S428-00000-00&amp;context=" TargetMode="External" /><Relationship Id="rId708" Type="http://schemas.openxmlformats.org/officeDocument/2006/relationships/hyperlink" Target="https://advance.lexis.com/api/document?collection=cases-ca&amp;id=urn:contentItem:5F8T-N3T1-JJSF-23B2-00000-00&amp;context=" TargetMode="External" /><Relationship Id="rId709" Type="http://schemas.openxmlformats.org/officeDocument/2006/relationships/header" Target="header142.xml" /><Relationship Id="rId71" Type="http://schemas.openxmlformats.org/officeDocument/2006/relationships/hyperlink" Target="https://advance.lexis.com/api/document?collection=cases-ca&amp;id=urn:contentItem:5F8T-N3R1-JNS1-M0YN-00000-00&amp;context=" TargetMode="External" /><Relationship Id="rId710" Type="http://schemas.openxmlformats.org/officeDocument/2006/relationships/header" Target="header143.xml" /><Relationship Id="rId711" Type="http://schemas.openxmlformats.org/officeDocument/2006/relationships/footer" Target="footer142.xml" /><Relationship Id="rId712" Type="http://schemas.openxmlformats.org/officeDocument/2006/relationships/footer" Target="footer143.xml" /><Relationship Id="rId713" Type="http://schemas.openxmlformats.org/officeDocument/2006/relationships/header" Target="header144.xml" /><Relationship Id="rId714" Type="http://schemas.openxmlformats.org/officeDocument/2006/relationships/footer" Target="footer144.xml" /><Relationship Id="rId715" Type="http://schemas.openxmlformats.org/officeDocument/2006/relationships/hyperlink" Target="https://advance.lexis.com/api/document?collection=cases-ca&amp;id=urn:contentItem:5F7T-S7K1-DY33-B1WC-00000-00&amp;context=" TargetMode="External" /><Relationship Id="rId716" Type="http://schemas.openxmlformats.org/officeDocument/2006/relationships/hyperlink" Target="https://advance.lexis.com/api/document?collection=cases-ca&amp;id=urn:contentItem:5F7T-S6Y1-F4GK-M1WK-00000-00&amp;context=" TargetMode="External" /><Relationship Id="rId717" Type="http://schemas.openxmlformats.org/officeDocument/2006/relationships/hyperlink" Target="https://advance.lexis.com/api/document?collection=cases-ca&amp;id=urn:contentItem:5F7T-S761-JX8W-M2NY-00000-00&amp;context=" TargetMode="External" /><Relationship Id="rId718" Type="http://schemas.openxmlformats.org/officeDocument/2006/relationships/hyperlink" Target="https://advance.lexis.com/api/document?collection=cases-ca&amp;id=urn:contentItem:5F7T-S701-JJ6S-61FY-00000-00&amp;context=" TargetMode="External" /><Relationship Id="rId719" Type="http://schemas.openxmlformats.org/officeDocument/2006/relationships/hyperlink" Target="https://advance.lexis.com/api/document?collection=cases-ca&amp;id=urn:contentItem:5F7T-S6X1-F7ND-G44R-00000-00&amp;context=" TargetMode="External" /><Relationship Id="rId72" Type="http://schemas.openxmlformats.org/officeDocument/2006/relationships/hyperlink" Target="https://advance.lexis.com/api/document?collection=cases-ca&amp;id=urn:contentItem:5F81-WC31-F5KY-B4VS-00000-00&amp;context=" TargetMode="External" /><Relationship Id="rId720" Type="http://schemas.openxmlformats.org/officeDocument/2006/relationships/hyperlink" Target="https://advance.lexis.com/api/document?collection=cases-ca&amp;id=urn:contentItem:5F7T-S751-JBM1-M2CY-00000-00&amp;context=" TargetMode="External" /><Relationship Id="rId721" Type="http://schemas.openxmlformats.org/officeDocument/2006/relationships/hyperlink" Target="https://advance.lexis.com/api/document?collection=cases-ca&amp;id=urn:contentItem:5F7T-S7D1-FC6N-X0VK-00000-00&amp;context=" TargetMode="External" /><Relationship Id="rId722" Type="http://schemas.openxmlformats.org/officeDocument/2006/relationships/hyperlink" Target="https://advance.lexis.com/api/document?collection=cases-ca&amp;id=urn:contentItem:5F7T-S701-F8KH-X150-00000-00&amp;context=" TargetMode="External" /><Relationship Id="rId723" Type="http://schemas.openxmlformats.org/officeDocument/2006/relationships/hyperlink" Target="https://advance.lexis.com/api/document?collection=cases-ca&amp;id=urn:contentItem:5F7T-S6W1-F7ND-G2KM-00000-00&amp;context=" TargetMode="External" /><Relationship Id="rId724" Type="http://schemas.openxmlformats.org/officeDocument/2006/relationships/hyperlink" Target="https://advance.lexis.com/api/document?collection=cases-ca&amp;id=urn:contentItem:5F7T-S6V1-F2TK-22G9-00000-00&amp;context=" TargetMode="External" /><Relationship Id="rId725" Type="http://schemas.openxmlformats.org/officeDocument/2006/relationships/hyperlink" Target="https://advance.lexis.com/api/document?collection=cases-ca&amp;id=urn:contentItem:5F7T-S7B1-JSRM-60H4-00000-00&amp;context=" TargetMode="External" /><Relationship Id="rId726" Type="http://schemas.openxmlformats.org/officeDocument/2006/relationships/hyperlink" Target="https://advance.lexis.com/api/document?collection=cases-ca&amp;id=urn:contentItem:5F7T-S741-F2F4-G2B9-00000-00&amp;context=" TargetMode="External" /><Relationship Id="rId727" Type="http://schemas.openxmlformats.org/officeDocument/2006/relationships/hyperlink" Target="https://advance.lexis.com/api/document?collection=cases-ca&amp;id=urn:contentItem:5F7T-S751-F361-M0X7-00000-00&amp;context=" TargetMode="External" /><Relationship Id="rId728" Type="http://schemas.openxmlformats.org/officeDocument/2006/relationships/hyperlink" Target="https://advance.lexis.com/api/document?collection=cases-ca&amp;id=urn:contentItem:5F7T-S721-FD4T-B0NK-00000-00&amp;context=" TargetMode="External" /><Relationship Id="rId729" Type="http://schemas.openxmlformats.org/officeDocument/2006/relationships/hyperlink" Target="https://advance.lexis.com/api/document?collection=cases-ca&amp;id=urn:contentItem:5F7T-S781-F900-G0VW-00000-00&amp;context=" TargetMode="External" /><Relationship Id="rId73" Type="http://schemas.openxmlformats.org/officeDocument/2006/relationships/hyperlink" Target="https://advance.lexis.com/api/document?collection=cases-ca&amp;id=urn:contentItem:5F8T-N3P1-FC6N-X1BS-00000-00&amp;context=" TargetMode="External" /><Relationship Id="rId730" Type="http://schemas.openxmlformats.org/officeDocument/2006/relationships/hyperlink" Target="https://advance.lexis.com/api/document?collection=cases-ca&amp;id=urn:contentItem:5F7T-S7D1-JXG3-X0PP-00000-00&amp;context=" TargetMode="External" /><Relationship Id="rId731" Type="http://schemas.openxmlformats.org/officeDocument/2006/relationships/hyperlink" Target="https://advance.lexis.com/api/document?collection=cases-ca&amp;id=urn:contentItem:5F7T-S771-JN14-G27W-00000-00&amp;context=" TargetMode="External" /><Relationship Id="rId732" Type="http://schemas.openxmlformats.org/officeDocument/2006/relationships/header" Target="header145.xml" /><Relationship Id="rId733" Type="http://schemas.openxmlformats.org/officeDocument/2006/relationships/header" Target="header146.xml" /><Relationship Id="rId734" Type="http://schemas.openxmlformats.org/officeDocument/2006/relationships/footer" Target="footer145.xml" /><Relationship Id="rId735" Type="http://schemas.openxmlformats.org/officeDocument/2006/relationships/footer" Target="footer146.xml" /><Relationship Id="rId736" Type="http://schemas.openxmlformats.org/officeDocument/2006/relationships/header" Target="header147.xml" /><Relationship Id="rId737" Type="http://schemas.openxmlformats.org/officeDocument/2006/relationships/footer" Target="footer147.xml" /><Relationship Id="rId738" Type="http://schemas.openxmlformats.org/officeDocument/2006/relationships/hyperlink" Target="https://advance.lexis.com/api/document?collection=cases-ca&amp;id=urn:contentItem:5F7T-S7D1-FCSB-S2XS-00000-00&amp;context=" TargetMode="External" /><Relationship Id="rId739" Type="http://schemas.openxmlformats.org/officeDocument/2006/relationships/hyperlink" Target="https://advance.lexis.com/api/document?collection=legislation-ca&amp;id=urn:contentItem:5F41-1FJ1-JS5Y-B2R3-00000-00&amp;context=" TargetMode="External" /><Relationship Id="rId74" Type="http://schemas.openxmlformats.org/officeDocument/2006/relationships/hyperlink" Target="https://advance.lexis.com/api/document?collection=cases-ca&amp;id=urn:contentItem:5F8T-N3P1-FC6N-X1C4-00000-00&amp;context=" TargetMode="External" /><Relationship Id="rId740" Type="http://schemas.openxmlformats.org/officeDocument/2006/relationships/hyperlink" Target="https://advance.lexis.com/api/document?collection=cases-ca&amp;id=urn:contentItem:5F7T-S741-F7VM-S35M-00000-00&amp;context=" TargetMode="External" /><Relationship Id="rId741" Type="http://schemas.openxmlformats.org/officeDocument/2006/relationships/hyperlink" Target="https://advance.lexis.com/api/document?collection=cases-ca&amp;id=urn:contentItem:5F81-VJV1-JG59-22X2-00000-00&amp;context=" TargetMode="External" /><Relationship Id="rId742" Type="http://schemas.openxmlformats.org/officeDocument/2006/relationships/hyperlink" Target="https://advance.lexis.com/api/document?collection=cases-ca&amp;id=urn:contentItem:5F7T-S741-F1H1-21GW-00000-00&amp;context=" TargetMode="External" /><Relationship Id="rId743" Type="http://schemas.openxmlformats.org/officeDocument/2006/relationships/hyperlink" Target="https://advance.lexis.com/api/document?collection=cases-ca&amp;id=urn:contentItem:5F7T-S7H1-JG02-S37K-00000-00&amp;context=" TargetMode="External" /><Relationship Id="rId744" Type="http://schemas.openxmlformats.org/officeDocument/2006/relationships/hyperlink" Target="https://advance.lexis.com/api/document?collection=cases-ca&amp;id=urn:contentItem:5F7T-S731-F60C-X18B-00000-00&amp;context=" TargetMode="External" /><Relationship Id="rId745" Type="http://schemas.openxmlformats.org/officeDocument/2006/relationships/header" Target="header148.xml" /><Relationship Id="rId746" Type="http://schemas.openxmlformats.org/officeDocument/2006/relationships/header" Target="header149.xml" /><Relationship Id="rId747" Type="http://schemas.openxmlformats.org/officeDocument/2006/relationships/footer" Target="footer148.xml" /><Relationship Id="rId748" Type="http://schemas.openxmlformats.org/officeDocument/2006/relationships/footer" Target="footer149.xml" /><Relationship Id="rId749" Type="http://schemas.openxmlformats.org/officeDocument/2006/relationships/header" Target="header150.xml" /><Relationship Id="rId75" Type="http://schemas.openxmlformats.org/officeDocument/2006/relationships/hyperlink" Target="https://advance.lexis.com/api/document?collection=cases-ca&amp;id=urn:contentItem:5F7T-S711-F4W2-619X-00000-00&amp;context=" TargetMode="External" /><Relationship Id="rId750" Type="http://schemas.openxmlformats.org/officeDocument/2006/relationships/footer" Target="footer150.xml" /><Relationship Id="rId751" Type="http://schemas.openxmlformats.org/officeDocument/2006/relationships/numbering" Target="numbering.xml" /><Relationship Id="rId752" Type="http://schemas.openxmlformats.org/officeDocument/2006/relationships/styles" Target="styles.xml" /><Relationship Id="rId76" Type="http://schemas.openxmlformats.org/officeDocument/2006/relationships/hyperlink" Target="https://advance.lexis.com/api/document?collection=cases-ca&amp;id=urn:contentItem:5F7T-S781-DYMS-61C9-00000-00&amp;context=" TargetMode="External" /><Relationship Id="rId77" Type="http://schemas.openxmlformats.org/officeDocument/2006/relationships/hyperlink" Target="https://advance.lexis.com/api/document?collection=cases-ca&amp;id=urn:contentItem:5F7T-S711-FJDY-X3BJ-00000-00&amp;context=" TargetMode="External" /><Relationship Id="rId78" Type="http://schemas.openxmlformats.org/officeDocument/2006/relationships/hyperlink" Target="https://advance.lexis.com/api/document?collection=cases-ca&amp;id=urn:contentItem:5F7T-S711-JNY7-X30K-00000-00&amp;context=" TargetMode="External" /><Relationship Id="rId79" Type="http://schemas.openxmlformats.org/officeDocument/2006/relationships/hyperlink" Target="https://advance.lexis.com/api/document?collection=cases-ca&amp;id=urn:contentItem:5F7T-S6W1-JYYX-61TX-00000-00&amp;context=" TargetMode="External" /><Relationship Id="rId8" Type="http://schemas.openxmlformats.org/officeDocument/2006/relationships/header" Target="header3.xml" /><Relationship Id="rId80" Type="http://schemas.openxmlformats.org/officeDocument/2006/relationships/header" Target="header16.xml" /><Relationship Id="rId81" Type="http://schemas.openxmlformats.org/officeDocument/2006/relationships/header" Target="header17.xml" /><Relationship Id="rId82" Type="http://schemas.openxmlformats.org/officeDocument/2006/relationships/footer" Target="footer16.xml" /><Relationship Id="rId83" Type="http://schemas.openxmlformats.org/officeDocument/2006/relationships/footer" Target="footer17.xml" /><Relationship Id="rId84" Type="http://schemas.openxmlformats.org/officeDocument/2006/relationships/header" Target="header18.xml" /><Relationship Id="rId85" Type="http://schemas.openxmlformats.org/officeDocument/2006/relationships/footer" Target="footer18.xml" /><Relationship Id="rId86" Type="http://schemas.openxmlformats.org/officeDocument/2006/relationships/hyperlink" Target="https://advance.lexis.com/api/document?collection=cases-ca&amp;id=urn:contentItem:5F7T-S7C1-JS0R-220J-00000-00&amp;context=" TargetMode="External" /><Relationship Id="rId87" Type="http://schemas.openxmlformats.org/officeDocument/2006/relationships/hyperlink" Target="https://advance.lexis.com/api/document?collection=cases-ca&amp;id=urn:contentItem:5F8T-N3V1-JF75-M3KJ-00000-00&amp;context=" TargetMode="External" /><Relationship Id="rId88" Type="http://schemas.openxmlformats.org/officeDocument/2006/relationships/hyperlink" Target="https://advance.lexis.com/api/document?collection=cases-ca&amp;id=urn:contentItem:5F8T-N3P1-K0BB-S0K0-00000-00&amp;context=" TargetMode="External" /><Relationship Id="rId89" Type="http://schemas.openxmlformats.org/officeDocument/2006/relationships/header" Target="header19.xml" /><Relationship Id="rId9" Type="http://schemas.openxmlformats.org/officeDocument/2006/relationships/footer" Target="footer3.xml" /><Relationship Id="rId90" Type="http://schemas.openxmlformats.org/officeDocument/2006/relationships/header" Target="header20.xml" /><Relationship Id="rId91" Type="http://schemas.openxmlformats.org/officeDocument/2006/relationships/footer" Target="footer19.xml" /><Relationship Id="rId92" Type="http://schemas.openxmlformats.org/officeDocument/2006/relationships/footer" Target="footer20.xml" /><Relationship Id="rId93" Type="http://schemas.openxmlformats.org/officeDocument/2006/relationships/header" Target="header21.xml" /><Relationship Id="rId94" Type="http://schemas.openxmlformats.org/officeDocument/2006/relationships/footer" Target="footer21.xml" /><Relationship Id="rId95" Type="http://schemas.openxmlformats.org/officeDocument/2006/relationships/hyperlink" Target="https://advance.lexis.com/api/document?collection=cases-ca&amp;id=urn:contentItem:5F7T-S771-JWBS-61JD-00000-00&amp;context=" TargetMode="External" /><Relationship Id="rId96" Type="http://schemas.openxmlformats.org/officeDocument/2006/relationships/hyperlink" Target="https://advance.lexis.com/api/document?collection=cases-ca&amp;id=urn:contentItem:5F8T-N3T1-JFKM-652N-00000-00&amp;context=" TargetMode="External" /><Relationship Id="rId97" Type="http://schemas.openxmlformats.org/officeDocument/2006/relationships/hyperlink" Target="https://advance.lexis.com/api/document?collection=cases-ca&amp;id=urn:contentItem:5F8T-N3V1-FC1F-M3WV-00000-00&amp;context=" TargetMode="External" /><Relationship Id="rId98" Type="http://schemas.openxmlformats.org/officeDocument/2006/relationships/hyperlink" Target="https://advance.lexis.com/api/document?collection=cases-ca&amp;id=urn:contentItem:5F7T-S741-FJM6-61PW-00000-00&amp;context=" TargetMode="External" /><Relationship Id="rId99" Type="http://schemas.openxmlformats.org/officeDocument/2006/relationships/header" Target="header2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Boren v. Vancouver Resource Society for the Physically Disabled, [2002] B.C.J. No. 1831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115050110</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