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Dhillon v. Singer, [2017] B.C.J. No. 496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15-19, 22-26, November 15 and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M120522, M137976, M137977, M142706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2017 BCSC 414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Nirmal Kaur Dhillon, Plaintiff, and Melissa Heidi Singer, Defendant And between Nirmal Kaur Dhillon, Plaintiff, and Sukhminder Singh Gill, Defendant And between Nirmal Kaur Dhillon, Plaintiff, and Kulwinder Singh Hare, Defendant And between Nirmal Kaur Dhillon, Plaintiff, and Balwinder Kaur Gill,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(203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M.S.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S.L. Markovich.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May 10, 2017;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CIRCUMSTANCES OF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BEFORE THE ACCIDENTS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IMPACT OF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Bridging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Husband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and Ongoing Pain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Hershler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Leith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 Symptoms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Lu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ASSESSING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and Reliability of the Plaintiff's Evidence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Injuries and Symptoms Were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LOSS OF CAPACITY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M.L. FLEMING J."/>
            <w:bookmarkEnd w:id="2"/>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Nirmal Kaur Dhillon seeks damages in relation to three motor vehicle accidents that occurred on March 18, 2010, May 17, 2012 and July 5, 2013. Each accident involved the plaintiff being hit from behind while stopped in her husband's black Nissan Sentra. The defendants involved in the first and third accidents admit their liability. Those involved in the second accident do not and applied at the trial to withdraw admissions contained in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not disputed that the first accident caused soft tissue injuries to the plaintiff's neck, upper back and right shoulder. According to Mrs. Dhillon, those injuries resulted in significant ongoing pain, headaches and disturbed sleep. She alleges the second and third accidents aggravated those injuries and caused additional soft tissue injuries to her left shoulder and upper back, as well as to her low back, resulting in additional and further ongoing pain, headaches, sleep disruption, fatigue and psychological symptoms including low mood, anxiety, irritability and poor concentration. Despite various forms of physical therapy and some active rehabilitation after the accidents, Mrs. Dhillon states her condition has not improved significantly and has impaired her functioning at work and at home. She contends her pain and psychological symptoms are now chronic and her current limitations are likely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accept the soft tissue injuries the plaintiff suffered in the first accident likely "spread" to her left shoulder, upper back and low back following the second and third accidents. They also accept the plaintiff experienced mood symptoms after the third accident although not until months later. They do not dispute that the plaintiff was unable to work for some time following the first and third accidents. The defendants argue however any ongoing symptoms she may have are "entirely subjective" and not functionally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44 years old. She and her husband have two children. At the time of the first accident in March 2010, Mrs. Dhillon was employed as a parking lot attendant. She returned to work at the end of July 2010, but alleges she was unable to work full-time because of ongoing symptoms. In January 2012, she enrolled in a pharmacy assistant diploma program. In September 2012, after graduating, the plaintiff found employment as a pharmacy assistant with Community Outreach Pharmacy and Canadian Superstore. She stopped working for Canadian Superstore in May 2013 and alleges ongoing symptoms have prevented her from working more than 32-34 hours per week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2014, Community Outreach offered to sponsor Mrs. Dhillon's enrollment in a program that would have upgraded her from a pharmacy assistant to a pharmacy technician, as well as a position as a pharmacy technician earning significantly more per hour, once she qualified. Mrs. Dhillon declined the offer, expressing concern her ongoing symptoms would prevent her from completing the program while continuing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claim for damages includes non-pecuniary damages, damages for past and future loss of earning capacity, the cost of future care, loss of housekeeping capacity and special damages. The defendants take the position her past loss of capacity is limited to two periods of disability after the first and third accidents and her future earning capacity has not been impaired. They also submit Mrs. Dhillon's damages should be reduced for failing to mitigate because she did not comply with or fully participate in a number of recommended treatments including injections, physical therapies and home based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Circumstances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drivers in the first and third accidents gave evidence to establish the minor nature of those collisions and the minimal damage to the vehicles involved, no doubt to suggest the plaintiff's injuries must have therefore also been minor. I note that in a number of cases the court has determined the extent of the damage to a vehicle does not give rise to an assumption about the consequences for its occupant. Here there is no evidence that the forces involved in the three accidents were inconsistent with or could not have caused the injuries and symptoms alleged by Mrs. Dhillon (see: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2012 BCSC 696</w:t>
        </w:r>
      </w:hyperlink>
      <w:r>
        <w:rPr>
          <w:rFonts w:ascii="arial" w:eastAsia="arial" w:hAnsi="arial" w:cs="arial"/>
          <w:color w:val="000000"/>
          <w:sz w:val="20"/>
          <w:lang w:val="en-US" w:eastAsia="en-US" w:bidi="ar-SA"/>
        </w:rPr>
        <w:t xml:space="preserve"> at para. 83; </w:t>
      </w:r>
      <w:r>
        <w:rPr>
          <w:rFonts w:ascii="arial" w:eastAsia="arial" w:hAnsi="arial" w:cs="arial"/>
          <w:i/>
          <w:color w:val="000000"/>
          <w:sz w:val="20"/>
          <w:lang w:val="en-US" w:eastAsia="en-US" w:bidi="ar-SA"/>
        </w:rPr>
        <w:t>Tarzwell v. Ewashina</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2011 BCSC 1464</w:t>
        </w:r>
      </w:hyperlink>
      <w:r>
        <w:rPr>
          <w:rFonts w:ascii="arial" w:eastAsia="arial" w:hAnsi="arial" w:cs="arial"/>
          <w:color w:val="000000"/>
          <w:sz w:val="20"/>
          <w:lang w:val="en-US" w:eastAsia="en-US" w:bidi="ar-SA"/>
        </w:rPr>
        <w:t xml:space="preserve"> at para. 51; and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para. 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morning of March 18, 2010, the plaintiff was stopped at a red light on King George Highway at the intersection with 76th Avenue in Surrey, BC when her vehicle was hit from behind. She described feeling a jolt, her vehicle moving forward about two feet, and her body moving backward and then forward. Mrs. Dhillon said she felt extremely nervous and her body was shaking. The defendant driver, Melissa Singer apologized at the scene and they exchanged information. The plaintiff noticed a small dent and scratch to the back of her vehicle which was new at the time. The repair estimate prepared by ICBC was for $625.70.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Singer gave a similar account. She testified to stopping her vehicle in the left hand lane because of a red light. When she saw cars beside her in the left turning lane move forward, she took her foot off the brake and rolled into the back of the plaintiff's vehicle which had been stopped about one third of a car length ahead. Ms. Singer said she braked before the collision, estimating her vehicle was travelling two to three km/h at the time. She also gave evidence the impact or "bump" caused the plaintiff's car to move forward very little, perhaps one or two feet. Ms. Singer said the plaintiff seemed distraught, but declined her offer to call emergency vehicles or follow her to the hospital. A repair estimate of $429.40 was prepared by ICBC regarding the damage to Ms. Singer's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the second accident occurred on May 17, 2012 around 3:30 p.m. on 124th Avenue at 69th Avenue in Surrey, BC in front of the Khalsa School. Mrs. Dhillon was driving from home to pick up her daughter from the primary school. She described a "flag man" from the school controlling traffic on the road at the time. He directed her to stop, which she did, planning to turn left into the parking lot. The rear of her vehicle was then "impacted with force" by a vehicle she described as a grey Pontiac. Again, she recalled her body moving backward and forward. Mrs. Dhillon said she became nervous and disoriented and did not know what to do. The "flag man" told her to drive into the school parking lot. The grey Pontiac followed behind her. She did not speak to the other driver who she described as an Indian woman wearing an Indian suit. Instead, the "flag man" wrote the license plate number for the Pontiac on a piece of paper and provided it to her. Mrs. Dhillon said she did not speak to the "flag man" after that day other than to say hello to him when she saw him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Dhillon described the damage to her vehicle as "slight". She did not report the second accident to ICBC until May 2013. She said the delay was due to a mix up with her lawyer about who was supposed to make the report. No repairs were done to her vehicle until after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Arshbir Singh was the person Mrs. Dhillon identified as the "flag man". He was controlling traffic in front of the Khalsa School on the day of the second accident. At the time he was the head teacher at the school. Mr. Singh explained that teachers directed traffic on 124th Avenue at the end of each school day between 3:15 p.m. and 3:45 p.m. One of his responsibilities was managing their traffic duties. He would perform the task himself however when teachers were busy. At the end of the school day on May 17, 2012, he was standing on the yellow line separating the two lanes of traffic on 124th Avenue in front of the school, flagging cars entering and leaving the parking lot. He recalled directing a driver to stop which she did before being hit from behind by another car one or two minutes later. Mr. Singh remembered hearing the sound of the impact and noticing the driver of the first car looking puzzled. He said he told her he would check for damage and information which he did, along with directing her and the other driver to the parking lot. He did not speak to the other driver any further. Mr. Singh confirmed the plaintiff's evidence that he provided her with a piece of paper that recorded the license plate number for the second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Singh had a limited memory of the second driver and both vehicles, specifying they were cars, not vans or SUVs and he thought the second car was grey in colour. He said the driver of the grey car was also an Indian woman. He also remembered the driver of the first car, the plaintiff, asking him to be a witness and he agreed. Mr. Singh testified that she asked him again later, which the plaintiff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Sukhminder Singh Gill and Balwinder Kaur Gill, who are husband and wife, are the defendants in the second and third actions which relate to the second accident. They did not testify. Although both denied liability for the accident, their amended pleadings also admitted Mrs. Gill was driving a vehicle owned by Mr. Gill when she was involved in the second accident as alleged by the plaintiff. At the outset of the trial, Mr. and Mrs. Gill made an application to amend their pleadings. A revised application to withdraw their admissions was heard on the third day of trial. Their affidavit evidence established a chronology but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reported the second accident to ICBC on May 6, 2013 including the license plate number 243LGG. In a letter to her counsel, dated May 8, 2013, ICBC identified Sukhminder Gill as the registered owner and driver of a grey 2004 Pontiac Sunfire. On May 17, 2013 Sukhminder Gill reported to ICBC that the front of that same vehicle was struck while parked in a cousin's driveway on the day of the second accident at 3:30 p.m. The accident details in her Claim File Report include "visiting cousin". The report lists the third party driver, owner and vehicle as the plaintiff, her husband and the black Nissan Sentra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 written statement dated May 22, 2013 provided through an interpreter, Mrs. Gill said that on the day of the second accident she parked her husband's grey Pontiac Sunfire close to the Khalsa School in her cousin's driveway behind an empty van. She walked to the school to pick up her children and then returned with another mother and her children who got into the van. The van then reversed into her husband's vehicle. According to Mrs. Gill, the woman apologized and said, "Either fix it and I will pay you, or go to ICBC." Mrs. Gill said she did not take down any information because the woman was in a hurry. Mrs. Gill also stated the woman came to her house the next day. Mrs. Gill told her she and her husband had decided his vehicle was not worth repairing. She indicated she had not seen the woman for a long time stating, "I think her baby is out of that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13, 2013 the plaintiff filed a notice of civil claim naming Mr. Sukhminder Gill as the owner and operator of the vehicle involved in the second accident. At her first examination for discovery on July 3, 2013, Mrs. Dhillon referred to a volunteer flag person providing her with the plate number for the vehicle that hit her vehicle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January 28, 2014, the plaintiff's counsel was advised that Sukhminder Gill was the registered owner of the vehicle involved in the second accident and the driver was (Mrs.) Balwinder Gill. The letter asked that her pleadings be amended accordingly. However, on March 13, 2014, Mr. Gill filed a response to civil claim in which he identified himself as "she" and denied liability, but admitted the vehicle "she" was operating was involved in a collision with the plaintiff on or about May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29, 2014, the plaintiff filed a separate notice of civil claim identifying Mrs. Gill as the driver involved in the second accident. On September 19, 2014, Mrs. Gill filed a response to civil claim in which she denied liability, but admitted to operating the vehicle involved in a collision with the plaintiff on the day of the second accident. On October 17, 2014, the plaintiff filed an amended notice of civil claim identifying Mr. Gill as the owner of the vehicle involved in the second accident. Neither of the responses set out a different location or circumstances for the collision from those alleged in the notices and amended notices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21, 2016, plaintiff's counsel provided the defendants' counsel with Mr. Singh's contact information, by email. On August 11, 2016, Mrs. Gill was examined for discovery. At that point counsel for the plaintiff was informed of her written statement to ICBC. In submissions, counsel for the defendants advised the court she did not receive Mrs. Gill's statement to ICBC until July 6, 2016 and its production was again delayed by further inadvertence.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strongly opposed Mr. and Mrs. Gill's application to withdraw their admissions, arguing the long delay had caused her significant prejudice by depriving her of the opportunity to investigate Mrs. Gill's version of events and to plead, in the alternative, the second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driver. She also suggested that counsel for the defendants could not act for ICBC as the nominal defendant if the Gills' application was granted and the plaintiff's pleadings amended. The defendants agreed with this last point and acknowledged that if the admissions were withdrawn the trial would have to be adjourned, if not a mistrial declared. No submissions were made regarding the implications for the plaintiff arising from the requirements of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Allowing the withdrawal of an admission is discretionary. The legal test is whether there is a triable issue which in the interests of justice should be determined on the merits and not disposed of by an admission of facts. The factors to be considered were set out in </w:t>
      </w:r>
      <w:r>
        <w:rPr>
          <w:rFonts w:ascii="arial" w:eastAsia="arial" w:hAnsi="arial" w:cs="arial"/>
          <w:i/>
          <w:color w:val="000000"/>
          <w:sz w:val="20"/>
          <w:lang w:val="en-US" w:eastAsia="en-US" w:bidi="ar-SA"/>
        </w:rPr>
        <w:t>Hamilton v. Ahmed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[1999] B.C.J. No. 311</w:t>
        </w:r>
      </w:hyperlink>
      <w:r>
        <w:rPr>
          <w:rFonts w:ascii="arial" w:eastAsia="arial" w:hAnsi="arial" w:cs="arial"/>
          <w:color w:val="000000"/>
          <w:sz w:val="20"/>
          <w:lang w:val="en-US" w:eastAsia="en-US" w:bidi="ar-SA"/>
        </w:rPr>
        <w:t xml:space="preserve"> at para. 11 (S.C.), and cited more recently in </w:t>
      </w:r>
      <w:r>
        <w:rPr>
          <w:rFonts w:ascii="arial" w:eastAsia="arial" w:hAnsi="arial" w:cs="arial"/>
          <w:i/>
          <w:color w:val="000000"/>
          <w:sz w:val="20"/>
          <w:lang w:val="en-US" w:eastAsia="en-US" w:bidi="ar-SA"/>
        </w:rPr>
        <w:t>Sidhu v. Hothi</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2013 BCSC 1753</w:t>
        </w:r>
      </w:hyperlink>
      <w:r>
        <w:rPr>
          <w:rFonts w:ascii="arial" w:eastAsia="arial" w:hAnsi="arial" w:cs="arial"/>
          <w:color w:val="000000"/>
          <w:sz w:val="20"/>
          <w:lang w:val="en-US" w:eastAsia="en-US" w:bidi="ar-SA"/>
        </w:rPr>
        <w:t xml:space="preserve">, aff'd </w:t>
      </w:r>
      <w:hyperlink r:id="rId18" w:history="1">
        <w:r>
          <w:rPr>
            <w:rFonts w:ascii="arial" w:eastAsia="arial" w:hAnsi="arial" w:cs="arial"/>
            <w:i/>
            <w:color w:val="0077CC"/>
            <w:sz w:val="20"/>
            <w:u w:val="single"/>
            <w:shd w:val="clear" w:color="auto" w:fill="FFFFFF"/>
            <w:lang w:val="en-US" w:eastAsia="en-US" w:bidi="ar-SA"/>
          </w:rPr>
          <w:t>2014 BCCA 510</w:t>
        </w:r>
      </w:hyperlink>
      <w:r>
        <w:rPr>
          <w:rFonts w:ascii="arial" w:eastAsia="arial" w:hAnsi="arial" w:cs="arial"/>
          <w:color w:val="000000"/>
          <w:sz w:val="20"/>
          <w:lang w:val="en-US" w:eastAsia="en-US" w:bidi="ar-SA"/>
        </w:rPr>
        <w:t>. They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admission has been made inadvertently, hastily, or without knowledge of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admitted was not within the knowledge of the party making the admission.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admitted is not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admitted is one of mixed fact and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withdrawal of the admission would not prejudice a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has been no delay in applying to withdraw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brief oral reasons, I dismissed the Gills' application, noting their evidence provided no account of what led to their admissions or the considerable delay in making the application, and agreeing the plaintiff would suffer significant prejudice if leave to withdraw the admissions was granted. I note now my concerns about what was absent from Mrs. Gill's statement: it did not include any identifying or contact information for her cousin or the other driver, or any description of the vehicle that allegedly caused the accident, aside from it being a van. In addition, the statement did not explain how the other driver was able to attend the Gills' home the day after the second accident, in the absence of information being exchanged. Based on all of the circumstances, I determined it was not in the interest of justice that the material facts related to the second accident be determined on the merits rather than by way of the defendants'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Accordingly, I am satisfied that Mrs. Gill was driving the grey Pontiac Firefly owned by Mr. Gill when she caused the second accident as described by Mr. Singh and the plaintiff. Their evidence regarding the circumstances was not undermined in cross-examination. Mr. Singh is an independent witness. His inability to provide a detailed description of either vehicle or driver is well-explained by the minor nature of the accident, the demands of directing traffic, the number of parents and students he would have encountered each day given his role at the school, and the passage of time. I conclude Mrs. Gill was negligent when she failed to stop the grey Pontiac Firefly before it collided, likely at a very low speed, with the back of the plaintiff's vehicle while it was stopped and waiting to turn left into the parking lot of the Khalsa School at the direction of Mr. Singh.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third accident occurred on July 5, 2013. Mrs. Dhillon was driving home from work. She stopped for a red light on 88th Avenue behind another vehicle, in the left turning lane. A few seconds later she felt a "significant forceful jolt," but could not say if her vehicle was moved forward by the impact. There is no dispute the accident was caused by Mr. Hare's truck. Mrs. Dhillon said she felt even more nervous than she had after the first two accidents and was "completely" nauseous. In addition to a headache and pain in her neck, upper back and right shoulder, she began to experience excruciating pain in her lower back. She said she did not have the strength to even exchange information with Mr. Hare when he approached her vehicle. Instead, she remained in her vehicle, waiting for her husband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Dhillon testified that his wife called him from the scene of the third accident. She was upset and anxious. He said he was driving to the bank located nearby at the time and arrived within five minutes, parking his car at a nearby plaza. He found his wife sitting inside her vehicle looking anxious and feeling extremely nauseous. He testified that he could tell from her facial expression she was in a great deal of pain. Mr. Dhillon, who works as a truck driver, described Mr. Hare's truck as a large semi with a container. He said he spoke to Mr. Hare and they exchanged information. According to Mr. Dhillon, Mr. Hare told him he had made a mistake and pressed his foot on the gas, instead of the brake, before the collision. Mr. Dhillon was not cross-examined on this point. He also indicated he took some photographs before driving his wife to the doctor's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Hare is the defendant in the fourth action. He also works as a truck driver. He testified that he was driving his truck with an empty trailer from the Delta Port to the truck yard when the third accident occurred. He said he was stopped in the left turning lane behind other vehicles when his foot suddenly released off the brake and the truck rolled forward, hitting the back of the plaintiff's car. In direct examination he said his truck was travelling at one km/h according to the speedometer before the collision. In cross-examination he admitted he did not look at the speedometer, but insisted the truck could not have reached a speed of more than two km/h. He denied the plaintiff's vehicle moved at all with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Contrary to her evidence, he said she left her vehicle after the impact and they both looked to see if there was any damage before exchanging information. He said he noticed only a minor scratch on the rear bumper of the plaintiff's car and no damage to his truck. Mr. Hare said when he suggested she move her car, because the road was busy and people were honking, the plaintiff indicated she would wait for her husband. In contrast to Mr. Dhillon's evidence, Mr. Hare testified that fifteen minutes later he suggested her husband could be lost and provided him with directions over the phone. Mr. Hare denied telling the plaintiff's husband he had put his foot on the accelerator after it came off the brake. In cross-examination he acknowledged the photos of the plaintiff's vehicle taken after the third accident showed far more damage to the rear of the car than a "minor" scratch. The repair estimate was for $1,665.94. He agreed the plaintiff appeared distraught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prefer the evidence of Mrs. Dhillon and her husband where it differs from that of Mr. Hare. His evidence about the speed of his truck and damage to the plaintiff's vehicle was undermined in cross-examination. His testimony about Mr. Dhillon being delayed because he was lost, which was not put to Mr. Dhillon, seems implausible, given he and the plaintiff live in the area. I was left with the impression Mr. Hare was trying to minimize the force of the impact on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Dhillon was born and raised in India. Before immigrating to Canada in 1997, she received a diploma in nursing from a college in Rajasthan. She said that while she was enrolled in her nursing program, she also completed grades 11 and 12. She had finished the first year of a Bachelor of Arts degree and was continuing her studies when she moved to Canada with her parents, sponsored by her brother. Mrs. Dhillon and her husband married in early 2002. Their son was born later that year and their daughter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Dhillon indicated that prior to the accidents she was responsible for all of the household chores, including grocery shopping, cooking, cleaning and laundry, in addition to working full-time or more. She said she was employed for a number of years at Golden Boy Foods packing food products, working up to 50 hours each week. After that, she had two other full-time packing jobs with different companies, before taking a casual position as a parking lot attendant with Imperial Parking in 2008. Mrs. Dhillon said her shifts, some of which she spent in a parking booth and others outside, occurred at a number of sites all over the Lower Mainland. She testified her hours of work were more than full-time in the year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the plaintiff, her only ongoing health problem was psoriasis and she had not experienced any pain in her neck, shoulders or back for two years prior. There were no limits on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Dhillon did not describe any hobbies or personal interests, apart from her love of cooking. She indicated she would walk and jog to keep her weight down, and she and her husband sometimes played badminton and soccer with the children at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Impact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note at this stage the parties agreed to the admission of various clinical records prepared by Mrs. Dhillon's physicians and treatment providers pursuant to a document agreement. The agreement provides that statements recorded in the records are not admissible for their truth.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Dhillon said that almost immediately after the first accident, she experienced some pain in her neck, upper back and right shoulder, and developed a headache. She drove to work that day, however, because she was working alone in a parking lot booth at Surrey Memorial Hospital. Two or three hours later the pain was significant. She left for her doctor's office after someone arrived to replace her. By then, she said, the pain in her right shoulder was radiating into her hand and she had some low back pain which lasted for a month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Her doctor prescribed pain medication and told her to rest. Mrs. Dhillon could not sleep due to the pain and went to see her doctor again. He prescribed sleeping medication and referred her to Sungod Physiotherapy Clinic where she attended 18 sessions. He then referred her to massage therapy followed by a referral to Mountainview Kinesiology for active rehabilitation. She attended only 17 of the 27 kinesiology sessions. Mrs. Dhillon testified that Mountainview provided her with home exercises which she completed mostly every day, but sometimes four or five times a week for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Dhillon's doctor also referred her to Dr. Yao, an orthopaedic surgeon, regarding her right shoulder pain. His letter dated October 27, 2011 described the plaintiff's examination as, "again show[ing] a positive impingement sign with tenderness over the posterolateral shoulder". Dr. Yao recommended treatment options of an injection to the right shoulder bursa or anti-inflammatory medication as-needed for pain control, noting the plaintiff was quite reluctant to having an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Dhillon testified to experiencing "quite significant severe" and ongoing neck, upper back and right shoulder pain that was "too much," as well as frequent headaches until January 1, 2011. By then the pain was mostly moderate, although fluctuating; she experienced headaches four or five days each week. She also testified, however, when she returned to work at the end of July 2010, her pain had come down somewhat to a moderate level. Mrs. Dhillon said that after she started working again, she found the level of pain worsened and her right hand would get tired during shifts. Mrs. Dhillon specified that using the cash register inside the booth and standing outside in the cold and the rain significantly exacerbated her pain symptoms. She said the increased pain also affected her sleep four or five days a week, making her tired. Gradually, she began to experience a low mood involving sadness, irritability and anger as well as anxiety and nausea. After a month and a half of working full-time, she said she started accepting fewer shifts and rejecting outside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January 15, 2012, the plaintiff began the pharmacy assistant program at Vancouver Community College. Before the accident she had planned to take a pharmacy related course given her background in nursing. She testified that the level of pain after the first accident accelerated her plan to retrain because she needed a job that was less physically demanding. Mrs. Dhillon said she told her family doctor she could not carry on as a parking lot attendant and asked him to write a, "good health related note" to submit with her application to the pharmacy program. His note provided she was in good physical and mental health. In cross-examination, the plaintiff insisted her doctor was aware she was continuing to experience significant ongoing pain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indicated that prior to the second accident on May 17, 2012, her pain was still mostly moderate. After beginning the pharmacy assistant course she said she worked one or two shifts for Imperial Parking, but found she could not manage both studying and working due to pain. She stopped accepting shifts and focused on the program. According to Mrs. Dhillon, sitting down to study also caused her more pain. She asserted she had to put in "double time" because she could not study continuously.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Mrs. Dhillon attended the pharmacy assistant program five days a week for four or five hours each day and completed the course work as scheduled on July 12,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the date of the second accident, Mrs. Dhillon said she was still experiencing pain in her neck, upper back and right shoulder. After the accident Mrs. Dhillon drove home from the Khalsa School with her daughter. She remembered developing a headache, feeling nauseous and her body becoming stiff. She also experienced pain in the left and right shoulder and in her upper back. According to the plaintiff, she took two or three days off from school because of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school she found the pain in her right shoulder radiated into her right arm and hand when writing. She also described feeling tired, if not exhausted, at school due to pain and severe headaches four or five times a week. After school each day she went home, took medication and studied. Mrs. Dhillon indicated she had to re-write one or two exams because of pain. Her transcript shows she achieved very high marks in most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pharmacy assistant program also included a one month practicum which she said she completed at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Mrs. Dhillon received her certification she began volunteering at Community Outreach Pharmacy which delivers prescriptions, but does not provide retail pharmacy services. She said she was hired there as a pharmacy assistant two weeks later in September 2012. Her main duties included preparing blister packs, stocking shelves with medications, and logging prescription information into the computer. She started another job as a pharmacy assistant at Superstore a few days later where she also assisted customers and used the cash register.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testified by September 2012, her neck pain had decreased to moderate daily pain, her upper back pain was also mostly moderate and she continued to experience a significant number of headaches. Mrs. Dhillon said she really pushed herself to work a total of 35 to 40 hours a week at both jobs for six or seven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Mrs. Dhillon stated her psychological symptoms worsened after the second accident. She testified that doing the two jobs was very hard and her pain affected her sleep and mood. She felt sad and irritated. She recalled leaving work one day and attending her doctor's office because of her mood. He prescribed an anti-depressant medication which she said she had to stop taking because of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the second accident, Mrs. Dhillon's family doctor had also referred her to Singh Physiotherapy Clinic and Legacies Health for massage therapy and to Dr. Dhawan, a specialist in rehabilitation medicine. She recalled Dr. Dhawan prescribing a compound cream for her to apply every day and medication which she thought was Cipralex to help with sleep. His consultation report dated August 13, 2012 indicates she had tried many medications which were unhelpful. It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on Arthrotec which gives her anxiety. She is on Flexeril 10 mg at night which does help her sleep. Her mood has been irritable, somewhat angry and anxious. She is unable to sleep well at night because her neck is sore and she gets daily headaches. ... Both her shoulders are sore, right worse than left with decreased range of motion and difficulties sleeping on the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Dhawan examined the plaintiff that day. He noted she looked to be in pain. She was clutching her neck frequently and had decreased range of motion in her right shoulder by 20% due to pain. The left shoulder had full range of motion with pain on abduction. He also recorded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posterolateral shoulder tenderness bilaterally and moderate tenderness over the C2 to C6 facets, right more than left. Trapezil and rhomboids had trigger points. Lumbar and thoracic spine was nontender and fully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Dhawan recommended a, "comprehensive treatment program". He agreed with Dr. Yao that a cortisone injection was necessary, but into her cervical facet blocks as well as her shoulder, writing, "[t]he earlier we get her inflammation down and pain improved, the better off she will be." He described the plaintiff as reluctant to undergo injections because a family member had a negative experience, but he asked her to discuss the option with her family doctor. Dr. Dhawan confirmed the plaintiff's evidence that he also prescribed a topical gel and advised her to take Cipralex, for anxiety not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May 2013, she described experiencing a "flare up" for one month or so during which her pain went from moderate to severe and her headaches were more frequent. She said her family doctor recommended she stop working for four weeks. Because she did not want to lose either job, Mrs. Dhillon took two weeks off instead. At that point, however, she gave up her position with Superstore and continued working at Community Outreach because her employer there was very flexible. Although full-time hours were available at Community Outreach, Mrs. Dhillon was permitted to start late on days when she had not slept well, and leave early or even miss work if she was in pain. She also indicated she could sit sometimes at Community Outreach, but not at Superstore.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indicated she continued to perform her home exercises either daily or four or five times a week for about 30 minutes; although, she also said there were so many of them she did not do all of them every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third accident occurred on July 5, 2013. As discussed, the plaintiff's husband drove her directly to her doctor's office. Mrs. Dhillon said the pain in her neck, upper back, right shoulder and low back was even worse by then. She recalled he provided her with some kind of medication and described all of her symptoms 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family doctor again referred her to a number of physical therapies, including physiotherapy at Sungod Physiotherapy Clinic. The therapist's clinical record for November 22, 2013 noted Mrs. Dhillon found the treatment relieved her symptoms for two to three days. Subsequent entries describe the plaintiff as non-compliant with home exercises until late March 2014. An entry on April 10, 2014 states she reported that she had started doing her home exercises and was feeling better. In cross-examination Mrs. Dhillon denied she was feeling better then, suggesting what she meant to tell the therapist was she had experienced some temporary relief. The plaintiff missed three appointments in April 2014 and cancelled the last one on May 1, 2014. The clinical record for the last appointment she attended, dated April 24, 2014, indicates the physiotherapist encouraged her to do more home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May 2014, she received massage therapy at Legacies Health Centre which she testified was not helpful. In June 2014 she started chiropractic treatment at the same centre. The clinical records of the chiropractor describe her as failing to comply with home exercises. His record for August 27, 2014 indicates she struggled to demonstrate the exercises. On September 29, 2014, he referred to her pain as improved with intermittent exercise compliance. On October 10, 2014, he described the plaintiff as continuing to be intermittently compliant with home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Shortly after the last chiropractic session, the plaintiff began attending an active rehabilitation program with Legacies Health Centre. At the first appointment on October 29, 2014, the kinesiologist noted limitations in Mrs. Dhillon's neck and shoulder range of motion. Her subjective symptoms were stiffness in the neck, shoulders and upper back, and headaches when her neck was really stiff. On November 15, 2014, he described her as very deconditioned.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September 2014, Mrs. Dhillon was referred to the Change Pain Clinic. The clinical records indicate she reported constant, sometimes burning neck and shoulder pain, and occasional pain in the back of the head and low back. The attending physician recommended a series of trigger point injections with a saline solution. Mrs. Dhillon testified, however, that by the time of the appointment, her pain had decreased somewhat and she had received injection(s) at Surrey Memorial Hospital instead. This involved attending the emergency department on one occasion in June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her direct examination, the plaintiff testified that her physical symptoms after the third accident progressed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low back pain was at its worst in 2014. In 2015 it fluctuated from moderate to severe, sometimes less. By the trial date it was mostly moderate, but sometimes less and sometimes more.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neck pain remained severe every day until 2014. Since then it has remained mostly moderate. Sometimes it is less, but it becomes severe when she is tired.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upper back pain on both sides was also severe and remained so most days until the end of 2014 when it reduced to moderate levels, increasing with activity and decreasing occasionally.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right shoulder pain remained severe and radiated into her right arm quite often. In 2015 it became mostly moderate, worsening with fatigue and activities involving her right hand such as computer work or holding her purse. The radiating pain now ranges from mild to moderate.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pain caused severe headaches in 2014. Since 2015 she has experienced headaches three to five days a week ranging from mild to moderate. They are still occasionally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Dhillon also testified that after the third accident her sleep was very disrupted due to pain most nights until the beginning of 2016. Since then the problem occurs two to four days a week, but sometimes she does sleep well. At the same time, Mrs. Dhillon said she is tired every day which affects her energy and makes her irritable. She gets "mad" at her children and feels irritated at work, but she does not show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Dhillon described her psychological symptoms as far worse after the third accident. In October 2013, she began to receive treatment from Dr. Rajreet Sidhu, a psychiatrist. Mrs. Dhillon said at first Dr. Sidhu recommended trying to manage without medication by spending time at the temple, walking and going to the movies. This helped a bit, she said, but she continued to suffer from poor sleep, fatigue, irritability, low mood, anxiety and problems with concentration, as well as memory issues. She testified that by January 2014, her mood was extremely low and she had started experiencing "extreme"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that point Dr. Sidhu prescribed an anti-depressant medication. The plaintiff recalled it being something other than Pristiq which she has taken for some time. Mrs. Dhillon testified that Pristiq has helped her somewhat. Her mood is better although it is still sometimes low, and she continues to feel anxious in response to pain. She also finds she is a little less forgetful. In cross-examination she agreed she is able to focus better with Pristiq. She did not deny reporting to Dr. Lu, whose opinion evidence is discussed below, that Pristiq had improved her sleep and she had more energy, although she also suggested she was having a good day when she met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clinical records include a letter from Dr. Sidhu to the plaintiff's family doctor dated January 30, 2015, clarifying the plaintiff was initially prescribed Effexor XR to treat depressive symptoms, but due to side effects, Pristiq was prescribed instead. Dr. Sidhu described the plaintiff's mood that day as continuing to be "good," her sleep and appetite as intact, and noted, "she is able to function well at work". Unfortunately, Mrs. Dhillon was not confronted with this account although it is clearly inconsistent with her evidence regarding her symptoms at that time. Dr. Sidhu's most recent clinical record is dated April 15, 2016. It sets out a more positive account of the plaintiff's recent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March 25/16-alternate days 50 mg Pristiq. Has been doing well. Mood-good. Sleep and app[etite] good. Wants to cont[inue] taking alternate days afraid of having a relapse. Has 4-month supply if she takes on alternate days. Du and I reviewed sx to watch for. Coping well at the present time. Will [follow up] in 3 months/early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Again, Mrs. Dhillon was not confronted with the entry. The plaintiff testified, however, that in 2016 Dr. Sidhu suggested she decrease her dose of Pristiq somewhat, consistent with an improvement in her psychological condition. The plaintiff also gave evidence, which I accept, her symptoms worsened after decreasing the medication. Mrs. Dhillon indicated when she last saw Dr. Sidhu in June or July 2016 she advised her to increase the dose to its previous level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Mrs. Dhillon was away from work for about four months after the third accident, based on her doctor's recommendation. She said she rested at home, took medication and attended physical therapy. According to the plaintiff, after she returned to Community Outreach on November 5, 2013, she was only able to work about 32 to 34 hours each week over five days. She also described working six or six and half hours each day on average. Mrs. Dhillon testified her pain increased from moderate to severe most of the time until the end of 2015, but her work hours remained about the same. She also testified that she has occasionally worked a full day, but she could not recall how often or when, indicating that when she has felt "good" she has worked "to the maximum". She estimated that she may have taken three or four whole days off due to pain since November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Mrs. Dhillon also missed time from work during a trip to India from the end of November 2014 up to an including part or all of January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Bridging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Mrs. Dhillon testified about her decision to forgo an opportunity in 2014 to complete an on-line program referred to as the "Bridging Program" offered by the Province that was designed to upgrade pharmacy assistants to regulated pharmacy technicians. The Bridging Program ended in December 2015. She understood it would have taken about one year to complete and she met the entrance requirements, which included a pharmacy assistant diploma, 2,000 hours of work experience, and a criminal record clearance. Her employer offered to pay all the fees and expenses for the program and a job as a pharmacy technician once she finished. Mrs. Dhillon said she was extremely happy about the offer, but afraid her pain and psychological symptoms would prevent her from successfully completing the program while continuing to work. She filled out the application but never enrolled, stating she did not want to risk wasting her employer's money. In cross-examination, Mrs. Dhillon readily agreed her employer would have allowed her to work less to facilitate her completion of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identified a number of tasks she performs as a pharmacy assistant that worsen her symptoms. Working at the computer increases her neck and back pain and makes her right hand tired; preparing blister packs which involves looking down while standing and prolonged concentration, strains her neck and increases her level of pain; preparing compounded medications, as well as stocking and shelving medications, which sometimes require reaching overhead, also exacerbate her pain symptoms. Mrs. Dhillon explained that accuracy in the pharmacy is critically important to patient health. She said she tries very hard not to make errors, but finds she loses concentration over the course of the work day due to pain and fatigue. This in turn causes her anxiety. Mrs. Dhillon stated she has continued to work 32-34 hours per week due to pain, fatigue and loss of concentration. Her employer has remained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cross-examination Mrs. Dhillon agreed her employer had given her responsibilities in addition to those performed by other pharmacy assistants, such as collecting payments and handling cash. She acknowledged all of her treating doctors encouraged her to work as much as she could and indicated she too saw this as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Mrs. Dhillon also gave evidence about the impact of her injuries on her ability to complete household chores. Since the first accident, she said, she has been unable to vacuum and has trouble with heavier or more physically demanding household tasks such as carrying laundry, moving wet clothes to the dryer, cleaning the bath tub, and lifting and washing heavy pots. Her niece lived with the family until 2011 and helped a great deal. Since then her husband has done the chores she cannot manage, sometimes with their son's help. Mrs. Dhillon described her love of cooking and preparing special dishes. Since the accident she has continued to cook "daily items" that take less time, but she tries to avoid "long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stated that since the accidents she has also had much less of a social life. She continues to have many friends but rarely sees them, spending the time she has with her family and on occasion her husband's friends. She also indicated she can no longer jog; when she walks she finds it tiring. She says she has tried to play badminton with the children, but finds it too painful to swing the racket over her head. She testified that she still performs exercises at home or during breaks at work, four or five times a week, ten to 20 minutes at a time. She said she sometimes feels better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had continued to take prescription and over the counter medication for pain. Now she relies on Advil and Tylenol which she takes perhaps a few times each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Dhillon testified about the plaintiff's symptoms, their impact on her functioning at home, as well as his attendance at the scene of the third accident. His evidence was relatively brief, but generally consistent with hers. For example, he described his wife as very happy to perform all of the household chores before the accidents. Since then, due to her pain symptoms, he has taken over the heavier tasks she identified with the help of their son to some extent, as well as some of the grocery shopping. Mr. Dhillon testified he could tell from his wife's facial expressions that she was in pain and he has seen her stretching, using a heating pad, taking medication, and applying a rub to sore areas many times. He spoke most vividly about the impact of "severe" pain on her ability to sleep after all three accidents, indicating his own sleep was also "ruined". According to Mr. Dhillon, after the third accident her mood was "off often," meaning irritable. He described her face, "as so turned off" because of pain after work sometimes.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Mrs. Dhillon's direct supervisor Katherine Lucarino also gave evidence. She is the site director of the Delta location for Community Outreach. Ms. Lucarino's many responsibilities include hiring and managing staff. Ms. Lucarino hired the plaintiff in September 2012 after she proved herself during a practicum. Mrs. Dhillon is one of 15 to 20 pharmacy assistants employed by the company, most of whom work full-time and occasional overtime. Ms. Lucarino confirmed that full-time hours which is 40 hours per week, have always been available to the plaintiff. Ms. Lucarino described the plaintiff as a very reliable, loyal, and hardworking employee, and stated that because she is so highly valued, Mrs. Dhillon has been permitted to come and go from the workplace in response to her symptoms. Mrs. Dhillon is trusted to recognize her own limits, bearing in mind the level of accuracy required of pharmacy assistants. Ms. Lucarino said the plaintiff usually arrives between 8:30 and 9:00 a.m. and leaves by 3:30 p.m., but her hours are precisely determined by a time clock. Records arising from the time clock are not in evidence. Mrs. Dhillon is paid hourly for the time she actually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questioned about the extent of her involvement with the plaintiff, Ms. Lucarino said until late 2014 when her office was moved to the front of the pharmacy, she observed and interacted with Mrs. Dhillon every day. Her facial expressions and body movements demonstrated she was in pain. Since late 2014, Ms. Lucarino has typically interacted with the plaintiff two to four times each week. She said Mrs. Dhillon's condition seems to be about the same. Ms. Lucarino recalled offering Mrs. Dhillon a stool to use while filling blister packs and bringing in a set of weights she thought might be helpful. The stool proved to be unrealistic. Ms. Lucarino acknowledged pharmacy assistants spend at least part of their day standing in a bent over position while preparing blister packs, which puts a strain on the neck and back. She confirmed the job requires a very high level of concentration and attention to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Lucarino also confirmed much of the plaintiff's evidence about the Bridging Program, explaining it was introduced by the provincial College of Pharmacists to regulate pharmacy technicians with a view to alleviating some of the work load for pharmacists. Ms. Lucarino said Mrs. Dhillon was one of a few employees Community Pharmacy offered to sponsor along with a job as a pharmacy technician once she completed the program. Ms. Lucarino confirmed the plaintiff was very excited by the opportunity but decided against it, indicating she was concerned about being able to work and complete the program at the same time. Ms. Lucarino agreed, however, the plaintiff could have worked less in order to attend without affecting the offer from Community Pharmacy.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Lucarino was unclear about the specific requirements of the part-time program. The other pharmacy assistants selected for sponsorship continued to work full-time while enrolled. Two of them are about to complete the program and one already has, but is now working elsewhere. Ms. Lucarino indicated pharmacy technicians earn $22 to $25 per hour. Currently, Mrs. Dhillon is paid $16 per hour as a pharmacy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addition to the observations of various treating physicians and physical therapists set out in the clinical records, the parties rely upon the conflicting opinion evidence of independent medical experts regarding the nature and impact of Mrs. Dhillon's ongoing pain and psychological symptoms. Dr. Cecil Hershler, a specialist in physical medicine and rehabilitation retained by the plaintiff, and Dr. Jordan Leith, an orthopaedic surgeon retained by the defendants, provided opinions about her physical injuries and pain symptoms. Psychiatrists Dr. Shaohua Lu, retained by the plaintiff, and Dr. Kevin Solomons, retained by the defendants, provided opinions about her psychological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Soft Tissue Injuries and Ongoing Pain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Hershler prepared four independent medical legal reports dated October 20, 2011, August 8, 2012, January 20, 2014 and May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interviewed and examined the plaintiff for the first time on October 19, 2011, about 18 months after the first accident. She complained of pain on the right side of her neck and on the top of the right shoulder at the limits of extension and rotation. When he examined her, Dr. Hershler observed trigger points in the mid region of the plaintiff's cervical spine and the right upper trapezius muscles. She experienced pain when he palpated the right anterior shoulder capsule and upon raising her right arm in the frontal plane and bringing it to the small of her back. Dr. Hershler opined the first accident caused an injury to the muscles and ligaments of the plaintiff's cervical spine, myofascial injury involving her right trapezius muscle, and injury to her right shoulder capsule. He predicted she would likely remain symptomatic for at least one to two years. He concluded she had difficulty with repetitive physical activities involving her right arm and required assistance with heavier household tasks. For these reasons, he expressed the view she would be unable to work long hours as a parking lot attendant for the foreseeable future and recommended she work half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his report is dated August 8, 2012, Dr. Hershler met with and examined the plaintiff for a second time in early June, not long after the second accident. By then she was close to finishing the pharmacy assistant program. She described an aggravation of previous symptoms on the right side of her neck and across the right shoulder including headaches, as well as new symptoms across the left shoulder and upper back, impacting her sleep and mood. The results of Dr. Hershler's examination of the plaintiff were almost identical to those set out in his first report. The only changes were Mrs. Dhillon had "equal sensations" in both arms, tenderness over her left shoulder capsule and an extension of pain on palpation in the cervical spine upwards toward the C2 and C1 vertebrae. At that time, Dr. Hershler concluded the injuries caused by the first accident had been aggravated by the second accident, which also caused additional injuries involving the left shoulder capsule and upper back. He opined that although the plaintiff was highly motivated to work, the significant pain she was experiencing with movements of her head and neck prevented her from, "returning to gainful employment at this stage". He recommended ongoing physiotherapy to be reassessed in six months. At that point, other treatment could be considered if the physiotherapy was not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Hershler's third report was prepared about six months after the third accident. By then the plaintiff had completed the pharmacy assistant program and had been working since September 2012. The plaintiff rated her pain levels as six to eight out of ten, describing the pain as affecting her sleep and mood and being most severe in her neck. When he examined her, Dr. Hershler found the same and additional trigger or tender points in the plaintiff's neck and shoulders extending down both sides of the spine into her lower back. He indicated it was difficult to offer a definite prognosis because the third accident had occurred only six months earlier. He predicted however, it was likely the plaintiff would continue to be symptomatic for the foreseeable future, given she was still experiencing symptoms when the third accident occurred. Dr. Hershler expressed concern about the plaintiff's ability to continue working 30-35 hours a week if her pain was not effectively managed. He described it as critical that a successful method be found and recommended continuing with physiotherapy because it provided temporary pain relief, as well as a directed home exercise program. At the same time, he encouraged the plaintiff to continue working even in a limited capacity because it provided focus and would assist in stabilizing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During his final examination of the plaintiff on March 29, 2016, Dr. Hershler again found trigger points on both sides of her neck, across the shoulders and down the spine to the low back muscles that were clearly reactive to palpation. In addition he found tenderness to palpation in the lower half of the plaintiff's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During his testimony, Dr. Hershler identified palpation of specific points of the spine, ligaments, and muscle insertions and within various muscles as a crucial part of the physical examination done by physical medicine specialists. He explained that a patient's instinctive or involuntary withdrawal from repeated pressure along with verbal expressions of pain, identify trigger or tender points which often involve localized areas of abnormality within the tissue. Dr. Hershler characterized trigger or tender points as an objective finding. He clarified that during all four of his examinations of the plaintiff she withdrew from pressure and verbalized pain in relation to specific tender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Hershler diagnosed the plaintiff with chronic myofascial pain caused by the combination of the three accidents. His prognosis was the plaintiff would likely remain symptomatic for the foreseeable future, impacting her ability to work. He also wrote, "She may be able to continue working in a limited capacity." He opined it was more likely than not she would have to gradually reduce her work hours and would be unable to work until the "normal retirement age," due to an inability to tolerate pain as she 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During his direct testimony, Dr. Hershler said his predictions were based on his many years of clinical experience treating people with chronic pain, "confirmed by the research". He said he has found 80% of patients recover from soft tissue injuries within two to three years and 10% follow a similar pattern in four to five years. The remaining 10% continue to experience pain. They function, but not fully. Many still work, but usually shorter hours. In cross-examination, Dr. Hershler emphasized he was not aware of any research that would suggest pain experienced for five or six years may later disappear.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Jordan Leith, an orthopaedic surgeon, prepared a report dated June 9, 2013 which was confined to considering the first accident, although prepared shortly after the second accident. He also prepared another report dated July 6, 2016 that responded to those of 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Leith examined the plaintiff on one occasion prior to completing his first report. He found she had full range of motion in her neck and tenderness to palpation over the right deltoid region (around the periscapular and shoulder girdle region) and over the upper trapezius area on both sides, although the tenderness was worse on the right. Unlike Dr. Hershler, Dr. Leith characterized tenderness to palpation demonstrated by a patient withdrawing from pressure and verbalizing pain, as a subjective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first report, he expressed the opinion Mrs. Dhillon sustained a "whiplash associated type disorder resulting in soft tissue pain" on the right side of the neck and shoulder girdle. He wrote that she had "improved," but "subjectively complains of soft tissue pain to the same areas," as well as to the left shoulder region. Noting the absence of any structural injury to the spine and the shoulders or physical abnormality, he expressed the view the plaintiff was physically capable of full function and any limitations were, "related to her subjective experience of pain". Dr. Leith wrote he would "normally" expect the plaintiff's prognosis to be excellent, "following an accident of this nature". He recommended she receive all non-surgical symptomatic treatments that offer "any form of benefit" and that she maintains an active lifestyle and a high level of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response report dated July 6, 2016, Dr. Leith expressed the same opinion, stating: "[i]t remains that Ms. Dhillon most likely sustained a low grade whiplash associated disorder resulting in soft tissue pain about the right side of her neck and right shoulder girdle." He concluded the second accident caused some additional soft tissue pain to the left shoulder girdle region and the upper neck over a small area, which was "not all that significant". Dr. Leith also concluded the second and third accidents had not aggravated any of the plaintiff's symptoms from the previous accident(s), because over time the plaintiff's pain did not increase and Dr. Hershler's examination findings did not change except that the areas involved broadened slightly. Instead, Dr. Leith opined each accident had contributed to the prolonged nature of the plaintiff's soft tissue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He described the plaintiff's prognosis as much better than did Dr. Hershler, noting she was highly motivated and for a number of years had continued to work in a sedentary job and tolerated her symptoms. Dr. Leith disagreed with the suggestion that the plaintiff's condition may worsen as she ages, stating that "statistically and epidemiologically" her symptoms were more likely to settle or become more tolerable with the passage of time. He then went on to state, "[i]t is also </w:t>
      </w:r>
      <w:r>
        <w:rPr>
          <w:rFonts w:ascii="arial" w:eastAsia="arial" w:hAnsi="arial" w:cs="arial"/>
          <w:color w:val="000000"/>
          <w:sz w:val="20"/>
          <w:u w:val="single"/>
          <w:lang w:val="en-US" w:eastAsia="en-US" w:bidi="ar-SA"/>
        </w:rPr>
        <w:t>very</w:t>
      </w:r>
      <w:r>
        <w:rPr>
          <w:rFonts w:ascii="arial" w:eastAsia="arial" w:hAnsi="arial" w:cs="arial"/>
          <w:color w:val="000000"/>
          <w:sz w:val="20"/>
          <w:lang w:val="en-US" w:eastAsia="en-US" w:bidi="ar-SA"/>
        </w:rPr>
        <w:t xml:space="preserve"> likely that if her depression is treated effectively that her symptoms will also settle or </w:t>
      </w:r>
      <w:r>
        <w:rPr>
          <w:rFonts w:ascii="arial" w:eastAsia="arial" w:hAnsi="arial" w:cs="arial"/>
          <w:color w:val="000000"/>
          <w:sz w:val="20"/>
          <w:u w:val="single"/>
          <w:lang w:val="en-US" w:eastAsia="en-US" w:bidi="ar-SA"/>
        </w:rPr>
        <w:t>improve</w:t>
      </w:r>
      <w:r>
        <w:rPr>
          <w:rFonts w:ascii="arial" w:eastAsia="arial" w:hAnsi="arial" w:cs="arial"/>
          <w:color w:val="000000"/>
          <w:sz w:val="20"/>
          <w:lang w:val="en-US" w:eastAsia="en-US" w:bidi="ar-SA"/>
        </w:rPr>
        <w:t xml:space="preserve"> further"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cross-examination, Dr. Leith confirmed he had not reviewed the clinical records of the plaintiff's treating psychiatrist Dr. Sidhu or the medical reports of psychiatrists Dr. Lu or Dr. Solomons discussed below. He acknowledged he did not obtain a detailed history from the plaintiff regarding her psychological symptoms, taking instead a "physical perspective". Dr. Leith agreed subjective pain can prevent a person from functioning and pain with an array of psychological symptoms can be disabling.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Symptoms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Lu is a forensic psychiatrist retained by the plaintiff to complete an independent medical examination. He has considerable experience in assessing and treating patients with complex pain issues and psychological symptoms. His report is dated November 18,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Lu found the plaintiff had at least average psychological resilience, noting she had no history of prior psychological symptoms, had dealt with some significant stressors, including immigration, and had a stable work history as well as healthy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During the interview he observed that Mrs. Dhillon was not particularly pain focused. In relation to her psychological symptoms, she told him that she did not feel depressed after the first accident, but the pain affected her memory and concentration. Her mood began to change shortly after the second accident when she was attending the pharmacy assistant program. She was frustrated by the increased pain. Memory and concentration problems made it even more difficult to focus in school. The plaintiff told Dr. Lu that after the third accident she definitely felt depressed. With increased pain in her neck and lower back, she could not keep up, focus and concentrate at work. By November 2014 she was feeling more depressed and sometimes hopeless because of chronic pain. The plaintiff reported Pristiq had improved her sleep and energy, but not her poor attention and problems with concentration. She told Dr. Lu she continued to experience irritability and anger and found she was more easily stressed. She worried she would never get better and have another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Lu regarded the plaintiff as having difficulty accepting she had depression instead she saw pain as her main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Lu concluded the plaintiff's psychological symptoms were mostly transitory and did not rise to the level of a psychiatric disorder before the third accident, mitigated by family support and personal motivation. In his view, the persistence of pain after the first accident and its impact on the plaintiff's cognition and functioning at work likely caused psychological symptoms which became more entrenched following the third accident in 2013. He opined the mood changes and the anxiety she experienced at that point fully met the criteria for Adjustment Disorder with Anxiety and Mood Features as defined by the Diagnostic and Statistical Manual of Mental Disorders (5th ed.). He identified her physical symptoms as the primary cause of her psychological distress, anxiety and mood changes, but also regarded her adjustment disorder and pain as mutually exacerbating.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Lu concluded the plaintiff's adjustment disorder is now chronic due to the enduring nature of her physical pain. Flowing from this, he predicted the disorder will wax and wane with her physical symptoms and psychosocial stressors, but she will continue to have psychological symptoms as long as she has pain and pain-related functional changes. Further her chronic pain and chronic adjustment disorder will continue to have non-specific impacts on her energy and general sense of psychological wellbeing. He also expressed the opinion she is likely to develop major depression, if her pain worsens. Given she needed anti-depressants to function and has been experiencing pain since 2010, he regarded it as unlikely she would recover or improve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Lu recommended the plaintiff undergo psychological treatment and education to improve her awareness of the interaction between pain and cognitive and psychological symptoms. He also recommended she maintain her general activity level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During cross-examination, Dr. Lu was questioned about how and when it was that the plaintiff met the criteria for an adjustment disorder, given the gradual progression of her symptoms. He disagreed with the suggestion she had not displayed marked distress out of proportion to a stressor or experienced significant impairment in her functioning, which are among the diagnostic criteria. Dr. Lu agreed, however, the plaintiff's level of function exceeded what he would expect of a person with chronic pain and a chronic adjustment disorder. He offered that most people with her profile would work part-time, explaining the plaintiff places a "huge premium" on work. It is central to her sense of self-worth and identity. He clarified that adjustment disorder is not a major mental illness.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retained psychiatrist Dr. Kevin Solomons to conduct an independent medical examination of the plaintiff. His report is dated May 10, 2016. He also prepared a report that responds to Dr. Lu's, dated July 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first report, Dr. Solomons wrote that the plaintiff told him she had no emotional symptoms after the first accident, mild intermittent sadness after the second accident and significant mood symptoms, low energy and concentration difficulties after the third. According to Dr. Solomons she also reported the anti-depressant prescribed had helped and her mood returned to normal, even though her pain persisted. In error, his report identified the first reference to psychiatric issues in the clinical records as occurring in May 2013, when the plaintiff told her family doctor she was having concentration and memory problems, but no mood symptoms. In cross-examination, Dr. Solomons acknowledged the mistake and acknowledged that before preparing the report he had actually highlighted a portion of Dr. Dhawan's record dated August 13, 2012 which noted the plaintiff's mood had started to decline (irritable, somewhat angry and anxious). Regarding her psychological symptoms, Dr. Solomons expressed the opinion that the third accident likely caused the plaintiff to suffer from mild mood symptoms six to nine months later that did not impair her functioning at work or at home and responded rapidly to standard anti-depressant therapy. He accepted the view she expressed to him that her depression was likely triggered by the pain she experienced after the third accident. He recommended the plaintiff discontinue anti-depressant medication at a time when she is free of unusual or extra stress. He was not aware however, the plaintiff reported a negative response to a reduction in Pristiq that occurred after his report was completed. According to Dr. Solomons, the plaintiff's prognosis was good, "because depression is a treatable illness, her depression responded well to treatment and ought to respond well again if she happens to relapse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his response report, Dr. Solomons maintained his opinion and disagreed with Dr. Lu's diagnosis of adjustment disorder. At page 2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Diagnostic criteria for an adjustment disorder are that the person experiences emotional or behavioural symptoms in response to an identifiable stressor that arises within three months of the onset of the stressor and that the symptoms are clinically significant in that they cause marked distress that is disproportionate to the severity or intensity of the stressor and/or cause significant impairment in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Lu does not clearly identify the onset of this disorder, does not make clear why Ms. Dhillon did not meet the diagnostic criteria before 2013 and does not indicate how her presentation meets the diagnostic criteria of disproportionate distress and/or functional impairments at the time of his assessment (since she had been working since 2012 and functioning well in her home and family). In diagnosing her with an adjustment disorder, Dr. Lu does not address her functioning over the previous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Solomons criticized a number of assertions made by Dr. Lu about the interaction between the plaintiff's chronic pain and her cognitive and psychological symptoms, as illogical or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cross-examination, he acknowledged that in providing his opinions, he had mistakenly assumed the plaintiff returned to working full-time without limitations after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Assessing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argues all of her evidence regarding her injuries, treatment and the progression of her symptoms was credible and reliable and asserts that much of it was not meaningfully challenged in cross-examination. She also submits she testified in a "candid and forthright manner," although she struggled at times to articulate her thoughts and feelings, characterizing herself as a "simple person" who sometimes found it difficult to understand and respond to certain questions. She was not combative or non-responsive under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the defendants do not suggest the plaintiff was a dishonest witness, they submit her evidence was unreliable and should not be accepted "without corroboration" or "in the face of conflicting evidence". The defendants describe the plaintiff as a poor historian who could not recall important details about the accidents and her injuries and provided vague evidence on significant issues such as how many shifts she declined after returning to work at Imperial Parking in 2010, the hours she worked at Superstore and Community Outreach between September 2012 and May 2013, and the details of her reduced hours at Community Outreach since then. The defendants suggest employment records demonstrate her evidence was inaccurate on some of these points. They also argue that particular aspects of her testimony were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am guided in my assessment of the plaintiff's evidence by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1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The Court of Appeal emphasized the fundamental test of credibility involves examining how the evidence of a witness accords with the probabilities affecting the case, which a practical and informed person would readily recognize as reasonable "in that place and in those conditions" (at 357). The factors to be considered when assessing the credibility of a witness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22"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Those factors include the ability of the witness to resist the influence of interest to modify his or her recollection; whether the witness's evidence harmonizes with independent evidence that has been accepted; whether the witness changes his or her evidence during direct and cross-examination (or between examination for discovery and trial) or is otherwise inconsistent in recalling events; whether the witness's evidence seems unreasonable, impossible or unlikely; and the witness's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My assessment of the plaintiff's evidence lies somewhere between the positions of the parties. Mrs. Dhillon testified over many days. I accept that she tried her best to accurately recall the progression of her various pain and psychological symptoms over time, as well as other circumstances. In my view, the quality of her testimony was undermined to some extent by the structure of her direct examination. No doubt in an effort to ensure nothing was missed, Mrs. Dhillon was asked to describe separately each symptom using broad categories of pain (severe, moderate and mild) and or its frequency, after each accident, over a number of time frames, and separately from the impact of those symptoms on her ability to function . In other words, her evidence in chief travelled forward and back in time over and over again, addressing one symptom and then another. At the end of her direct examination, Mrs. Dhillon identified what she meant by severe, moderate and mild pain with reference to the commonly used one to ten pain scale. What emerged from this approach was a rather compartmentalized, disintegrated account of what she had experienced over time. When she had the opportunity to provide spontaneous answers, her evidence was more meaningful and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Despite this problem with her testimony, I do not accept the defendants' suggestion the plaintiff has a particularly poor memory. I would find it surprising if anyone involved in three accidents, the first of which occurred six years ago could accurately recall the level pain she felt in discrete areas of her body during various six month or one year increments. Similarly, I am not particularly concerned by the plaintiff's rather vague evidence regarding how much work she refused or missed after the first accident in 2010. Mrs. Dhillon stated, reasonably, she expected some of those particulars to be set out in her employment records. To the extent they are not, the burden of proof will determine whether she has proven aspects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Importantly, the plaintiff's account of the location of her pain and the emergence of other symptoms such as poor sleep and psychological symptoms was generally consistent both internally and externally. Her evidence regarding the impact of her ongoing pain and other symptoms at work and at home was corroborated to some extent by her husband and Ms. Lucarino. Further, as I have indicated, various treating professionals as well as Dr. Hershler made objective findings consistent with complaints of ongoing pain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namely tenderness to palpation and at times restrictions in Mrs. Dhillon's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take a somewhat different view, however, of her testimony regarding the severity of her symptoms over time and her reduced hours of work following the first and third accidents, which I conclude she has overstated. This aspect of my assessment is based largely on inconsistencies in her evidence, some which I have already identified, in addition to some inconsistencies between her evidence and what the employment records show about how much she has actually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assessing Mrs. Dhillon's credibility I have also considered her demeanour to a limited extent. Her testimony occurred over many days to accommodate other witnesses. She displayed occasional signs of physical discomfort consistent with the some pain symptoms. Throughout, she was friendly, engaged and upbeat.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Although the defendants do not argue Mrs. Dhillon was untruthful, they ask the court to draw an adverse inference because she did not call several other lay witnesses including her niece, her parents, her sister or her co-workers to testify about the impact of her injuries and symptoms on her functioning. The defendants suggest given Mr. Dhillon works out of town part of the week and Ms. Lucarino no longer interacts with the plaintiff every day, other family members and colleagues were in the best position to observe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decision to draw an adverse inference is discretionary. However it should not be drawn unless warranted by all the circumstances: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xml:space="preserve"> at paras. 70-73, aff'd </w:t>
      </w:r>
      <w:hyperlink r:id="rId24" w:history="1">
        <w:r>
          <w:rPr>
            <w:rFonts w:ascii="arial" w:eastAsia="arial" w:hAnsi="arial" w:cs="arial"/>
            <w:i/>
            <w:color w:val="0077CC"/>
            <w:sz w:val="20"/>
            <w:u w:val="single"/>
            <w:shd w:val="clear" w:color="auto" w:fill="FFFFFF"/>
            <w:lang w:val="en-US" w:eastAsia="en-US" w:bidi="ar-SA"/>
          </w:rPr>
          <w:t>2013 BCCA 411</w:t>
        </w:r>
      </w:hyperlink>
      <w:r>
        <w:rPr>
          <w:rFonts w:ascii="arial" w:eastAsia="arial" w:hAnsi="arial" w:cs="arial"/>
          <w:color w:val="000000"/>
          <w:sz w:val="20"/>
          <w:lang w:val="en-US" w:eastAsia="en-US" w:bidi="ar-SA"/>
        </w:rPr>
        <w:t>. In particular the court considers whether there is a legitimate explanation for failing to call the witness; the witness is within the exclusive control of one party or is equally available to both parties; and the witness has key evidence to provide or is the best person to provide the evidence in question (</w:t>
      </w:r>
      <w:r>
        <w:rPr>
          <w:rFonts w:ascii="arial" w:eastAsia="arial" w:hAnsi="arial" w:cs="arial"/>
          <w:i/>
          <w:color w:val="000000"/>
          <w:sz w:val="20"/>
          <w:lang w:val="en-US" w:eastAsia="en-US" w:bidi="ar-SA"/>
        </w:rPr>
        <w:t>McIlvenna</w:t>
      </w:r>
      <w:r>
        <w:rPr>
          <w:rFonts w:ascii="arial" w:eastAsia="arial" w:hAnsi="arial" w:cs="arial"/>
          <w:color w:val="000000"/>
          <w:sz w:val="20"/>
          <w:lang w:val="en-US" w:eastAsia="en-US" w:bidi="ar-SA"/>
        </w:rPr>
        <w:t xml:space="preserve">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adverse inference proposed by the defendants is not warranted here. None of the potential witnesses they have identified are in the plaintiff's exclusive control. Both Mr. Dhillon and Ms. Lucarino provided probative evidence regarding the apparent impact of Mrs. Dhillon's injuries and symptoms on her functioning. I am certainly not persuaded other family members or Mrs. Dhillon's colleagues would have been in a better position to observe her level of function. Trial efficiency is also an important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must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both her injuries and the resulting losses: "[t]he former is concerned with establishing the existence of liability; the latter with the extent of that liability"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363, rev'd </w:t>
      </w:r>
      <w:hyperlink r:id="rId26" w:history="1">
        <w:r>
          <w:rPr>
            <w:rFonts w:ascii="arial" w:eastAsia="arial" w:hAnsi="arial" w:cs="arial"/>
            <w:i/>
            <w:color w:val="0077CC"/>
            <w:sz w:val="20"/>
            <w:u w:val="single"/>
            <w:shd w:val="clear" w:color="auto" w:fill="FFFFFF"/>
            <w:lang w:val="en-US" w:eastAsia="en-US" w:bidi="ar-SA"/>
          </w:rPr>
          <w:t>2003 BCCA 671</w:t>
        </w:r>
      </w:hyperlink>
      <w:r>
        <w:rPr>
          <w:rFonts w:ascii="arial" w:eastAsia="arial" w:hAnsi="arial" w:cs="arial"/>
          <w:color w:val="000000"/>
          <w:sz w:val="20"/>
          <w:lang w:val="en-US" w:eastAsia="en-US" w:bidi="ar-SA"/>
        </w:rPr>
        <w:t xml:space="preserve">, aff'd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The law does not draw a distinction between physical and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primary test for determining causation is known as the "but for" test, meaning the plaintiff bears the onus of proving,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and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360. The plaintiff does not have to prove, however, the accidents were the only cause of her injuries. Instead she must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15. The test for causation is not the same as the more exacting standard that approaches scientific certainty in the medical context: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172;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Causation is a practical question of fact best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Where a plaintiff claims for injuries suffered in more than one tortious event, it is necessary to determine whether the injuries are divisible or indivisible to ensure defendants are not held liable for injuries not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this case, however, the parties have agreed, if the defendants in the second accident are found liable, the plaintiff's injuries are indivisible and there is no requirement to apportion damages amongst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Injuries and Symptoms Were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argues the evidence firmly establishes she sustained significant soft tissue injuries resulting in chronic myofascial pain and ongoing psychological symptoms caused by the three accidents. She also argues the evidence proves her ongoing physical and psychological symptoms are likely permanent and will continue to impact all aspects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While the defendants do not dispute that each of the three accidents caused soft tissue injuries to the plaintiff's neck and back as well as mood symptoms several months after the third accident, they take the position her injuries and symptoms did not substantially disable her and after each accident, she largely recovered within a few months. They argue her psychological symptoms were never disabling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Much time was devoted to arguing about the reliability of the competing medical opinions. I agree, although not entirely with the plaintiff's argument that the opinion evidence of Drs. Hershler and Lu should be preferred to that of Drs. Leith and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Dr. Hershler's general diagnosis that the plaintiff suffers from chronic myofascial pain arising from injuries to the soft tissues in her neck, across both shoulders and descending into the low back, caused by a combination of the three accidents. This diagnosis is consistent with the plaintiff's own evidence, and the observations of her husband and Ms. Lucarino, along with Dr. Hershler's own findings during four separate physical examinations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also accept his opinion that the plaintiff's pain symptoms are unlikely to improve further given their duration and some arose from the aggravation of soft tissue injuries that occurred in the first and second accidents. Dr. Hershler's findings with respect to tenderness to palpation support Mrs. Dhillon's complaints of ongoing myofascial pain. However, the trigger points he observed do not establish the intensity of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general, I found Dr. Leith's opinions regarding the plaintiff's physical injuries to be less helpful. In contrast to Dr. Hershler, he did not provide an explanation for the plaintiff's ongoing pain symptoms or assess their impact. In his initial report, which is now dated, Dr. Leith set-out the bare conclusion Mrs. Dhillon had improved. Similarly, he asserted the opinion that the plaintiff is physically capable of full function and, "[a]ny limitations are related to her subjective experience of pain," based on the absence of any structural injury and the expected prognosis following an accident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his response report, Dr. Leith did not dispute Dr. Hershler's diagnosis of chronic myofascial pain. His other opinion, that the second and third accidents did not aggravate but merely prolonged the plaintiff's soft tissue symptoms, is not persuasive. Dr. Leith described the areas of injury as having "broadened slightly". It is clear to me from the plaintiff's evidence and Dr. Hershler's examinations, she experienced new pain symptoms in her other shoulder and low back after the second or third accidents and her existing pain symptoms worsened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also not convinced by Dr. Leith's optimism about the plaintiff's prognosis based on the reality, "the bulk of patients do recover". He failed to address Dr. Hershler's point that given the passage of time, the plaintiff falls within a small category of patients who continue to suffer from ongoing pain, a category Dr. Leith himself acknowledged.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the same time, however, I do not accept specific aspects of Dr. Hershler's prognoses which depend on the plaintiff's reports about the severity of her pain and how much she was working. I have found she overstated those symptoms to some degree and for reasons I will come to, actually worked more than he understood. Accordingly I am not persuaded by Dr. Hershler's opinion the plaintiff was unable to return to "gainful employment" when he wrote his second report in August 2012. Furthermore, by then, the plaintiff was poised to finish the pharmacy assistant program and one month later in September 2012 she was working 35 to 40 hours each week at two jobs. I also reject the suggestion in his third report that the plaintiff may not be able to continue working 30-35 hours weekly which as I have just indicated was not accurate and less than she was actually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Finally, I do not accept Dr. Hershler's prediction that Mrs. Dhillon may gradually have to further decrease her work hours and retire early based on a decline in pain tolerance with age. Dr. Hershler's explanation for such a decline was vague and unpersuasive. It was also undermined by Dr. Leith's account of the epidemiological literature which suggests the small category of patients who suffer from ongoing residual pain symptoms stabilize rather than worsen in terms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Turning to the plaintiff's psychological symptoms, ultimately the opinions of Drs. Lu and Solomons regarding causation do not differ all that much. In my view, little is gained from focusing on Dr. Lu's diagnosis of chronic adjustment disorder. Dr. Solomons accepts the plaintiff suffered from psychological symptoms caused by ongoing pain that became more pronounced at some point after the third accident. He also agrees that ultimately she experienced mood symptoms, such as depression, anxiety, and problems with low energy and concentration. What Dr. Lu and Dr. Solomons meaningfully disagree about is the extent to which those symptoms have resolved in response to Dr. Sidhu's treatment, namely the use of Pristiq, and the plaintiff's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Solomons expressed a far more positive view of the plaintiff's current functioning than did Dr. Lu, based, I conclude, on their respective interviews and Dr. Solomons' mistaken assumption that Mrs. Dhillon returned to work full-time without limitations after the third accident. The plaintiff was cross-examined about the inconsistency between her evidence regarding her ongoing psychological and cognitive symptoms and the more positive description contained in Dr. Solomons' initial report. Mrs. Dhillon disputed the accuracy of his account. She denied telling him her mood and concentration were back to normal or that she sleeps well and enjoys life. Instead she insisted she would have conveyed to him her mood is better when she feels better. She recalled informing Dr. Solomons that Pristiq was "working" and she had improved although not fully; she was able to concentrate at the beginning of the work day, but struggled once she became tired due to pain. Her evidence on this point was more consistent with what she reported to Dr. Lu. However, Dr. Lu's report indicates the plaintiff also told him her sleep and energy improved with Pristiq. In cross-examination she suggested she may have said this because she was having a good day when they met. I reject this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note that Dr. Solomons met with the plaintiff approximately five months after she was assessed by Dr. Lu. Bearing in mind Dr. Sidhu's decision to reduce the plaintiff's dose of Pristiq not long before Dr. Solomons' assessment suggesting an improvement in her condition, and despite other errors he made, I am not able to accept the plaintiff's evidence that about what she would have said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Based on my assessment of the whole of the evidence on this issue, I conclude the plaintiff does continue to suffer from some ongoing psychological and cognitive symptoms but they are less pronounced and more intermittent than her evidence suggests. I accept she continues to experience low mood at times and that her symptoms worsened when she reduced her dose of Pristiq recently. I find she continues to feel irritable and anxious when her level of pain increases. The unpredictability of her pain symptoms is not doubt frustrating and therefore an ongoing stressor. I also accept that she continues to struggle to some extent with concentration toward the end of the work day, triggered by the demands of her job, some pain symptoms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Accordingly, my findings regarding the plaintiff's psychological prognosis lies somewhere between the opinions of Dr. Lu and Dr. Solomons. All of the expert witnesses noted Mrs. Dhillon is highly motivated to work. Dr. Lu acknowledged she works more than one would expect of a person with chronic adjustment disorder and chronic pain. He also found the plaintiff has at least average psychological resilience, which I accept. I conclude this resilience, her personal motivation and family support, as well as her favourable response to Pristiq will offset the risk of her psychological symptoms worsening, a risk I do not regard as significant, particularly once she participates in the psychological treatment Dr. Lu recommends. I have also assessed this risk in light of my finding below that her pain symptoms have been mostly mild, but not constant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Regarding the plaintiff's physical injuries and symptoms my analysis and findings are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first accident, Mrs. Dhillon experienced fairly intense pain arising from soft tissue injuries to her neck, upper back and right shoulder that interfered with her sleep, as well as headaches. Prior to returning to work, her pain symptoms had reduced significantly but they were not fully resolved. The plaintiff certainly felt well enough to work full-time. I accept that after she returned to work as a parking lot attendant, pain symptoms in her neck and her shoulder sometimes worsened causing her sleep difficulties.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the plaintiff continued to experience some pain in her shoulder and neck prior to the second accident although her symptoms were not as intense or constant as she described, and were likely mild. Mrs. Dhillon testified that despite telling her doctor she was still in significant pain in January 2012, he provided her with a medical note to submit along with her application to the pharmacy assistant program confirming she was in good physical and mental health. I am not persuaded the doctor would have written such a note if the plaintiff was at that time complaining of significant ongoing pain symptoms. I also put limited weight on the gap in his clinical records from May 20, 2011 to March 2, 2012 which demonstrate the plaintiff otherwise attended appointments regularly in relation to the accidents. I consider the gap, bearing in mind the decision of Justice N. Smith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3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regarding the admissibility and use of clinical records. At paras. 36 and 37 he concluded the absence of any record cannot be the sole basis for an inference about whether an injury or symptom existed or not.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the second accident likely reinjured the soft tissues in the plaintiff's neck and upper back as well as the other shoulder area, worsening and broadening her pain symptoms to some extent.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plaintiff experienced some increased pain and discomfort while studying for prolonged periods, particularly after the second accident, given the posture required. This may have affected her ability to concentrate to some extent. Her timely, very successful completion of the pharmacy assistant program satisfies me, however, that both before and after the second accident, those symptoms were not meaningfully disabling. I do not accept her evidence that she was required to study twice as much to achieve such high grades.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by September 2012 the plaintiff's pain symptoms were mostly mild, not modest as she testified.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plaintiff suffered from a flare up in her pain symptoms, accompanied by fatigue and some psychological symptoms in May 2013 which lasted for at least two weeks. The date on a medical note prepared by her family doctor corroborates her evidence regarding the timing of the flare up. Employment records confirm she worked less for a two week period during that month.</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third accident, I find the plaintiff experienced a significant increase in the level and scope of her pain caused by new soft tissue injuries that extended to her low back and an aggravation of previous soft tissue injuries in her shoulders, upper back and neck, along with worsened headaches. I also find that as a result of the third accident and her increased pain symptoms, previously transient psychological and cognitive symptoms including feelings of sadness or depression, irritability, anxiety, low energy and difficulties with concentration intensified markedly, particularly after she returned to work in November 2013. Although her pain symptoms had lessened considerably by then, I accept they worsened during the course of the work day, disrupting her sleep. I have no doubt the plaintiff was discouraged by the experience of working with ongoing pain and fatigue, particularly given the demands of her job as a pharmacy assistant, namely the need for accuracy. Although, I accept the plaintiff worked as much as she could, I do not accept that her pain symptoms were severe. Severe pain is inconsistent with her evidence that she worked 32 to 34 hours per week. In fact she worked more than that, except for the months in 2016 leading up to trial in August. Her employment records for 2014 indicate she rarely worked less than 35 hours per week and most often between 35 and 39 hours, not 32 to 34. I infer from the amount she actually worked that her symptoms were not as intense or as disabling as she suggested.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plaintiff's testimony that she attended the emergency department and received an injection in June 2014 because of increased pain, but conclude the flare up was relatively brief given her hours of work were reduced for a two-week period only. She attended the Change Pain Clinic in the fall of 2014 and declined the proposed injection series because she had less pain by then. I find her pain symptoms at that point were mostly mild and sometimes moderate. At the same time her psychological symptoms had subsided due to Pristiq allowing the plaintiff to cope more effectively.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2015 or early 2016, the plaintiff's sleep was less disrupted and she was no longer taking over the counter pain medication as frequently, indicating her pain symptoms had become intermittent although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essential purpose of damages is to restore an injured plaintiff to her original position, meaning the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caused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award should be fair and reasonable to both parties. Fairness is measured against awards made in comparable cases; however, they only provide a rough guide. Non-pecuniary damages must be assessed and decided in each case based on its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see also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3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Among the factors to be considered in determining the amount of an award for non-pecuniary damages are the plaintiff's age; the nature of the injury; the severity and duration of the pain; disability; emotional suffering; impairment of family, marital and social relationships; impairment of physical and mental abilities; loss of lifestyle; and the plaintiff's stoicism, which should not be penalized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seeks non-pecuniary damages of $125,000, suggesting the appropriate range is $100,000 to $150,000, based on her excellent pre-accident health, and the intensity and duration of her chronic pain and psychological symptoms, along with their impact on her "vocational, recreational and domestic pursuits". She relies upon several cases that awarded damages within this range which in my view involved plaintiffs with more serious physical injuries or more serious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Mrs. Dhillon identifies the facts in </w:t>
      </w:r>
      <w:r>
        <w:rPr>
          <w:rFonts w:ascii="arial" w:eastAsia="arial" w:hAnsi="arial" w:cs="arial"/>
          <w:i/>
          <w:color w:val="000000"/>
          <w:sz w:val="20"/>
          <w:lang w:val="en-US" w:eastAsia="en-US" w:bidi="ar-SA"/>
        </w:rPr>
        <w:t>Hollyer v. Gaston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2016 BCSC 1401</w:t>
        </w:r>
      </w:hyperlink>
      <w:r>
        <w:rPr>
          <w:rFonts w:ascii="arial" w:eastAsia="arial" w:hAnsi="arial" w:cs="arial"/>
          <w:color w:val="000000"/>
          <w:sz w:val="20"/>
          <w:lang w:val="en-US" w:eastAsia="en-US" w:bidi="ar-SA"/>
        </w:rPr>
        <w:t xml:space="preserve">, where non-pecuniary damages of $125,000 were awarded, as the most similar to her own circumstances. In </w:t>
      </w:r>
      <w:r>
        <w:rPr>
          <w:rFonts w:ascii="arial" w:eastAsia="arial" w:hAnsi="arial" w:cs="arial"/>
          <w:i/>
          <w:color w:val="000000"/>
          <w:sz w:val="20"/>
          <w:lang w:val="en-US" w:eastAsia="en-US" w:bidi="ar-SA"/>
        </w:rPr>
        <w:t>Hollyer</w:t>
      </w:r>
      <w:r>
        <w:rPr>
          <w:rFonts w:ascii="arial" w:eastAsia="arial" w:hAnsi="arial" w:cs="arial"/>
          <w:color w:val="000000"/>
          <w:sz w:val="20"/>
          <w:lang w:val="en-US" w:eastAsia="en-US" w:bidi="ar-SA"/>
        </w:rPr>
        <w:t>, the plaintiff sustained injuries to her neck, right shoulder, mid-back and low back resulting in chronic pain as well as depression, anxiety and an inability to sleep. Her psychological injuries were more serious than Mrs. Dhillon's, as was the impact of all of her injuries and symptoms. Ms. Hollyer was diagnosed with both an adjustment disorder and a moderate somatic symptom disorder. Prior to the trial she was treated by a psychologist, but her depressive symptoms worsened to the point she met the criteria for major depressive disorder. Ms. Hollyer had not been able to return to her full-time job, although she continued to try. Very athletic and involved in several sports before the accident, she was no longer able to participate in most of them. She had also been active in the community and had not been able to resume her volunteer work. Notably, Ms. Hollyer had changed dramatically from an energetic, happy and outgoing person to someone who was withdrawn, depressed and anxious. Her marriage suffered to the point she and her husband sought counselling, and she rarely socialized.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defendants submit the plaintiff is entitled to a non-pecuniary damage award in the range of $40,000 to $50,000. They rely on four cases in support of this position. Two are reasonably recent but distinguishable. Both involved plaintiffs who suffered less serious injuries or pain for a shorter period and no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Amini v. Mondragaon</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2014 BCSC 1590</w:t>
        </w:r>
      </w:hyperlink>
      <w:r>
        <w:rPr>
          <w:rFonts w:ascii="arial" w:eastAsia="arial" w:hAnsi="arial" w:cs="arial"/>
          <w:color w:val="000000"/>
          <w:sz w:val="20"/>
          <w:lang w:val="en-US" w:eastAsia="en-US" w:bidi="ar-SA"/>
        </w:rPr>
        <w:t>, the plaintiff suffered similar soft tissue injuries in a serious rear end collision in 2011. She complained of ongoing neck, upper back and shoulder pain that fluctuated, as well as severe headaches. She was awarded $55,000. Notably the court found her headaches were not caused by the accident and her condition was likely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Hatch v. Kumar</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2013 BCSC 2049</w:t>
        </w:r>
      </w:hyperlink>
      <w:r>
        <w:rPr>
          <w:rFonts w:ascii="arial" w:eastAsia="arial" w:hAnsi="arial" w:cs="arial"/>
          <w:color w:val="000000"/>
          <w:sz w:val="20"/>
          <w:lang w:val="en-US" w:eastAsia="en-US" w:bidi="ar-SA"/>
        </w:rPr>
        <w:t>, the 49-year-old plaintiff was also involved in a rear end collision that resulted in soft tissue injuries to her back and neck. Eight months after the accident, she was able to work full-time again. By the time of the trial about three years later, she had some ongoing back pain that was unlikely to improve and affected her enjoyment of activities and her functioning. She was awarded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After each of the three accidents, the first and third in particular, Mrs. Dhillon endured significant pain symptoms and headaches. Following the first and third accidents, her pain symptoms were severe enough to prevent her from working at all for some months. Her sleep was very disrupted. Since her return to work in November 2013, Mrs. Dhillon has continued to experience variable levels of pain in her neck, shoulders, upper and lower back and psychological and cognitive symptoms, all of which have improved and are likely intermittent, but now chronic. Ongoing pain has affected Mrs. Dhillon's intimate relationship with her husband. She has also been somewhat less able to play badminton with her children and she avoids more elaborate cooking, something she loved to do before the accidents. Mrs. Dhillon has and will continue to experience some pain while working although not to the extent she claims. Mrs. Dhillon's mood symptoms are reasonably well managed, although she continues to have low moments and feelings of anxiety in response to pain and fatigue. On the whole, however, the plaintiff is able to enjoy her family and everyday life and take pride 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Applying the factors identified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to the facts of this case and bearing in mind my review of the authorities provided by the parties, I conclude an award of $85,000 is fair and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defendants argue the plaintiff's non-pecuniary damage award should be reduced by 10-15% for failing to undergo recommended injections, and not participating fully in various therapies and active rehabilitation, including home exercises. It is well settled that a plaintiff has a positive duty to act reasonably in mitigating her losses. However once a defendant is found liable for a plaintiff's injuries, he must prove she acted unreasonably by "eschewing" medical advice recommending treatment and the extent to which her damages would have been reduced had she acted reasonably: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defendants rely primarily upon clinical records to prove the plaintiff failed to mitigate. Those records establish Dr. Yao and Dr. Dhawan recommended she undergo cortisone injections and a physician at the Change Pain Clinic recommended a series of trigger point injections which I accept she has not received. The only evidence of similar treatment is Mrs. Dhillon's testimony she had an injection on one occasion at Surrey Memorial Hospital in June 2014, prior to attending the Change Pain Clinic. She also gave evidence, however, that she is afraid of needles which is consistent with the records of both Dr. Yao and Dr. Dhawan. The records do not discuss any potential risks arising from the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Further, there is no evidence to support the second branch of the test. The statements of opinion contained in the clinical records of Dr. Dhawan and the Change Pain Clinic regarding the expected benefit of the injections are not admissible for their truth. In these circumstances, I am not able to conclude that Mrs. Dhillon acted unreasonably by failing to comply with the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also rely upon clinical records to establish the plaintiff's inadequate participation in physical therapy and active rehabilitation including poor compliance with home exercises at various times. The plaintiff admitted there were periods when she did not perform home exercises mainly because her pain was severe. Given the inconsistencies between her evidence on this issue and various entries in the clinical records, as well as her very deconditioned state as observed by the kinesiologist in November 2014, I accept that she was probably much less compliant with home exercises after the third accident, in particular, than she acknowledged in her testimony. However, there is no admissible opinion evidence regarding the extent to which her pain symptoms would have improved with better compliance. Sparse entries in clinical records indicating the plaintiff reported some reduction in pain with home exercise are not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same is true of Dr. Leith's recommendation that the plaintiff maintain, "as active a lifestyle as possible," which is also not specific enough to measure compliance. Instead of expressing an opinion about how a particular level or form of exercise would reduce Mrs. Dhillon's symptoms, he writes, "[h]opefully with time her symptoms will settle completely." I note that in his third report Dr. Hershler recommended the plaintiff continue physiotherapy and, "continue following a self-monitored exercise program at home, as directed by a physiotherapist". He also provided no opinion regarding the expected result of the home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conclude therefore the mitigation defence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Claims for past and future loss of income capacity are subject to the same legal principles. The plaintiff must demonstrate that the injuries and symptoms caused by the accidents have impaired her ability to earn income, resulting in a pecuniary loss. While actual past events must be proven on a balance of probabilities, hypothetical events including those in the past will be considered where there is a real and substantial possibility they would occur. Where proven, a hypothetical event must be given weight according to its relative likelihood and compensation must be awarded based on an estimation of the chance the event would have occurred or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The onus is not a heavy one, but it must be met in order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Although a claim for past loss of income is often characterized as a separate head of damages, it is a component of the loss of earning capacity, being a claim for the loss of the value of the work that the injured person was unable to perform because of the injury: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39, aff'd </w:t>
      </w:r>
      <w:hyperlink r:id="rId4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The plaintiff is entitled to compensation based on what she would have, not could have, earned but for the injuries caused by the accidents: see </w:t>
      </w:r>
      <w:r>
        <w:rPr>
          <w:rFonts w:ascii="arial" w:eastAsia="arial" w:hAnsi="arial" w:cs="arial"/>
          <w:i/>
          <w:color w:val="000000"/>
          <w:sz w:val="20"/>
          <w:lang w:val="en-US" w:eastAsia="en-US" w:bidi="ar-SA"/>
        </w:rPr>
        <w:t>Munoz</w:t>
      </w:r>
      <w:r>
        <w:rPr>
          <w:rFonts w:ascii="arial" w:eastAsia="arial" w:hAnsi="arial" w:cs="arial"/>
          <w:color w:val="000000"/>
          <w:sz w:val="20"/>
          <w:lang w:val="en-US" w:eastAsia="en-US" w:bidi="ar-SA"/>
        </w:rPr>
        <w:t xml:space="preserve">. In general, the value of the plaintiff's capacity to earn is equivalent to the value of the earnings she would have received, in the past or the future, had the tort not been committed: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 389.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plaintiff may prove the amount of the loss of earning capacity using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Both are correct. The capital asset approach is often more appropriate where the pecuniary loss is not easily measured. Either way, the court must endeavour to quantify the financial harm accruing to the plaintiff taking into account the relevant and realistic contingencies: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183. The assessment is an exercise of judgment, not a mathematical calculation, firmly grounded in the particular facts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argues the injuries and symptoms she suffered due to the accidents not only caused her to miss approximately four months of work after the first and third accidents, they also prevented her from working full-time in between the accidents and since the third accident. She suggests that she would have continued to work full-time while attending the pharmacy assistant program had she not been injured. Mrs. Dhillon submits her past loss of earning capacity is properly assessed based on her past loss of income which she calculates as the difference between what she would have earned working full-time and what she actually earned, during various periods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18, 2010 to July 29, 2010: $7,796.70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weekly income of $433.15 from Imperial Parking for 18 weeks. Weekly earnings of $433.15 are estimated based on her 2009 Income Tax Return which shows gross income of $22,524.)</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30, 2010 to December 31, 2011: $13,901.71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an income of $31,909 from Imperial Parking over 17 months, less what she actually earned during that period: $18,007.29.)</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 2012 to December 31, 2012: $15,265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her 2009 income of $22,524 from Imperial Parking, less her actual 2012 income of $7,259.)</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 2013 to December 31, 2013: $11,548 (from Community Outreach)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projected annual income of $26,520 at $12.75 per hour at 40 hours per week, less what she actually earned in 2013: $14,972.)</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 2014 to December 31, 2014: $4,558 (from Community Outreach)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projected gross earnings of $31,200 based on 40 hours per week at $15.00 per hour, less what she actually earned: $26,642.)</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 2015 to August 15, 2016: $33,432.88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working as a pharmacy technician at $23.00 per hour at 40 hours per week, totaling $78,200, less estimated actual earnings of $44,767.12 ($27,549 in 2015 and $17,218.12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defendants deny the plaintiff's injuries and symptoms caused her to suffer any past or future loss of earning capacity except for the two periods when she did not work after the first and third accidents, less the employment insurance benefits she received during those periods. They argue that after the third accident her pain and psychological symptoms improved and stabilized to the point she was capable of working full-time at Community Outreach and attending the Bridging Program by mid-2014 at the latest. Their position is based in part on the plaintiff's evidence her treating physicians encouraged her to work as much as possible, the opinions of Dr. Leith and Dr. Solomons and the absence of medical evidence to suggest she was incapable of completing the program in 2014. In other words, their position depends on a view of the evidence regarding the extent of the plaintiff's injuries that does not entirely accord with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general, I accept the plaintiff's evidence that she has worked as much as she reasonably could, in light of her symptoms since the accidents. It is clear Mrs. Dhillon is motivated to work. In addition she has enjoyed the respect and appreciation of her employer at Community Outreach. I am unable to accept, however, her assessment of the amount of income she would have earned but for the accidents. In addition to finding her ongoing pain and other symptoms were and remain less intense and constant than she asserted, her employment records show she did not work as much prior to the first accident, and she has actually worked more after the third accident, than she claimed, with the exception of the first seven months of 2016 leading up to the date of trial. I have also concluded the damages she is entitled to arising from the loss of opportunity to complete the Bridging Program are limited by the reality she could have done so by working less.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submit Mrs. Dhillon has not established she worked full-time for Imperial Parking before the first accident, relying upon a particular employment record that identifies the plaintiff as a casual employee who averaged 26-32 hours per week, over the three prior months. I note other employment records show that from December 4, 2009 until March 19, 2010, the plaintiff worked only 48 hours every two weeks on average. However, a certificate of earnings completed by the payroll administrator for Imperial Parking, which also stated that Mrs. Dhillon worked 26 to 32 hours of each week, specified her gross earnings in the 12 months before the first accident at $21,129.74, based on $11.04 per hour. Consequently her weekly earnings for one year before the accident were $406.34, reflecting 36 to 37 hours of work per week, not more than full-time as Mrs. Dhillon testified, and about $1,400 less than she earned in the 2009 tax year. I therefore calculate her past loss of income from March 19, 2010 until July 29, 2010 as $7,720.46 (gross), based on $406.34 x 19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dispute that after returning to her job as a parking lot attendant in late July 2010 the plaintiff refused or turned down shifts because her pain symptoms worsened in cold, wet weather. They suggest she simply found it unpleasant to work in those conditions. I do not agree. I accept that standing in a parking lot during poor weather for long periods of time likely increased her pain symptoms somewhat. However, I am not persuaded by her wage loss calculation for July 29, 2010 to December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Using the figure of $406.34 per week, the plaintiff would have earned $30,069.16 from July 30, 2010 to December 31, 2011, had she continued to work as much as she did prior to the first accident. She actually earned $18,007.29, resulting in a difference of $12,061.87. Mrs. Dhillon continued to work as a casual employee for Imperial Parking. She testified she was offered shifts when others were away or on holidays. In other words there was no guarantee of full-time work. After the accident she said she turned down shifts particularly those that were outdoors because of their impact on her level of pain, but she could not recall how often or when. The overall drop in her earnings establishes that she worked less after she returned to her job as a parking lot attendant than she had in the 12 months prior to the first accident. Employment records show that the number of hours she worked in each two-week period varied widely however from August 2010 until mid-October 2011. At that point her hours declined rather dramatically. There was no suggestion her symptoms worsened in the fall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While I accept that Mrs. Dhillon refused some shifts based on pain, given her status as a casual employee, the reduced hours she worked from December 4, 2009 until March 19, 2010 and the vagueness of her evidence on this point, I am not satisfied she was consistently offered shifts during that 17 month period that would have allowed her to work 36-37 hours per week on average. I find it probable that sometimes less work was available. Accordingly, I assess this portion of her past wage loss at $9,000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January 2012 the plaintiff began the pharmacy assistant program which she admits was full-time and involved approximately five hours of class time per day from Monday to Friday. I reject the suggestion she would have worked full-time in addition to attending school, if she had not been injured in the first and second accidents. Her evidence was that she completed a couple of shifts for Imperial Parking shortly after starting the program, but stopped because she found working and studying increased her level of pain too much. The employment records indicate, however, she received vacation pay in January 2012 and then did not work again for Imperial Parking until July 27, 2012, around the time she graduated from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While I have accepted the plaintiff continued to experience some pain and fatigue while attending school and studying, I have not accepted her evidence she had to study twice as hard because her symptoms made it so difficult to concentrate. In my view, 25 hours in a classroom each week plus the time required to study reflects a demanding training program. I am simply not persuaded the plaintiff would have done things differently if she was not injured. Given the plaintiff's evidence that she intended to enroll in a program of this kind before the accident, the demands of the program itself, and her almost immediate employment with Superstore and Community Outreach as a pharmacy assistant in September 2012, I do not accept she suffered a loss of earnings between January 1, 2012 to September 2012 attributable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same is true up until May 2013 when the plaintiff experienced a flare up in her pain symptoms. She testified that between September 2012 and May 2013, she worked 35 to 40 hours per week at the two different pharmacies, although pain symptoms made it very difficult to do so. She also testified she kept both jobs because she wanted to gain experience. Superstore unlike Community Outreach is a retail pharmacy where she dealt with customers in addition to performing the other tasks of a pharmacy assistant. After the flare up in May 2013 she chose to stop working at Superstore and continue with Community Outreach, largely because of Ms. Lucarino.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Employment records show that the plaintiff always worked significantly more for Community Outreach than Superstore. From May 16-31, 2013 the plaintiff worked 14.5 hours for Community Outreach and not at all for Superstore, consistent with her evidence regarding a two-week break due to the pain flare up. In the first two weeks of May, however, she worked full-time: 75.75 hours for Community Outreach and five hours for Superstore. After the flare up, in June 2013, the plaintiff again worked essentially full-time hours for Community Outreach. Apart from the two-week reduction in her hours of work in May 2013, and although I accept she had some ongoing pain symptoms, I am not satisfied the plaintiff would have worked more absent her injuries between September 2012 and the date of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Accordingly the plaintiff is entitled to past loss of wages during this period equal to 61 hours paid at rate of $12.75: $777.75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do not dispute that after the third accident the plaintiff was disabled from working until she returned to her job as a pharmacy assistant with Community Outreach about four months later in November 2013. But for her injuries she would have worked 40 hours a week during that period earning $12.75 per hour. Her gross wage loss during that period therefore was $8,670 (40 hours x $12.75 x 17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claims that since returning to work after the third accident she has been unable to work more than 32-34 hours per week, due to pain and other symptoms. As I have said, I accept Mrs. Dhillon worked as much as she could given those symptoms, subject to my comments below regarding her work hours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2014, the plaintiff earned gross employment income of $26,642. Mrs. Dhillon would have earned $31,200 if she had worked 40 hours per week in 2014. Based on an hourly rate of $15, her annual earnings suggest she worked on average 34.16 hours per week. Mrs. Dhillon was away from work, in India, however, from the end of November until late January 2015. She indicated she received paid holidays during some of that time, but the employment records show a very small pay cheque being issued on December 2, 2014 of $258.75, and nothing further until February 2, 2015. Further, most of her bi-weekly pay cheques in 2014 show she actually worked between 35 and 39 hours per week, except for one pay period between June 16 and July 1, 2014. Accordingly, I assess the loss of earnings attributable to her accident related injuries and symptoms in 2014 at $2,300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2015, the plaintiff earned $27,549 and again the employment records show she received no wages while she was away until February 2, 2015, therefore limiting her potential earnings that year to less than $28,600. Taking the same approach, I calculate her loss of earnings for 2015 at $1,051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Mrs. Dhillon currently earns $16.00 per hour. Her gross earnings in 2016 leading up to the date of trial or August 4, 2016, based on employment records, were $15,976, indicating she worked approximately 33.3 hours on average per week, a small reduction in the weekly average from 2014 and 2015 during most pay periods. Mrs. Dhillon did not acknowledge or account for this change. I note her employment records for 2016 include three pay periods during which her hours of work were well below the weekly average I have found she worked after November 2013 until the end of 2015 during most pay periods or even her own estimate. Given my findings of fact regarding her ongoing symptoms, I am not satisfied that Mrs. Dhillon's actual earnings in 2016 provide an accurate reference point for the loss of earnings she suffered due to the accidents. In my view she had the capacity to work 37 hours per week on average during that time, and therefore quantify her compensable wage loss in 2016 up to the date of trial at $1440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Mrs. Dhillon's claim for loss of earning capacity includes the loss of opportunity to complete the Bridging Program that would have qualified her as a pharmacy technician, earning at least $22.00 per hour. I accept that she refused her employer's offer to sponsor her attendance because she was concerned her pain symptoms would prevent her from completing the program while continuing to work as much as she had been. I find it probable that had she enrolled she would have successfully completed the program, given her performance during the pharmacy assistant program and her educational history. She and Ms. Lucarino also testified, however, that Community Outreach was agreeable to her working less to facilitate her attendance. Mrs. Dhillon did not explain why she chose not to take this opportunity. I am not satisfied that her pain and other symptoms played any role in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view, damages for the loss the plaintiff did suffer, the opportunity to attend the program while working the same amount, are properly assessed based on the income she would have lost had she taken the other opportunity to work less while attending the program. There is no specific evidence regarding the schedule or courses required to complete the Bridging Program. Mrs. Dhillon described it as a one-year, online program. Ms. Lucarino indicated the course work seemed to be flexible. Both she and Mrs. Dhillon confirmed the program was designed for working pharmacy assistants. By the time Ms. Lucarino testified at the end of the trial, two other full-time employees sponsored to attend the program were about to finish after attending for approximately two years. A third sponsored candidate who now works elsewhere became qualified more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found that the plaintiff typically worked between 35 and 39 hours per week rather than 40, in 2014 through 2015 and was capable of working 37 hours each week on average in 2016 in light of her symptoms. Absent more specific evidence about the demands of the program and bearing in mind my findings regarding the nature of her symptoms during that time, I conclude Mrs. Dhillon could have completed the Bridging Program prior to trial and within two years by working five to seven hours less each week, resulting in a pecuniary loss of $9,360 which I regard as a reasonable measure of her damages for the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summary then, I have determined the plaintiff's past loss of earning capacity includes $30,959.21 in past loss of income (gross) and $9,360 in damages for loss of opportunity. I expect counsel can agree on the net amount for the total past loss of income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To reiterate I have found the plaintiff suffers from ongoing pain and psychological symptoms that have been mostly mild and intermittent for some time but are unlikely to improve in the future. Those symptoms have prevented her from working 40 hours per week since her return to work in November 2013. From 2014 through 2015 she actually worked between 35 and 39 hours each week on average, as a result. In 2016 her employment records show a decrease in hours worked to an average of 33.3 hours per week but I have determined she had the capacity to work 37 hours per week during that time on average. Given the demands of her job, for example the high level of concentration necessary to ensure accuracy, prolonged periods of standing in a bent over posture while preparing bubble packs and some overhead lifting, I accept the plaintiff will likely continue to work slightly less than full-time hours due to the same symptoms, fatigue and difficulties with concentration. In other words, I find there is more than a real and substantial possibility she will suffer a pecuniary loss in the future caused by her accident related injuries. Instead, it is probable this will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agree with the plaintiff's submission that the earnings approach offers the more suitable method for quantifying her future loss of earning capacity. The extent of her pecuniary loss is measurable. There is no suggestion she intended or intends to depart from her current career path, or that her employment as a pharmacy assistant has been or will be jeopardized by her modestly impaired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Based on future full-time earnings as a pharmacy technician and her 2015 income of $27,549, the plaintiff argues she will suffer an annual pecuniary loss of $20,291. Applying the multiplier set out in Mr. Lukhani's report until age 67, she seeks an award of $379,969.26.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Given my analysis of Mrs. Dhillon's loss of opportunity claim, she is not entitled to further compensation based on what she would have earned as a pharmacy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That leaves the other part of her loss of future earning capacity claim arising from the difference between her residual earning capacity as a pharmacy assistant and what she would have earned in that role but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Mrs. Dhillon did not give specific evidence about when she planned to retire. I conclude however it is reasonable to infer she would have continued to work up to a typical retirement age. She has been and remains motivated to work. The defendants made no submissions on this issue. I am prepared to accept she would have been and is likely to work until the age of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light of my findings of fact regarding the plaintiff's ongoing symptoms and the modest reductions in her hours of work since the accidents due to those symptoms, I have determined the plaintiff's residual earning capacity has an annual value of $30,784 which involves her continuing to work 37 hours per week on average, paid at her current hourly wage. Her future loss of income earning capacity has an annual value of $33,280 resulting in an annual loss of $2,496. Applying the cumulative multiplier of 18,726 set out in the report of Hassan Lakhani dated May 20, 2016 to the annual loss from the date of trial until age 67, results in a loss of $46,740. The parties did not suggest there were any realistic and relevant positive or negative contingencies that should result in an adjustment to the award for future loss of capacity. I therefore make no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seeks an award of $40,000 for the cost of future care based on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$750 annually for medication, including Pristiq and Advil or Tylenol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unspecified amount for topical anti-inflammatory creams recommended by Dr. Hershler to be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$2,400 for 12 sessions of psychotherapy as recommended by Dr. Lu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$1,200 annually for 12 sessions of chiropractic treatment or massage therapy as recommended by 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Applying the cost of future care multiplier provided by actuary Hassan Lakhani in his report dated May 20, 2016 to an annual cost of $1,950 results in the present value of $39,456.30 to age 70 added to which is the cost of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insofar as that is possible and to preserve and promote her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4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aff'd </w:t>
      </w:r>
      <w:hyperlink r:id="rId51"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Determining an appropriate award involves an objective analysis based on medical evidence. The items or services claimed must be reasonable and have a medical justification: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 and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 Although an evidentiary link is required between the physician's assessment of pain and disability, and the care recommended by a qualified health professional, it is not necessary for a medical expert to approve each item or service or testify as to its necessity: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and </w:t>
      </w:r>
      <w:r>
        <w:rPr>
          <w:rFonts w:ascii="arial" w:eastAsia="arial" w:hAnsi="arial" w:cs="arial"/>
          <w:i/>
          <w:color w:val="000000"/>
          <w:sz w:val="20"/>
          <w:lang w:val="en-US" w:eastAsia="en-US" w:bidi="ar-SA"/>
        </w:rPr>
        <w:t>Munoz</w:t>
      </w:r>
      <w:r>
        <w:rPr>
          <w:rFonts w:ascii="arial" w:eastAsia="arial" w:hAnsi="arial" w:cs="arial"/>
          <w:color w:val="000000"/>
          <w:sz w:val="20"/>
          <w:lang w:val="en-US" w:eastAsia="en-US" w:bidi="ar-SA"/>
        </w:rPr>
        <w:t xml:space="preserve"> at para.189. Recommendations from a medical doctor and health care professionals are relevant: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Making an award also involves predicting what will happen in future. The court should consider whether the plaintiff would likely use the items or services. If a plaintiff has not done so in the past it may be inappropriate to include their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argue any award for the cost of future care should be modest given the plaintiff's treatment history, and what they describe as the improvement in her symptoms and the stability in her level of functioning over the past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defendants point out the plaintiff has not attended any form of physical therapy since October 2014 although she has continued to visit her family doctor regularly. Based on her pattern of behaviour which includes not seeking treatment for two years and her less than perfect attendance when she was referred, they argue the plaintiff is unlikely to attend further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his last report, Dr. Hershler recommended the plaintiff should have access to chiropractic treatments or massage therapy on at least a monthly basis to assist with, "extreme pain flare ups". The plaintiff indicated the massage therapy she did receive was not helpful. Although she described her pain symptoms as fluctuating and worsening in particular over the course of a work day, she did not describe experiencing what might reasonably be characterized as extreme pain flare ups except in May 2013. I therefore do not accept the plaintiff is likely to require monthly access to treatment for any such flare 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To some extent I share the defendants' concern the plaintiff is unlikely to attend future appointments with any frequency. At the same time, I accept the plaintiff may from time to time experience increases in her level of pain. In those circumstances, I expect she would seek relief through passive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assess 20 sessions of physical therapy as reasonably necessary to preserve and promote the plaintiff's health, resulting in a total cost of $2,000,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entirely accept Dr. Lu's recommendation that the plaintiff attend short term psychological treatment and education to improve her awareness of the interaction between her pain, cognitive and psychological symptoms. He found she lacked an understanding of the link between the symptoms and predicted that attending at least 12 focused sessions would not only reduce the risk of major depression, but also to help to improve her function. I reject the defendants' suggestion these items should be denied because the evidence does not tell us whether Mrs. Dhillon's treating psychiatrist is fulfilling this role. Her clinical records suggest since prescribing anti-depressant medication, her treatment has focused on monitoring the plaintiff's symptoms and response to the medication. I view the plaintiff's cost estimate of $2,400 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Regarding medication, I accept the plaintiff has and will continue to rely upon over the counter medication to address her pain symptoms based on her evidence she continues to take Tylenol or Advil two or three times per week and the chronic but intermittent, mostly mild pain she experienced. Based on my findings regarding the plaintiff's chronic pain and psychological symptoms, and accepting her evidence that her psychological symptoms worsened in 2016 when her dose of Pristiq was reduced, I reject Dr. Solomons' recommendation that she discontinue the medication at a time of reduced stress. I find it is likely she will continue to require anti-depressant medication for the foreseeable future. The plaintiff's estimate for annual prescription expenses of $750 is reasonable given that it appears to be less than the actual cost she has paid for a 50 mg daily dose of Pristiq up to now. Using the cumulative multiplier value of 17,434 to age 65 results in the present value of $13,075.50. I add to this $2,000 and $2,400 for the physical therapy and psychotherapy respectively, resulting in a total award for the cost of future care of $17,475.50.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Again the parties made no submissions about adjusting the cost of the future care award for realistic contingencies and I therefore order no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plaintiff seeks damages in the amount of $25,000 for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An award for homemaking capacity provides compensation for the value of the housekeeping the plaintiff would have done but was or is incapable of performing because of the injuries caused by the accidents. Loss of housekeeping capacity reflects the loss of personal capacity, which is an asset. Consequently, an award of damages does not depend upon replacement costs actually being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evidence of the plaintiff and her husband establish that prior to the accidents, she performed all of the housekeeping tasks for the family, although she also worked outside the home. I accept that since the accidents, because of her pain symptoms, Mr. Dhillon and to a lesser extent their son have taken on some of the physically difficult housekeeping tasks, such as vacuuming, lifting wet laundry, carrying a heavy laundry basket, handling heavy pots and cleaning the bath tub. In the earlier stages Mrs. Dhillon's niece and perhaps other extended family members also assisted her to an even greater extent. There was little specific evidence, however about how much time others have spent engaged in housekeeping tasks she used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Having found the plaintiff suffered from fairly intense pain for several months after the first and third accidents, a much shorter period of increased pain symptoms after the second accident, and ongoing pain that has fluctuated in intensity, but has been most often mild and likely intermittent for some time, I conclude a total award of $11,000 is reasonable, reflecting an allocation of $5,000 for past and $6,000 for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seeks special damages of $7,281.77. The defendants dispute particular aspects of her claim and submit she is entitled to $5,600.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Claims for special damages are subject to a standard of reasonableness in the context of the injuries suffered: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 Medical justification for a treatment related expense aimed at promoting the plaintiff's physical or mental well-being is a factor in determining whether it is reasonable. Subjective factors can also be considered, including whether the plaintiff believes the treatments were medically necessary. With respect to cost, the courts have been prepared to allow claims for expenses at the level of optimum care, although plaintiffs are not entitled to recovery for the cost of any procedure they believe will make them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At issue are taxi expenses incurred when she attended two independent medical examination appointments and a global amount of $2,500 claimed for non-prescription medication, mileage and parking. The defendants argue and I agree that the plaintiff did not provide any evidence that would explain her use of a taxi. Mrs. Dhillon has continued to drive since the first accident using the same vehicle. In my view, she has not established they are a reasonable expense. Regarding the global amount, there are no receipts for parking or non-prescription medications although Mrs. Dhillon testified she uses Advil and Tylenol for pain and the cost of 100 Advil tablets is approximately $16 -$17. Mrs. Dhillon gave no evidence about the requirement to pay for parking in relation to attending appointments related to her injuries. She did not specify what aspect of the global amount relates to a claim for mileage, the number of kilometres or the price per kilometre that ought to be applied. Accepting she did drive or was driven to and from a multitude of medical and treatment appointments related to her injuries since the first accident, I assess the mileage portion of the global claim at $1,000. In addition, I assess the non-prescription medication portion at $200 based on her evidence. Accordingly, I award the plaintiff $5,752.77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summary, the plaintiff is entitled to the following damage awards: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$85,000;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$30,959.21 (gross) for past loss of income and $9,360 in damages for loss of opportunity;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capacity: $46,740;</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$17,475.50;</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$11,000;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$5,752.77.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award costs to the plaintiff at scale B. If there are circumstances of which I am unaware, however, the parties are at liberty to apply for a different costs order within 60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10, 2017</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parties agree there should be no deduction for employment insurance benefits received by the plaintiff after the first and third accidents from the award for past wage loss.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last sentence at paragraph [157] will now read:</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[157] I therefore calculate her past loss of income from March 19, 2010 until July 29, 2010 as $7,720.46 (gross), based on $406.34 x 19 weeks.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last sentence at paragraph [166] will now read:</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[166] Her gross wage loss during that period therefore was $8,670 (40 hours x $12.75 x 17 weeks).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sentence at paragraph [174] will now read:</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[174] In summary then, I have determined the plaintiff's past loss of earning capacity includes $30,959.21 in past loss of income (gross) and $9,360 in damages for loss of opportunity.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[202] (b) will now read: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$30,959.21 (gross) for past loss of income and $9,360 in damages for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Dinnissen v. Lee, [2019] B.C.J. No. 1902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26-30, December 3-7, 10-14, 17-21,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M155190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2019 BCSC 1729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Julie Dinnissen, Plaintiff, and Wai Tun Maggie Lee,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(261 paras.)</w:t>
      </w:r>
    </w:p>
    <w:p>
      <w:pPr>
        <w:jc w:val="both"/>
        <w:rPr>
          <w:rFonts w:ascii="arial" w:eastAsia="arial" w:hAnsi="arial" w:cs="arial"/>
          <w:sz w:val="20"/>
          <w:lang w:val="en-US" w:eastAsia="en-US" w:bidi="ar-SA"/>
        </w:rPr>
      </w:pPr>
      <w:bookmarkStart w:id="3" w:name="Counsel_0"/>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8"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A.A. Vecchio, Q.C., S.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K.N. Grieve, J.W. Joudrey.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_0"/>
      <w:bookmarkEnd w:id="4"/>
      <w:r>
        <w:pict>
          <v:line id="_x0000_s1029" style="position:absolute;z-index:251710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PLAINTIFF'S CLAIMED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DEFENDANT'S ARGUMENT ON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COURT'S FINDING ON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BRAIN INJURY AND PROGNOSIS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 Dost (Neurologist)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D. Cameron (Neurologist)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 Hayden (Neuropsychologist)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Medical Opinions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D.H. Smith (Psychiatrist)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 Browning (Psychologist)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 Perey (Orthopaedic Surgeon)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 Schwab (Family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IX. THE RULE IN </w:t>
      </w:r>
      <w:r>
        <w:rPr>
          <w:rFonts w:ascii="arial" w:eastAsia="arial" w:hAnsi="arial" w:cs="arial"/>
          <w:b/>
          <w:i/>
          <w:color w:val="000000"/>
          <w:sz w:val="20"/>
          <w:lang w:val="en-US" w:eastAsia="en-US" w:bidi="ar-SA"/>
        </w:rPr>
        <w:t>BROWNE V.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FINDINGS ON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G.S. FUNT J."/>
            <w:bookmarkEnd w:id="5"/>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20, 2013, the plaintiff was a pedestrian in a marked crosswalk when struck, at speed, by a car driven by the defendant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suffered serious injuries including a fractured right collarbone, a fractured left wrist, and an injury to her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denies that she was negligent and pleads that, if the plaintiff suffered any injuries, they "were entirely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consists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$275,000 to $300,000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$2,000,000 to $4,100,000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trust damages: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$30,340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$2,596,340 to $4,721,340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the plaintiff is awarded $2,206,945 consisting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$1,940,500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$43,105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trust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$30,340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r>
              <w:rPr>
                <w:rFonts w:ascii="arial" w:eastAsia="arial" w:hAnsi="arial" w:cs="arial"/>
                <w:color w:val="000000"/>
                <w:sz w:val="18"/>
                <w:lang w:val="en-US" w:eastAsia="en-US" w:bidi="ar-SA"/>
              </w:rPr>
              <w:t>:</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$2,206,945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II. BACKGROUND</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born in 1985. She has a twin sister and is one of six children. She was raised on a dairy farm in rural Ontario with a close and supportive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did well in high school while participating in competitive swimming. Her counsel summarized the plaintiff's high school and post-secondary education:</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02pt;height:256.5pt">
            <v:imagedata r:id="rId6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Prior to the Accident, the plaintiff was in good physical and mental health. She had no pre-existing conditions which would have been aggravated or exacerbated by the Accident. The plaintiff exercised regularly. She would run, hike, use the gym, and practice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well-respect and popular with friends. Her friends viewed her as goal-driven with a good work ethic. Ms. K. Keating became a friend of the plaintiff while working with the plaintiff at a clothing store in Victoria. I found Ms. Keating's testimony to capture matters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was Ms. Dinnissen's personality like during that time in Victoria?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Julie was very driven. You know, she was -- I saw her as a very strong woman who I kind of looked up to. She was very outspoken. She knew what she wanted and she was very driven in school. She would tell me stories about school and I could just get the sense that she was wanting to be at the top of the class. And when we were, you know, going out together she was always like the highest energy one. She just was up for anything, and she just really wanted to make something of her life and she was very, very driven.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you looked up to her. Why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Whereas I can be more shy and sensitive, I saw in Julie someone who was less concerned about what other people thought and was just wanting to succeed. And she just had this strong desire for success, and her career was so important to her and that sort of inspired me to leave, you know, retail.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 course I'm 19, so I'm still in that phase but, you know, after meeting Julie I went to esthetics school where I had an amazing career for five years. And she kind of was just the type to make you feel like you can do anything. You know, you're strong, you can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was her mood like in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 mood-wise? I mean, she was just a pretty well-adjusted, happy person, I guess. She didn't ever complain about anything emotionally. I -- she was one of my friends who I talked less to about my emotions at the time because she just really wasn't that person. She was, like, Julie, get it done, let's go do this and that and not dwell on our feelings.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have any observations about her activity level around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Julie was probably my most active friend.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obsessed with going to the gym every single day. Even if we were going out to a club and go dancing all night, she had to go home so that she could get ready -- she had to go to the gym. And she would run every day, and she was extremely fit. And, yeah, she was just go-go-go-go. And she was going on lots of dates and she always had exciting stories.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was your impression at that time of her sort of energy level?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was type A, high energy, never sleep. Goes to school, does her work, goes to the gym, maybe goes on a date, and then we go out after.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in a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testimony of the plaintiff's mother and twin sister were consistent with the plaintiff being an active and driven, well-adjusted woman in her late twenties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spring of 2013, the plaintiff obtained her Certificate in Kitchen and Bathroom Design from Algonquin College. She moved to Vancouver in the late summer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September 2013, the plaintiff worked for a few days at a firm called Cornerstone Kitchen and Bath Design ("Cornerstone"). She found the position with Cornerstone to be one more of an administrative assistant with little opportunity to engage her desire to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Cornerstone fired the plaintiff after learning that she had taken a day off for a purported doctor's appointment in order to attend an interview with Genesis Kitchen &amp; Design Ltd. ("Genesis). She had previously interviewed with Genesis. Genesis is a small business with several employees and contractors as part of its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September 16, 2013, the plaintiff received an offer from Genesis. Ms. Denise McIntosh is the principal of Genesis.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before her first day of work, the plaintiff was injured in the Accident.</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hospitalized for three days following the Accident. Her mother came from Ontario to see and help her daughter. After she was discharged from the hospital, the plaintiff stayed with her mother in a hotel for a couple of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24, 2013, the plaintiff and her mother met with Ms. McIntosh. Ms. McIntosh encouraged the plaintiff to take the time to heal. She left the position open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or about September 25, 2013, the plaintiff went to her twin sister's home in Rossland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October 4, 2013, the plaintiff returned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9, 2013, the plaintiff saw Dr. S. Schwab for the first time. Dr. Schwab wrote a note in support of a graduated return to work for the plaintiff. Dr. Schwab testified that the plaintiff was "bound and determined" to start employment with Genesis. Dr. Schwab became the plaintiff's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October 15, 2013, the plaintiff started work at Genesis. She still had a cast on her arm. Her attempt to work was not successful. She worked for two days. She was overwhelmed and in her words, "I didn't feel I could be there". As Dr. Schwab stated: "... in retrospect, maybe it was a bit too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November 20, 2013 to January 25, 2014, the plaintiff undertook a graduated return to work plan organized and developed by Ms. Jill Olson,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25, 2014, the plaintiff started to work full-time at Genesis as a junior designer.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2014, 2015, 2016, and 2017, the plaintiff met and exceeded Genesis's expectations. The plaintiff received promotions with her income increasing every year. Ms. McIntosh had a close working relationship with the plaintiff and viewed her as someone who could take over many of her duties over time as Ms. McIntosh wished to "sort of semi-retire".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Throughout her years with Genesis, the plaintiff struggled with cognitive fatigue. She testified that she would work extra hours at home in order to perform her work. She attributed this to her difficulty with multi-tasking, concentrating, and word-finding. Prior to the Accident, the plaintiff had not experienced such difficulties. After the Accident, she had to keep reminder notes and had difficulty switching from one task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she would frequently feel exhausted with little time for friends or other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in the late summer of 2017, she had a breakdown as a result of excessive fatigue. In examination-in-chief, she described matters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you describe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wanted to see Dr. Browning [her treating psychologist] again, and I just -- I couldn't control what was happening to my life anymore. I just felt like everything was falling apart.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sense was everything falling apart?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you know, I was scared. I wanted to do as much as I could at work, and I want to do that because my -- everyone in my industry is able to do all of these things, and I can't seem to be able to do it. I'm scared later on that I won't be able to sustain this until -- I just don't know how many years I can do it for. So it just made me feel like everything was falling apart.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August 28, 2017, the plaintiff had an update interview with Dr. Browning (a psychologist who had treated her after the Accident). On September 5, 2017, Dr. Browning reported to the Insurance Corporation of British Columbia and recommended further treatment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2018, the plaintiff decided to start her own business. She testified that she had always wanted her own business. She believed that with her own company she could determine her own schedule and hours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March 2018, the plaintiff told Ms. McIntosh of her plan to establish her own business. Ms. McIntosh asked the plaintiff if she could stay with Genesis until mid- December 2018. The plaintiff said she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2018, the plaintiff deliberately reduced her hours. Her performance at Genesis suffered. Ms. McIntosh noticed the change but was not overly concerned. In the spring of 2018, Ms. McIntosh and her spouse travelled with the plaintiff and the plaintiff's mother to Milan for a trade show and holiday. The plaintiff's travel expenses were paid by Genesis.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September 2018, the plaintiff incorporated Dinnissen Design Ltd. In her new business, the plaintiff's twin sister is a part owner. The plaintiff is to handle the kitchen and bath design aspects of the business and relationships with customers. The plaintiff's twin sister is to handle administrative tasks such as bookkeeping, invoicing, and accounts receivable and payable. The plaintiff wishes to help her twin sister. Her twin sister is married and is a successful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23, 2018, Genesis fired the plaintiff. The plaintiff had been speaking to some of Genesis's suppliers and customers as to her plans without informing Genesis. In examination-in-chief, the plaintiff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tell Denise that you were talking to these clients?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 you feel about having not told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feel -- I feel silly. I feel embarrassed. I feel like I should have terminated my employment instead.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any regrets about what you were doing around -- those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should have -- it made her feel -- I made her feel like a fool, and I feel terrible about that. I always made it seem as though I -- you know, I would always to be her go-to-girl, and I let her down in that. I feel terrible.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Aside from those few, did you ever pursue other clients?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that I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Genesis's firing of the plaintiff was entirely reasonable and fair. That said, the plaintiff's actions have the hallmark of clumsiness and not duplicitousness.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PLAINTIFF'S CLAIMED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claims that she suffered the following injuries: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mild complicated traumatic brain injury, equivalent in outcome to a moderate traumatic brain injury;</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brain injury syndrome with cognitive fatigue, multi-tasking difficulties, word finding difficulties, irritability, difficulty concentrating, impaired memory, anxiety and low mood;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psychiatric/psychological sequelae caused by the traumatic brain injury;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fractured right collarbone;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fractured left wrist;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lability, irritability and impulsivity, perseveration;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Disorder;</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fractures to the plaintiff's right collarbone and left wrist have resolved fully with the exception of some pain in the left wrist, especially with heavy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main claimed injuries creating controversy are those giving rise to cognitive fatigue, multi-tasking difficulties, concentration difficulties, and impaired memory. These injuries have the greatest impact on the plaintiff's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examination-in-chief, the plaintiff described her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fatigue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energy levels before the accident, tell us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great. I was -- I was a go-getter. I wanted to do everything, and I did. I never lacked energy. Never lacked energy.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after the accident, how did that change?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night and day. I couldn't -- I wasn't the same.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does the fatigue - like, in a typical day, how does the fatigue progress?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all day, but it will get worse towards the end of the day, and so that's when, you know, word finding gets worse. My concentration gets worse. I get frustrated easily. I get irritable which makes it hard to meet -- like, in industry, you meet clients after their work because they work full-time, so it makes it hard for me to do my job.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What's the biggest impact that your fatigue has had on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doesn't allow me to live -- like I said, I feel like different person because I'm not living my life the way that I was before as far as just different elements of my life.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are you living your life now that's different?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my energy -- whatever energy I do have in the day is spent at work. So if I -- so I just don't have -- and then I also like to be physically active, so a lot of it is for work and that and then, you know, as far as a social element of my life, it's diminished quite a bit.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you're focussing on work, how does the fatigue play in the rest of your life?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just doesn't really allow me to live the life that I used to live, which was pursue anything that I want and achieve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has your social life been impacted by the fatigue?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lucky that I have a good group of friends, so they understand my situation, and so they're there for me. I only see them once in a while instead of -- you know, I'd like to see them on a regular basis like, you know, twice a week, three times, whichever, like I used to, and now it's -- I see them one at a time on more of a -- you know, once or twice month.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impact has it had on broadening your social network?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haven't really broadened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does the fatigue show itself to you, manifest?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the same like I said earlier. It causes me to become irritable and frustrated. That's how I can tell that it's getting worse during the day. I can't concentrate.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fatigue and the concentration are related?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does the concentration -- how is it affected by the fatigue?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more I -- so I only -- to me I only have so much energy during the day, so then if I'm at work and we're in an open concept, there's a lot happening around me, so I use a lot of that energy to block that, so then, you know, towards the middle of the day, end of the day, then my energy is gone to block that, and so then I lose concentration.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how's your concentration later in the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not very good. That's why I try to leave early. That's not always 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does the fatigue set in in a typical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Like I said, it's always there. I don't really remember not having it present.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does it progress throughout the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more I -- so, like, a typical day for me for work would be to meet with clients. So it depends on what I'm doing that day. So if I meet a few clients in the morning, all my energy is spent on meeting with those people, so then at the end of the day, I'm so fatigued I can't really do anything. Any of the simple things I have a hard time to do, so I can't be, I guess, productive or efficient as I would like to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 you feel when you wake up in the morning?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Unrested. I feel tired.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much sleep are you getting a night?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good eight hours. I usually try to go to bed for 10:00, and I wake up around 6:30, so actually a little more than eight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many hours a day would you say you're productive before fatigue takes 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depends on what I'm doing during that day. So if I'm not meeting with clients, then I can -- I can go a little bit further in the day, but if I meet with people, then that's more draining for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does meeting with clients -- how does that impact your fatigue?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just steals all -- whatever energy I do have, meeting with new people is hard. It takes a lot out of you, and so it takes even more out of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What's the biggest trigger? Like, what causes your fatigue to act up the most?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Working, actually. So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many hours in a day are you productive?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productive in the morning, and then after lunch that's when my productivity starts going down. Again, it depends on what my day is that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a guess -- estimate of how many hours in a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say about -- I feel like I can be productive about five to six hours in the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found the plaintiff, her mother, her twin sister, and her friends to be credible and reliable witnesses. In assessing their testimony, I have weighed the plaintiff's financial interest in the outcome of the litigation and the close personal relationship that each of the other witnesses has to the plaintiff: </w:t>
      </w:r>
      <w:r>
        <w:rPr>
          <w:rFonts w:ascii="arial" w:eastAsia="arial" w:hAnsi="arial" w:cs="arial"/>
          <w:i/>
          <w:color w:val="000000"/>
          <w:sz w:val="20"/>
          <w:lang w:val="en-US" w:eastAsia="en-US" w:bidi="ar-SA"/>
        </w:rPr>
        <w:t>Leach v. Jesson</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2017 BCSC 577</w:t>
        </w:r>
      </w:hyperlink>
      <w:r>
        <w:rPr>
          <w:rFonts w:ascii="arial" w:eastAsia="arial" w:hAnsi="arial" w:cs="arial"/>
          <w:color w:val="000000"/>
          <w:sz w:val="20"/>
          <w:lang w:val="en-US" w:eastAsia="en-US" w:bidi="ar-SA"/>
        </w:rPr>
        <w:t>, paras. 51 to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parties presented considerable expert medical opinion evidence, including evidence from two neurologists, Dr. D. Cameron and Dr. R. Dost. Dr. Cameron and Dr. Dost have opposing medical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Cameron views the plaintiff's cognitive fatigue, multi-tasking difficulties and similar reported symptoms as probably permanent but they may be ameliorated to the extent that the ongoing psychological problems not directly caused by the existing physical injury to the plaintiff's brain may be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Dost opines that the foregoing symptoms are not caused by residual brain impairment. By the date of his assessment of the plaintiff, Dr. Dost says the plaintiff's brain would have healed fully. Dr. Dost's view is that the plaintiff's foregoing symptoms are based on psychiatric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Accident occurred around 8 p.m. on September 20, 2013 at the intersection of King Edward Avenue and Knight Street in Vancouver. It was raining heavily and it was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Attached as Schedule "A" is a schematic diagram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King Edward Avenue is an east-west avenue with two lanes in each direction. At the intersection, there is also a left turn lane to facilitate eastbound King Edward traffic to make a left turn to proceed northbound on Knight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Knight Street is a north-south street with three lanes in each direction. It also has a left turn lane to facilitate northbound traffic to make a left turn to proceed eastbound on King Edward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intersection is controlled by traffic lights. There is not a left turn green arrow light for eastbound King Edward traffic turning left to proceed northbound on Knight Street. Eastbound motorists turning left are required to yield to westbound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Immediately before impact, the plaintiff was crossing from the northwest corner of the intersection to the northeast corner of the intersection. The defendant was making a left turn from King Edward Avenue to proceed northbound on Knight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impact, the plaintiff was in the crosswalk near the left or centre northbound lanes of Knight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eastbound and westbound traffic on King Edward Avenue, the pedestrian signal sequencing for the north crosswalk across Knight Street is: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Walk (white pedestrian symbol) - 13 seconds (in some situations 18 seconds);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Don't Walk (flashing, red-hand symbol) - 17 seconds;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Don't Walk (steady, red-hand symbol) - 5.5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right front side of the defendant's car hit the plaintiff with the plaintiff rolling onto the vehicle's hood and then falling onto the pavement on the passenger side of the defendant's car. The plaintiff lost consciousness. The plaintiff first lay on the road and then she got herself to a kneeling position while still clearly dazed and unaware of her surroundings. Shortly after, firefighters and then ambulance paramedics arrived. The paramedics took the plaintiff to a nearby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remained in hospital for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time of the Accident, Ms. N. Pomerleau was waiting for a bus at a bus stop near the north-east side of the intersection. She did not see the immediate impact. She heard a "thump", looked up, and saw the plaintiff slide onto the hood of the defendant's car and then onto the road. She immediately called 9-1-1 as she ran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examination-in-chief, Ms. Pomerleau described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was her -- could you describe her condition when you came upon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was definitely -- her eyes were open but she was not conscious. She wasn't responding to us. Her eyes weren't moving. But, yeah, there was no indication that she was alert or aware at all.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Shortly after that, a few seconds after that, she started seizing, and this is while I was on the call to 911, so I was describing that to them. So her - she went quite stiff and -- but her shoulders started shaking, and - yeah, she started convulsing; not really violently, but obviously -- obviously seizing,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long did that seizing episode last, roughly?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guess 20 to 30 seconds.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she fell still again. Yeah, she was still for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she become alert or conscious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she did not. No, she was unconscious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how long would you estimate she was unconscious?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guess about 5 or 6 minutes she was fully unconscious. And when she became more alert, I don't think she was still fully conscious.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when she became more alert, as you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tried to stand, but she wasn't fully aware. She wasn't responding to us at all. It was as if she didn't see us, but we forced her to not stand, but she got up onto her knees.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did the first responders attend?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responders - eventually, but they were still quite a distance away because it was -- she was kneeling there for at least 30 seconds or so by the time they had arrived, and fire made it first, so -- I never interacted with any paramedics.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 paramedics eventually show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so,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Roughly how much time passed, say, from the time of the impact to when the paramedics showed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guess between 10 and 15 minutes.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have an estimate of how much time passed between when she regained some consciousness and when the paramedics showed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guess, like ... 3 to 4 minutes.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BC Ambulance Service dispatch records show that the first 9-1-1 call (Ms. Pomerleau was the first caller) was received at 20:05:06.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 Lencoe was an attending ambulance paramedic. In his testimony, he confirmed the times in the B.C. Ambulance Care Report. The relevant recorded times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 route to scene 20:09 At scene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 patient's side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Midazolam 2.5 mg administered</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20:22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destination (Vancouver General Hospital)</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 destination</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20:33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Care transferred</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20:36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Lencoe made and recorded a Glasgow Coma Score of 14 at both the scene of the Accident and at or near the hospital. In both scores, he assigned 4 out of 5 on the verbal component of the Glasgow Coma Score (the one point reduction from a normal score of 15). Mr. Lencoe did not have an exact record for the time of the second Glasgow Coma Score. He testified that he would usually make his final score either at the hospital or just shortly before arrival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20:22, Mr. Lencoe administered a sedative (Midazolam) to the plaintiff at the scene. The plaintiff was combative and disoriented. Mr. Lencoe sedated the plaintiff in order to transport her safely to the hospital and to prevent possible further injury, such as a cervical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Prior to the collision, the plaintiff had been jogging and had planned to meet a friend, Mr. James Trafford, to watch a movie at his place. She was later than she had planned. That said, there was not a definite time such as the start of a theatre movie. She had already passed Mr. Trafford's residence on her way to a store located on Knight Street near the northeast corner of King Edward Avenue and Knight Street to buy some food. She recalls texting Mr. Trafford to see if he wished her to pick up any particular snacks. Mr. Trafford could not say with certainty he received a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the plaintiff was wearing bright pink runners with reflective elements, black shorts, a light pink belt with reflective elements, a bright shirt, a multi-coloured headband, and had a backpack. As a result of the Accident, the plaintiff's backpack and phone were either lost or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recalls arriving at the northeast corner of the intersection with the signal against her and waiting until she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does not have a clear recollection as to whether she was walking, jogging, or running in the crosswalk immediately before impact. After starting to cross the road, she saw a car out of the right hand corner of her eye without time to react and being struck by the car. She has no other memory of the impact. She has no reliable or continuous memory until she was in the hospital emergency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is unequivocal that she remembers having "the right to cross". In cross-examination, she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there's a number of instances in the records where you have reported to people that you were running.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was running before so it just makes sense to be running at the intersection. But I -- if you were to ask me directly, do you remember running through the intersection, I can't answer that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you can't deny it either, can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possible also that the pedestrian light was in the flashing warning phase or even going red as you began to cross?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wouldn't have been going red because I waited for the green light.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that's really the only thing you remember at the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remember being able to cross; that's what I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by "being 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Having the right to cross.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does that mean that if you had established in your mind that the light was giving you an indication to go, you did not make any other effort to ascertain it was safe to 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remember having the right to go. That's what I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the plaintiff was late to meet her friend as planned, it was not a fixed time. I will not infer that because she may have been later than she had planned she would have entered the crosswalk unless having the "right to go". It was a rainy evening with busy traffic at a significant intersection. She had seven lanes to cross. Consistent with a sensible and cautious approach, she had already stopped at the corner to wait for the "right to go". She was wearing clothes that could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DEFENDANT'S ARGUMENT ON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Based on the testimony of Mr. Paul Vu, who was the driver of a stopped car heading northbound on Knight Street, the defendant argues that the plaintiff entered into the crosswalk after the "Walk" sign had ended. Prior to the Accident, Mr. Vu had stopped for the red light that faced him. He planned to proceed north and his car was either in the centre or left (not left turning) lane of Knight Street northbound.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makes the following argument that the plaintiff was entirely at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Leaving the Curb Against the "Don't Walk" Signal</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we start with the plaintiff's own evidence that she was running across the intersection, it cannot reasonably be the case that she left the curb at the beginning of the light cycle. There is insufficient evidence to select a precise speed of crossing, but she was athletic and it stands to reason she would have crossed considerably faster than if she had walked. At even 10 feet/second, she should have cleared the intersection prior to the "don't walk" signal even beginning had she left the curb at the beginning of the light cycle.</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best evidence regarding the state of the pedestrian signal when the plaintiff left the curb is consideration of the end of the light cycle, as there is a more reliable measure there from which to draw inferences. If we consider the testimony of Mr. Vu and count backwards, especially in light of the plaintiff running, more likely than not the plaintiff left the curb after the "don't walk" signal had come up.</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Vu arrived at the intersection when the light was already 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Direct - page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How long had you been waiting at the red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It was a while. Because I remember I was the first car, so then I didn't make, like, the previous green light, so I waited there the entire duration, so ...</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start with the light already having been red for an indeterminate amount of time before the accident. This was confirmed in cross- examination, along with his testimony that he sat for a period of time conversing with his passenger, periodically checking to see if the light had changed: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Cross - page 36/37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So sir, I understand you were stopped at the red light and you were the first vehicle. You said you didn't make the green. So was the light already red by the time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JAWORSKI: My Lord, I don't think he said he didn't make the green. I think he said he was at the red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WITNESS: I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Just one moment, we're in cross, so ... I don't see it right off but I -- I think Mr. Joudrey's right that he didn't make the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JOUDREY: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Sir, had you arrived on a green, you would have gone through;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Right. Okay. But what I was trying to get from you was the light was red, you were first in line, how long was the light red before you came to a stop?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believe it was a while because I wouldn't -- like I was talking to my friend, and then I would look to see if it was green. So if it just turned red, I wouldn't like, you know, talk to her for a second and then, like, look back to see if it was green.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Yeah. And you're having a conversation so you're not going to have a strictly timing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Right. And that's why you're periodically just really checking, has the light changed yet?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Okay. So not fair to ask you precisely how many seconds but you were there for a while before this happened?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Vu's testimony suggests that the light turned green for northbound traffic shortly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Direct. Day 5, p.35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And you don't remember how long after the impact you waited for the light to turn green?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Several seconds. It definitely didn't turn green, like, right away.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seconds" and not "right away", suggests a short interval of the 35.5 seconds (inclusive of 2 seconds in which lights are red for all directions - Ex.21) available before the light turned green for Mr. Vu. After we deduct "several seconds", there is likely at least 30 seconds for the plaintiff to have crossed to where the accident took place.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such, working backwards, the impact must have occurred near the very end of the light cycle. Since the plaintiff said both that she was running and that she was most likely running, it is much more likely than not she began to cross more than halfway through the light cycle, of which only 13 of 35.5 seconds permitted pedestrians to lawfully leave the curb. This makes it much more likely than not that the plaintiff left the curb at a time when the pedestrian signal was indicating "don't walk". As such, in all likelihood, the plaintiff was not lawfully in the intersection and the defendant was the dominant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Pedestrian Signal Implications for Causation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defendant having right of way due to the plaintiff not being lawfully in the intersection, it was for the plaintiff to prove that the defendant could have avoided her, running in the rain, at night. The plaintiff would need to prove the point in time a reasonable driver in the position of the defendant would have noticed the plaintiff's disregard of the defendant's right of way. At that time, we would need evidence of perception-reaction, distance, speed, and braking time on a wet road with sufficient certainty before any portion of fault could be attributed to the defendant.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such, cases relied on by the plaintiff with respect to pedestrians "lawfully" in the crosswalk are inapplicable. Leaving against her statutory obligation set out in s.132(3)(a) puts the onus against the plaintiff, any doubt of which is to be resolved against the plaintiff according to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COURT'S FINDING ON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the defendant to be entirely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accept the plaintiff's unequivocal testimony that she had the "right to go". Her testimony is supported by the surrounding circumstances. She lawfully entered the crosswalk and, accordingly, enjoyed the right of way under the common law and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ss. 127, 132, 144 and 181; </w:t>
      </w:r>
      <w:r>
        <w:rPr>
          <w:rFonts w:ascii="arial" w:eastAsia="arial" w:hAnsi="arial" w:cs="arial"/>
          <w:i/>
          <w:color w:val="000000"/>
          <w:sz w:val="20"/>
          <w:lang w:val="en-US" w:eastAsia="en-US" w:bidi="ar-SA"/>
        </w:rPr>
        <w:t>Suedat v. Kara</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2014 BCSC 1837</w:t>
        </w:r>
      </w:hyperlink>
      <w:r>
        <w:rPr>
          <w:rFonts w:ascii="arial" w:eastAsia="arial" w:hAnsi="arial" w:cs="arial"/>
          <w:color w:val="000000"/>
          <w:sz w:val="20"/>
          <w:lang w:val="en-US" w:eastAsia="en-US" w:bidi="ar-SA"/>
        </w:rPr>
        <w:t>, paras. 14-16.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Vu's testimony is not sufficiently reliable to make the finding the defendant seeks. First, in everyday parlance, "several seconds" and not "right away" do not convey a precise meaning as to time. Second, as defendant's counsel recognizes in a previous question as to how long Mr. Vu was stopped at the intersection before the collision, it is "not fair to ask precisely how many seconds". Third, Mr. Vu had just witnessed the moment immediately after impact with what "looked like [the plaintiff] just jumped out of the car". Having regard to the fact that Mr. Vu had just seen the plaintiff immediately after impact, I cannot accept that his focus was on the timing of his light turning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plaintiff entered the crosswalk when the Walk signal was in her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pleaded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Suedat</w:t>
      </w:r>
      <w:r>
        <w:rPr>
          <w:rFonts w:ascii="arial" w:eastAsia="arial" w:hAnsi="arial" w:cs="arial"/>
          <w:color w:val="000000"/>
          <w:sz w:val="20"/>
          <w:lang w:val="en-US" w:eastAsia="en-US" w:bidi="ar-SA"/>
        </w:rPr>
        <w:t xml:space="preserve">, Justice G.P. Weatherill considered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circumstances similar to the present case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pedestrian in a crosswalk must be proven by the defendant on the balance of probabilities.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Wallace J.A. stated at page 120: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right-of-way, whereupon the plaintiff's obligation to avoid injury to herself superseded her right to exercise her right-of-way. </w:t>
      </w:r>
      <w:r>
        <w:rPr>
          <w:rFonts w:ascii="arial" w:eastAsia="arial" w:hAnsi="arial" w:cs="arial"/>
          <w:color w:val="000000"/>
          <w:sz w:val="20"/>
          <w:u w:val="single"/>
          <w:lang w:val="en-US" w:eastAsia="en-US" w:bidi="ar-SA"/>
        </w:rPr>
        <w:t>The onus is on the defendants to establish that the plaintiff knew or ought to have known, that the defendant driver was not going to grant her the right-of-way, and that, at that point of time, the plaintiff could reasonably have avoided the accident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of G.P. Weatherill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Pedestrians in crosswalks are not required to exercise "extreme vigilance" to ensure they won't be struck (</w:t>
      </w:r>
      <w:r>
        <w:rPr>
          <w:rFonts w:ascii="arial" w:eastAsia="arial" w:hAnsi="arial" w:cs="arial"/>
          <w:i/>
          <w:color w:val="000000"/>
          <w:sz w:val="20"/>
          <w:lang w:val="en-US" w:eastAsia="en-US" w:bidi="ar-SA"/>
        </w:rPr>
        <w:t>Jung v. Krimmer</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(1990), 47 B.C.L.R. (2d) 145</w:t>
        </w:r>
      </w:hyperlink>
      <w:r>
        <w:rPr>
          <w:rFonts w:ascii="arial" w:eastAsia="arial" w:hAnsi="arial" w:cs="arial"/>
          <w:color w:val="000000"/>
          <w:sz w:val="20"/>
          <w:lang w:val="en-US" w:eastAsia="en-US" w:bidi="ar-SA"/>
        </w:rPr>
        <w:t xml:space="preserve"> (C.A.), leave to appeal ref'd </w:t>
      </w:r>
      <w:hyperlink r:id="rId71" w:history="1">
        <w:r>
          <w:rPr>
            <w:rFonts w:ascii="arial" w:eastAsia="arial" w:hAnsi="arial" w:cs="arial"/>
            <w:i/>
            <w:color w:val="0077CC"/>
            <w:sz w:val="20"/>
            <w:u w:val="single"/>
            <w:shd w:val="clear" w:color="auto" w:fill="FFFFFF"/>
            <w:lang w:val="en-US" w:eastAsia="en-US" w:bidi="ar-SA"/>
          </w:rPr>
          <w:t>[1991] S.C.C.A. 36</w:t>
        </w:r>
      </w:hyperlink>
      <w:r>
        <w:rPr>
          <w:rFonts w:ascii="arial" w:eastAsia="arial" w:hAnsi="arial" w:cs="arial"/>
          <w:color w:val="000000"/>
          <w:sz w:val="20"/>
          <w:lang w:val="en-US" w:eastAsia="en-US" w:bidi="ar-SA"/>
        </w:rPr>
        <w:t xml:space="preserve"> (S.C.C.)).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pedestrian, the defendant must show more than inattention. A defendant must also establish (1) at what distance the pedestrian should have realized from the speed of the approaching vehicle it was not going to yield; (2) it would it have been possible for a pedestrian to avoid being impacted; and (3) that a reasonable person in the circumstances of the plaintiff should have taken evasive action to avoid the impact: </w:t>
      </w:r>
      <w:r>
        <w:rPr>
          <w:rFonts w:ascii="arial" w:eastAsia="arial" w:hAnsi="arial" w:cs="arial"/>
          <w:i/>
          <w:color w:val="000000"/>
          <w:sz w:val="20"/>
          <w:lang w:val="en-US" w:eastAsia="en-US" w:bidi="ar-SA"/>
        </w:rPr>
        <w:t>Foreman v. Mortz</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2001 BCSC 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Dionne v. Romanick</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Farand v. Siedel</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2013 BCSC 323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Paskall v. Scheithauer</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2014 BCCA 26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fact that the plaintiff was wearing dark clothing and using a dark umbrella is not evidence in and of itself that she was contributorily negligent. She was entitled to wear whatever colour and clothes that was appropriate that evening and there was no evidence that her failure to wear light clothing would have prevented being struck (</w:t>
      </w:r>
      <w:r>
        <w:rPr>
          <w:rFonts w:ascii="arial" w:eastAsia="arial" w:hAnsi="arial" w:cs="arial"/>
          <w:i/>
          <w:color w:val="000000"/>
          <w:sz w:val="20"/>
          <w:lang w:val="en-US" w:eastAsia="en-US" w:bidi="ar-SA"/>
        </w:rPr>
        <w:t>Achilleos v. Nix</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2000 BCSC 1422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plaintiff was in a marked crosswalk, although probably running. The left front of the defendant's vehicle struck the plaintiff who was moving from the defendant's right to left. The plaintiff was there to be seen.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my judgment the evidence falls short of establishing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The defendant is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did not testify. I draw the inference that the defendant had no evidence to discharge her onus to prove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drawing an adverse inference, our Court of Appeal in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 first observe that "[w]hether an adverse inference is drawn from failure to call a witness is a question for the trier of fact":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33. Nor is a judge bound to draw an adverse inference from the failure of a witness or party to testify: </w:t>
      </w:r>
      <w:r>
        <w:rPr>
          <w:rFonts w:ascii="arial" w:eastAsia="arial" w:hAnsi="arial" w:cs="arial"/>
          <w:i/>
          <w:color w:val="000000"/>
          <w:sz w:val="20"/>
          <w:lang w:val="en-US" w:eastAsia="en-US" w:bidi="ar-SA"/>
        </w:rPr>
        <w:t>Weeks v. Baloniak</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2005 BCCA 193</w:t>
        </w:r>
      </w:hyperlink>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law relevant to adverse inferences was helpfully summarized in </w:t>
      </w:r>
      <w:r>
        <w:rPr>
          <w:rFonts w:ascii="arial" w:eastAsia="arial" w:hAnsi="arial" w:cs="arial"/>
          <w:i/>
          <w:color w:val="000000"/>
          <w:sz w:val="20"/>
          <w:lang w:val="en-US" w:eastAsia="en-US" w:bidi="ar-SA"/>
        </w:rPr>
        <w:t>Zawadski v. Calimoso</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where Mr. Justice Voith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An adverse inference may be drawn against a party if, without sufficient explanation, that party fails to call a witness who might be expected to provide important supporting evidence if their case was sound: </w:t>
      </w:r>
      <w:r>
        <w:rPr>
          <w:rFonts w:ascii="arial" w:eastAsia="arial" w:hAnsi="arial" w:cs="arial"/>
          <w:i/>
          <w:color w:val="000000"/>
          <w:sz w:val="20"/>
          <w:lang w:val="en-US" w:eastAsia="en-US" w:bidi="ar-SA"/>
        </w:rPr>
        <w:t>Jones v. Trudel</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2000 BCCA 298</w:t>
        </w:r>
      </w:hyperlink>
      <w:r>
        <w:rPr>
          <w:rFonts w:ascii="arial" w:eastAsia="arial" w:hAnsi="arial" w:cs="arial"/>
          <w:color w:val="000000"/>
          <w:sz w:val="20"/>
          <w:lang w:val="en-US" w:eastAsia="en-US" w:bidi="ar-SA"/>
        </w:rPr>
        <w:t xml:space="preserve"> at para. 32. The inference is not to be drawn if the witness is equally available to both parties and unless a prima facie case is established: </w:t>
      </w:r>
      <w:r>
        <w:rPr>
          <w:rFonts w:ascii="arial" w:eastAsia="arial" w:hAnsi="arial" w:cs="arial"/>
          <w:i/>
          <w:color w:val="000000"/>
          <w:sz w:val="20"/>
          <w:lang w:val="en-US" w:eastAsia="en-US" w:bidi="ar-SA"/>
        </w:rPr>
        <w:t>Cranewood Financial v. Norisawa</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xml:space="preserve"> at para. 127; </w:t>
      </w:r>
      <w:r>
        <w:rPr>
          <w:rFonts w:ascii="arial" w:eastAsia="arial" w:hAnsi="arial" w:cs="arial"/>
          <w:i/>
          <w:color w:val="000000"/>
          <w:sz w:val="20"/>
          <w:lang w:val="en-US" w:eastAsia="en-US" w:bidi="ar-SA"/>
        </w:rPr>
        <w:t>Lambert v. Quinn</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(1994), 110 D.L.R. (4th) 284</w:t>
        </w:r>
      </w:hyperlink>
      <w:r>
        <w:rPr>
          <w:rFonts w:ascii="arial" w:eastAsia="arial" w:hAnsi="arial" w:cs="arial"/>
          <w:color w:val="000000"/>
          <w:sz w:val="20"/>
          <w:lang w:val="en-US" w:eastAsia="en-US" w:bidi="ar-SA"/>
        </w:rPr>
        <w:t xml:space="preserve"> (Ont. C.A.) at 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Singh v. Reddy</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2019 BCCA 79</w:t>
        </w:r>
      </w:hyperlink>
      <w:r>
        <w:rPr>
          <w:rFonts w:ascii="arial" w:eastAsia="arial" w:hAnsi="arial" w:cs="arial"/>
          <w:color w:val="000000"/>
          <w:sz w:val="20"/>
          <w:lang w:val="en-US" w:eastAsia="en-US" w:bidi="ar-SA"/>
        </w:rPr>
        <w: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has not met her burden to prove that the plaintiff was contributorily negligent. I find the defendant 100%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BRAIN INJURY AND PROGNOSIS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Since the Accident, the plaintiff has, in particular, experienced cognitive fatigue, difficulty multitasking, difficulty concentrating,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To assist the readers in understanding the medical evidence, I will note that a traumatic brain injury is classified as mild, moderate, or severe. Within these general classifications there are sub-groups such as mild complicated traumatic brain injury and mild uncomplicated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Among the various medical experts, the Court had expert opinion evidence from two neurologists, Dr. D. Cameron and Dr. R. Dost. They have polar views as to the plaintiff's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Dost views the plaintiff's symptoms as psychiatric in nature with no current neurological cause and that the "treatment of her psychiatric problem will lead to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Cameron views the plaintiff's symptoms as originating to a degree from cellular death within the plaintiff's brain (a neurological cause) and therefore psychological treatment can not resolve all of the plaintiff's symptoms. Dr. Cameron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separate out to what degree the ongoing cognitive problems are due to the original moderate traumatic brain injury that she sustained at the time of this accident and to what degree these ongoing cognitive problems are due to her chronic pain and ongoing psychological problems. Ms. Dinnissen does report improvement in pain but not resolution in her pain at this time. Ms. Dinnissen is also suffering with ongoing psychological problems. If Ms. Dinnissen has resolution of the psychological problems following psychological therapy any residual cognitive problems would be predominantly due to residual effects of the moderate traumatic brain injury that she sustained at the time of this accident. Any ongoing cognitive problems residual to the moderate traumatic brain injury and ongoing pain and discomfort is probably permanent in nature as I have assessed Ms. Dinnissen in February 2017, over three years following the original pedestrian/motor vehicle accident of September 20, 2013.</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 Dost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Dost is a medical doctor with a specialty in neurology and was qualified to opine on the "diagnosis, prognosis, rehabilitation, and functional outcome in impairments of traumatic brain injury which includes expertise in reviewing imaging of the brain and neurological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Dost prepared a June 13, 2018 independent medical examination report (September 14, 2017 assessment) and an October 15, 2018 addendum. In his addendum, Dr. Dost states that his opinion in his June 13, 2018 report remains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June 13, 2018 report, Dr. Dost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sustained a mild complicated traumatic brain injury, I conclude that she has made a full recovery meaning that she does not have brain damage as the etiology of her ongoing cognitive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ongoing cognitive issues reflect the interference effects of psychiatric factors. I would recommend a psychiatric assessment and I would like the report provided for a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rationale and reasoning behind the conclusion can be found in the appendix. [I have attached the appendix as Schedule "B" to these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Succinctly, the literature states the following:</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size of mild complicated TBI is equivalent to the effect size of mild uncomplicated TBI at six months, which is equivalent to normal controls. Therefore, the effect size at six months is zero.</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size of psychological factors is large.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physician is faced with multiple potential etiologies for a particular outcome, the physician should select the cause or causes known to cause the outcome, and then select the cause or causes with the most significant effects.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particular case, she is self-reporting psychiatric issues and their effect size is large whilst the effect size of mTBI is negligible. Therefore, the psychiatric factors are causing her ongoing cognitive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Irrespective of the label placed on the plaintiff's cognitive issues, the single best determination of outcome is the plaintiff's demonstrated functional performance.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self-report, the plaintiff relates that the cognitive issues make her less efficient at work, but are otherwise not disabling.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finds that in the morning, she is quite alert and lucid, but by the afternoon, she has cognitive fatiguing.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expect that if these are based on psychiatric issues, then treatment of her psychiatric problem will lead to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given little weight to Dr. Dost's opinion for several reasons. First, Dr. Dost takes a primarily statistical approach based on medical literature rather than focusing on the plaintiff with her particular health history, medical imaging, and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his approach, Dr. Dost in cross-examination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Doctor, you have to use clinical evidence;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so the clinical evidence is -- the evidence in the literature is the sum total of everybody's experiences, and one single clinician's experience is a weak substitute for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Doctor, we're talking about - you're talking about literature. Now I'm talking to you about evidence with respect to a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So the literature is the combined evidence of all patients and all experiences and thousands of clinicians.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what we're dealing with is a patient. You don't diagnose somebody in literature, you diagnose them based on their clinical history;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but that's all based on the literature which tells you how to diagnose it, which is published and peer reviewed.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let's go with the evidence that you have. Okay. We'll talk about peer review.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 evidence you have is this: You talked yesterday about this individual having a bump on the head essentially?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Scalp. And the possible contusion in one of the lobes?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you reviewed that evidence;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the evidence that you've based your opinion on in part, that you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part. That took it from mild uncomplicated to mild complicated.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Following a primarily statistical approach, Dr. Dost dismissed the fact that the second CT scan, taken September 21, 2013, showed a linear skull fracture on the right side of the plaintiff's skull. He does not address the skull fracture in his report or addendum. As noted, Dr. Dost viewed the plaintiff as having essentially a "bump on the head" and a possible contusion in one of her brain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a crack in the skull may not be conclusive evidence of a forceful impact, it is information warranting inclusion in a medical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examination-in-chief, Dr. Dost recognizes the degree of force and the potential for structural changes to the brain.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you're looking at the mild uncomplicated subgroup, or you're looking at brain injuries in general, they're on a continuum. They're not actually the - they're not the same.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a severe brain injury is not the same as mild. So depending on how much force is transmitted, the mild - you have a neurometabolic cascade that occurs, which is a chemical reaction causing temporary dysfunction impairments. And then they fully recover. There is actual no structural change.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you get more severe injuries, you can have some structural changes, which may or may not translate to impairment because the brain does recover. When you get to the severe end, then there's significant structural changes, so we're talking about GCS scores of 9 or lower, and a comatose for a day. But in the minor ones, it's a transient effect because there's no damage. So that's mild uncomplicated.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linear skull fracture should have been noted and analyzed by Dr. Dost as part of one of his reports. As may be seen below, Dr. Cameron, in one of his reports, refers to "acute trauma to the skull" in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Second, Dr. Dost's clinical testing is suspect. Dr. Dost met with the plaintiff for 27 minutes in the morning of September 24, 2017 in order to conduct his assessment. During this time, Dr. Dost asked her a number of unchallenging questions as part of an intake questionnaire (e.g., height, time in hospital, work hours,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cross-examination, Dr. Dost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Diffuse axonal injury [DAI] is one of the most common and important pathological features in TBI, constituting mostly microscopic damage that often disrupts normal neuronal functioning. Agreed?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Depends on the severity.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may result in disruptions of optimal cognitive functioning, including the executive function, as well as memory and attention deficits. Agreed?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 result of the slow processing resulting from many microscopic sites of diffusely distributed damage, activities that were automatic may now only be accomplished with deliberate effort which is further fatiguing. Agree? [my DARS correction of the transcript]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Agree. I do have question, though, with the DAI. What was the processing speed index in Dr. Hayden's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going to - I don't know, Doctor.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it's because I don't recall it being impaired, which is unusual if there's not DAI. So if you have DAI you have significantly impaired processing speed, which I didn't find during my exam either, which again argues against DAI because they're talking about the processing speed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They're talking about that and fatigability; right, Doctor?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are, but I didn't see the slow processing speed either in her report or during my exam.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read her exam you saw there was executive function deficits;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like this study, you found that there was fatigability?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But what I'm saying is the processing deficits arise because of a proceeding speed problem and that wasn't detected, so it suggests to me that the executive problems are not organically originating, which again points to a psychiatric cause.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Hayden actually testified about that so her evidence is before the 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 can read the processing speed. It wasn't a problem. And I - when I did the assessment I didn't see a processing speed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did what assessment, Doctor? You're a clinical minute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 minutes?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I'm checking her processing as she is speaking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do not accept that even an experienced neurologist can observe and determine decreased processing speed except in obvious instances (e.g., slow to answer easy and readily understandable questions). Dr. Dost's method is further suspect in that he did not test the plaintiff later in the day after she had been at work for at least several hours. In the plaintiff's case, her cognitive fatigue occurred later in the day after several hours of work involving mental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cross-examination on his qualifications, Dr. Dost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Dr. Dost, if I understand your evidence, you are -- you work with neuropsychologists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work with them side by side, but we would ask for a neuropsychological test, and then the test would be sent. Just like an MRI, and then I would look at it and interpret the impairments that are listed with the clinical history to determine whether my working diagnosis is correct or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I'm asking you, do you work with neuropsychologists, do you actually refer to neuropsychologists;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can refer to neuropsychologists or I already have a neuropsychological report that's already been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you're able to look at a neuropsychological report and comment on that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I can't -- so I can't determine whether or not the testing was appropriate, but I can say -- what I rely on them to do is determine where the impairments are. So I rely on them to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so it's something that in the normal protocol, you would send to a neuropsychologist -- you rely on them for their results;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results,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rely on their opinion with respect to what their results are;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opinion as far as the impairment is concerned, the lack of function.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why you refer to neuropsychological literature, because you find that science is a very stable and good science for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an objective basis of brain function;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why you're referring to neuropsychological literature extensively;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discussed below, Dr. S. Hayden, a neuropsychologist, extensively tested the plaintiff. She administered or had administered a battery of neuropsychological tests. Among other matters, the tests shows a normal processing speed but a deficit in executive function. Dr. Hayden viewed the deficit in executive function as consistent with an existing brain injury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Third, Dr. Dost failed to consider the possibility that the patient lost consciousness in the Accident. In his June 13, 2018 report, Dr. Dost in referring to the BC Ambulance Patient Care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indicates a GCS of 14. "... </w:t>
      </w:r>
      <w:r>
        <w:rPr>
          <w:rFonts w:ascii="arial" w:eastAsia="arial" w:hAnsi="arial" w:cs="arial"/>
          <w:i/>
          <w:color w:val="000000"/>
          <w:sz w:val="20"/>
          <w:lang w:val="en-US" w:eastAsia="en-US" w:bidi="ar-SA"/>
        </w:rPr>
        <w:t>Witnesses state no LOC, but pt confused &amp; disoriented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BC Ambulance Patient Care Report dated September 20, 2013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Pt was hit by a car making a left turn, one witness states Pt had a 3 min LOC [loss of consciousness] [with] tremorus activity. Other witnesses state no LOC. But Pt confused &amp; disoriented.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arrival, Pt on knees &amp; hands with face looking towards 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Pt confused &amp; unable to co-operate with allowing c-spine precautions. With much difficulty, able to move Pt onto clam shell &amp; applied hard collar. States healthy. Pt would not co-operate, despite reassurance. Pt kept lifting her head &amp; trying to sit up. Administered denies. 2.5 mg midazolam i.m. to L deltoid in order to allow Pt to stay still to prevent further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Initially, Pt no orientation to place, time, environment. Upon hospital arrival, Pt able to recall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report, Dr. Dost does not refer to the witness who is recorded as telling the BC Ambulance paramedics that the plaintiff had a "3 min LOC [with] tremorus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Dost testified that a lay person cannot determine whether a person has met the criteria for a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 further part of the BC Ambulance Patient Care Report, the plaintiff's mental status is recorded as "Combative" and "Confused" by Mr. Lencoe.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Dost should have addressed the plaintiff's apparent loss of consciousness as described by passerbys and the plaintiff's uncharacteristic combative and confused behaviour. Such facts may be reasonably be expected to be considered as material to a trier of fact. The role of an expert is to assist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cross-examination, Dr. Dost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want you to assume that if you had evidence that she -- and I understand what you said yesterday, that she had lost consciousness, there was a loss of consciousness, that would be an important fact to put in there;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if it's going to change the grading, but the problem is the witness can't determine it. I told you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If there was an independent witness that came into this courtroom and gave evidence that she was nonresponsive, there was a loss of consciousness and told the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because the loss of consciousness has to be determined by a person trained to apply a test for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you - let's just go to hypothetical.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Let's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assume that that person understood what loss of consciousness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make that assumption.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that would be important evidence to put into your opinion; correct? There was a loss of consciousness, not just confused?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if it's less than 30 minutes because it doesn't increase the grading.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evidence at trial supported a period of the plaintiff losing consciousness, and followed by seizures, combativeness, and confusion. The period without further influences was truncated by the ambulance paramedic administering a sedative in order to prevent further injury. Before the administration of the sedative, the total period was approximately 17 minutes. I am not satisfied that Dr. Dost analyzed matters with an inquisitive and investigative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Fourth, Dr. Dost testified that none of the other experts diagnosed the plaintiff as having suffered a moderate traumatic brain injury. A moderate traumatic brain injury may have affected the "effect size" in his statistical analysis. However, as may be seen below, Dr. Cameron opined that the plaintiff "suffered a complicated mild traumatic brain injury or moderate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Dost had a copy of Dr. Cameron's April 27, 2017 and June 18, 2018 reports at the time he wrote his October 15, 2018 addendum opinion in which he stated that his June 13, 2018 opinion remain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Fifth, as quoted above, Dr. Dost in his June 13, 2018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recommend a psychiatric assessment and I would like the report provided for a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 obtained a psychiatric assessment from Dr. P. Janke but the defendant did not give Dr. Dost a copy of Dr. Janke's report. Dr. Janke was not called as a witness at trial nor was his report tendered as expert opinion. Dr. Janke's report was given to the plaintiff and the plaintiff gave it to her medical experts. Under cross-examination by defence counsel, Dr. Cameron referred to Dr. Janke's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fact that Dr. Dost recommended a psychiatric assessment of the plaintiff and asked to see the relevant report makes his report provisional.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Neurology and psychiatry overlap. An evidence-based approach supports the seeking of an opinion from the other in order to provide confirmatory support. In cross-examination, Dr. Dost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asked that there be a psychiatric opinion in this case. That was you that asked for it;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So I wanted to know if my impression of her psychiatric problem is because she was endorsing significant psychiatric symptoms to me. And as a physician the fields do overlap, but I wanted an expert opinion on what the nature of those were.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said basically, I quote: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ongoing cognitive issues reflect the interference of psychiatric factors. I would recommend a psychiatric assessment and would like the report provided for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called the office of the defence and asked them for that report what did they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call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Do you follow up at all, Doctor, to determine whether there was a psychiatric opinion about her psychiatric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call them to ask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follow up, Doctor?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any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it's not psychiatric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mean, I was provided -- I did follow up in the sense that they already provided me the documents. I had the review by -- the report by Dr. Browning, I had the report by Dr. Sherri Hayden, and I had several reports by Dr. Derryck Smith. And that was in addendum and I issued another report, so I looked at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Okay. Doctor, we're going to get to how you looked at it. But let's talk about Dr. Janke.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anything because I wasn't provided anything from Dr. Janke.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noted above, the defendant gave a copy of Dr. Janke's report to the plaintiff. The plaintiff then gave a copy of it to her experts. In cross-examination, Dr. Cameron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sir, this is that we're doing. I'm not quibbling with you about it is a mild complicated and in terms of the spectrum. If we take from the tiniest concussion to the most severe brain injury, the general conversation of categories gets only cut into three pieces; right" When you say equivalent to, you're saying mild complicated falls within this extreme spectrum of mild complicated to the upper end of moderate. So when we say "equivalent," I'm trying to give the court a sense of exactly how big that middle category is.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understand what you mean. You're emphasizing this word "extreme." There's a range, basically, in the mild traumatic brain injury group, what problems they have, and I've explained this a few times. There's a range of complications that occur in a moderate traumatic brain injury group, and I've explained as well, and they tend to do worse. They tend to have -- a higher percentage of them tend to have her significant problems, prolonged problems, afterwards.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of the specialists who have assessed this patient have categorized this patient to have a complicated mild traumatic brain injury or the equivalent of a moderate traumatic brain injury. All of the specialists have indicated that she has long-term adverse effects of this brain injury, and as I said, Dr. Janke, myself, the other specialists who have seen her, have all said that she has permanent problems.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Dost, as you said, said that all of her problems are psychological afterwards. I don't agree with that statement. But the psychiatrist, Dr. Janke, has said that the psychological problems are a direct result of brain injury. They're not a reaction to injury. They're a direct result of the brain injury itself.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so that doesn't usually happen in patients with mild traumatic brain injury. This is a different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unhelpful to the fact finding process that a party holds back from one of its own experts an opinion of another of its experts where the areas of expertise overlap, especially when the opinion has been provided to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seen above, in his June 13, 2018 report, Dr. Dost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expect that </w:t>
      </w:r>
      <w:r>
        <w:rPr>
          <w:rFonts w:ascii="arial" w:eastAsia="arial" w:hAnsi="arial" w:cs="arial"/>
          <w:color w:val="000000"/>
          <w:sz w:val="20"/>
          <w:u w:val="single"/>
          <w:lang w:val="en-US" w:eastAsia="en-US" w:bidi="ar-SA"/>
        </w:rPr>
        <w:t>if</w:t>
      </w:r>
      <w:r>
        <w:rPr>
          <w:rFonts w:ascii="arial" w:eastAsia="arial" w:hAnsi="arial" w:cs="arial"/>
          <w:color w:val="000000"/>
          <w:sz w:val="20"/>
          <w:lang w:val="en-US" w:eastAsia="en-US" w:bidi="ar-SA"/>
        </w:rPr>
        <w:t xml:space="preserve"> these issues are based on psychiatric issues, then treatment of her psychiatric problem will lead to improvement.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Dost's opinion was provisional. In his October 15, 2018 addendum, his opinion remained unchanged. By this time, he had received the October 26, 2017 independent medical examination report prepared by Dr. D.H. Smith, a psychiatrist. In his October 26, 2017 report, Dr. Smith agrees with Dr. Cameron that in terms of outcome, a mild complicated traumatic brain injury is more like a moderate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sum, I have given little weight to Dr. Dost's report, addendum, and evidence. I find that he did not undertake a sufficiently thorough analysis of the plaintiff's symptoms and surrounding circumstances in order to provide sufficient reliability of opinion evidence to the Court. He was also somewhat hampered by not having been given a copy of Dr. Janke's report.</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D. Cameron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Cameron is a medical doctor with a specialization in neurology and was qualified to provide expert opinion evidence on the "diagnosis, prognosis, rehabilitation and functional outcomes, and impairments to traumatic brain injury and physical injuries, including the interpretation of radiological imaging and clinical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June 18, 2018 (May 31, 2018 reassessment), Dr. Cameron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of the date of my repeat neurological assessment of Ms. Dinnissen, she remains significantly partially disabled. She tried to return to work on a full- time basis but she could not handle the work because of the problems present as a result of the injuries that she sustained at the time of the accident. These problems include predominant cognitive problems, as well as physical limitations due to the chronic pain that she has suffered with as a result of her soft tissue, musculoskeletal, and orthopaedic injuries sustained at the time of this accident, and due to the development of significant psychological problems following this accident as a result of her injuries sustained at the time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reassessed Ms. Dinnissen in May of 2018 almost four years from the date of the accident. Patients improve to approximately two years following any type of physical injury, including traumatic brain injury. It is therefore my opinion that Ms. Dinnissen will probably remain permanently partially disabled to a similar degree that she was at the time of my follow-up neurological assessment in May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Cameron prepared an earlier report on April 27, 2017 (February 20, 2017 assessment) in which he similarly opines that the plaintiff's residual cognitive problems resulting from her brain injury were "probably permanent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his April 17, 2017 report, Dr. Cameron notes that the plaintiff reported as unresolved "ongoing pain in the left wrist and stiffness in the right shoulder" in relation to her soft tissue, musculoskeletal, and orthopaedic injuries. On general physical examination, Dr. Cameron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Musculoskeletal examination revealed normal range of movement of her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With respect to cellular damage and diffuse axonal injury, Dr. Cameron, in cross-examination,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also is the case that the focal macroscopic injury doesn't occur in isolation. A lot of people said, well, the lesion is over here; therefore, the rest of the brain is normal. That's not the case. What it is associated with is more significant diffuse axonal injury. The microscopic injury is more significant with these patients, and that's why they get into these problems afterwards and they have less likely incidence -- smaller reaction or smaller percentage of patients get out of the problem at long term. Higher percentage of these patients have long-term problems. All of the specialists who assessed this patient have said this. She's not getting out of this. She's having long-term problems.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re-examination, Dr. Cameron further explained the related concepts of plasticity and redundancy.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of the aspects that my friend touched on was redundancy and plasticity?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can't even say plasticity correctly.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Plasticity.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 So that is the notion that the brain would heal;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is this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is incorrect.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Can you elaborate on that, please.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have a hemorrhagic contusion within a brain, that area of the brain is dead. It does not revive. The surrounding cells, microscopically undergo specific focal blast-type injury as well. You may not see it on scan. You may see surrounding edema or swelling because of that microscopic injury transiently on the scan. If she'd had an MRI scan in the beginning, it may have shown, not shown up in the CT scan.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see this with strokes. We see this with contusions. We see this with all types of brain injury. The first scans will show the surrounding area. That area is also damaged, and a large number of the neurons in that surrounding area are dead. And so the area of damage is actually bigger than the contusion in a focal brain injury, and a larger area than what you see is dead neurons. And yes, there is some -- not plasticity, but there is some -- because of connections there is some -- some patients are improve more than you think they should based on the type of injury they have, but they all have residual problems following this type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cross-examination, Dr. Cameron was asked about the cause of the plaintiff's symptoms of "anxiety, waves of depression, irritability, decrease in patience, poor sleep habits, fatigue, decreased memory, decreased concentration, decreased multi-tasking abilities, problems making decision and word finding difficulties". Dr. Cameron testified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 Just these are collectively the various symptoms;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they were more pronounced at the beginning?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with improvement over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no. The symptoms of -- in part you're right. The symptoms of depression, anxiety, probably evolved a bit later, and then evolved over time, which is typical of the psychological response to injury, but then Dr. Janke, in his opinion, feels that some of the psychiatric problems or psychological problems that she developed are as a direct result of brain injury, and so part of the component of the early symptoms probably also psychological, right. But the average patient who -- with mild traumatic brain injury who has developed symptoms of psychological dysfunction, depression, PTSD symptoms in some cases, increased anxiety following injury, usually develop those symptoms over a few weeks to a few months afterwards because they keep -- they're mourning the loss of who they are, their identity.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they keep waking up every morning and they can't get back to who they were. Eventually they get more upset about the whole thing, more frustrated, and then they get depressed and more anxious and they can have a mixture of PTSD symptoms as well. So yes, most of these things are in the beginning, and natural history, as I said before, there's improvement over time. Some people get resolution; some people don't.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of course the difference with the psychological realm is that the psychological aspect is amenable to treatment?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a degree. The differentiation with that is that there is an end point to that as well. If the patient has a reactive depression to injury, any type of injury, they may improve over longer than two years with respect to the psychological fallout with the appropriate therapy, psychological therapy, et cetera.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patient has residual cognitive problems, residual psychological problems as a result of -- directly as a result of brain injury, not as easy to treat, and that's why Dr. Janke is recommending that she be on antidepressant medication probably for the rest of her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in other words, he's saying that she's reached her end point as far as recovery with the psychological symptoms at the point of his assessment and that she will probably not improve any more and that she will require long-term medication to try to deal with the ongoing depression, and he knows -- in neurology and psychiatry we know this because there's a huge crossover -- that the patient who has developed psychological problems as a direct result of brain injury or organic injury of brain is less amenable to therapy. [My DARS correction of the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again, always a matter of degree?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his April 27, 2017 report, Dr. Cameron described and explained the physical injury to the plaintiff's brain: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documented above in this report, and the clinical records document that Ms. Dinnissen had suffered an acute traumatic right subdural hematoma and left temporal lobe hemorrhagic contusion within her brain. It is important to, emphasize that traumatic subdural hematoma which involves hemorrhage within the subdural space overlying the brain does not occur in isolation. This acute subdural hematoma results from acute trauma to the skull and blood vessels in the subdural space surrounding the brain. The underlying focal area of the brain also undergoes focal contusion or bruising either at the microscopic level or at the macroscopic level. This is in association with diffuse axonal injury or diffuse microscopic injury that the brain structures suffer at the time of this type of traumatic brain injury. The vast majority of patients who suffer an uncomplicated mild traumatic brain injury have normal CT brain scans and/or normal MRI brain scans. This is due to the fact that the type of injury that occurs at the time of an uncomplicated mild traumatic brain injury is microscopic in nature and involves axonal disruption or disruption of intracellular and intercellular membranes within the brain. This results in a cascading effect involving extravasation of excitatory neurotransmitters and the transfer of ions across these disrupted membranes. This subsequently results in cellular death. All of these pathological changes occur microscopically and that is why the vast majority of patients who suffer an uncomplicated mild traumatic brain injury have normal CT brain scans and/or normal MRI brain scans performed at any time following this type of traumatic brain injury. The more severe the brain injury, the more likely patients suffer focal macroscopic brain injury. This is why, in my opinion, Ms. Dinnissen has suffered a complicated mild traumatic brain injury or moderate traumatic brain injury at the time of this accident. These focal macroscopic abnormalities are documented both on the CT brain scan and on the MRI brain scan performed following this accident of September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After Dr. Cameron had been questioned by counsel, I asked Dr. Cameron questions related to the foregoing paragraph from his April 27, 2017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I guess I'd just like to have a clear understanding of focal contusion and also the significance or the -- of microscopic versus macroscopic.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happens is the brain underneath an area of focal blunt trauma to the head with sufficient trauma to result in damage of the arteries or veins in the subdural space to cause the subdural hematoma, the underlying brain is also more significantly damaged than the diffuse brain. Same with a contusion of your arm. It's a local thing. It may spread out a little bit afterwards, but the rest of your arm is not as badly affected, so that local area is more affected. And so you're going to see macroscopically -- you may see a hemorrhagic [contusion] right underneath it, or you may see a shear injury right underneath it, which is a mild form of a hemorrhagic contusion, or you don't see it on a CT scan, you don't see it on an MRI scan, and the damage is microscopic, but you get more significant microscopic damage in that area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rest of the brain also undergoes diffuse axonal injury because of the acute trauma to the head and the brain itself, but that area underneath the subdural hematoma has more significant damage than the surrounding brain.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area underneath is in the temporal lobe, which it is in this case, then the temporal lobe being affected -- or affects basically memory, processing information, concentration, attention span, our personalities and other cognitive function, you're going to get -- this patient has an increased risk of having those types of problems after that type of focal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then the next sentence: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in association with diffuse axonal injury or diffuse microscopic injury that the brain structure suffered at the time of this type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this is the diffuse axonal injury which may or may not be seen on CT scan, usually is not. This is the basic definition of what happens to people with mild traumatic brain injury, and the -- as I said earlier, the CT scans, about 95 percent of them are normal, they don't see it; it's microscopic. About 90 percent of the MRI scans don't see it because it's microscopic. You may see on an MRI scan a focal area of shear injury that is macroscopic, but the diffuse axonal injury may or may not be seen on scans, usually is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more severe traumatic brain injury, i.e. moderate or severe traumatic brain injury itself, you see the diffuse axonal injury in the form of swelling or edema within the brain on the MRI scan, not usually on CT, possibly on CT. But the more severe the injury, the more likely you're going to see it on a scan.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mild traumatic brain injury, it's all microscopic. You don't see it on the scans. But this is what happens. They get disruption of the connections of the neuron populations by -- because of the disruption of the axons which carry messages to the different nerve cell population, and you get disruption of the intracellular and intercellular neuronal membranes themselves, and this results in permanent damage of the axons and the dendrites and also associated with this you get neuronal cell death. Obviously you don't get complete death. Otherwise your patient wouldn't survive. But it's enough in some cases -- and that's why we can't predict who's going to do that. If you get enough disconnections, the patient doesn't have enough of a recovery because of the redundancy of the system, and they have residual problems afterwards, which is the post-traumatic brain injury syndrome.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majority of patients have sufficient redundancy of the system, particularly young people, that the majority of people will recover and not have long-term post-traumatic brain injury symptoms or develop them at all. And of the patients who do develop them because of redundancy of the system, they're able to recover and resume normal activities over a few weeks to a few months. But this is what happens at the microscopic level at the time of the injury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 And one more sentence further down: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results in a cascading effect involving extravasation or - I can't say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Extravasation.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neurotransmitters and the transfer of ions across the disrupted membranes.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what happens with the cascade effect is this is the damage that occurs and as a result of this initial damage, then you get movement or transfer of excitatory neurotransmitters and ions across these disrupted membranes. When you get a transfer or extravasation of excitatory neurotransmitters you get release of things that are toxic to the cells themselves, and then secondarily cause further damage.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transfer of ions across these cells, calcium, sodium, potassium, other ions across those cells, disrupt the normal balance between the cells and metabolism of the cells and cause further damage to the cells and the axons and the dendrites and aggravate the problem. This is a pathological response to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the similar things that happen to you when you get a bruise on your arm. It turns purple. It turns blue afterwards. The change in the discolouration of the blood and all that stuff, and over time it slowly reabsorbs. The response of the initial blow and why you get the swelling is the response of the cells in your system to result in the swelling of your arm. The swelling of anywhere in your body that happens.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you were in a situation where that arm wasn't alive and you had a blow to that arm, you'd have no response and you wouldn't see the bruise. You wouldn't have the injury as far as the arm is concerned. You wouldn't have the response.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the response of the system to injury, and that further causes damage to the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I guess lastly on paragraph 33 and moving back to the top, the second sentence, and this deals with the subdural hematoma. You conclude the sentence saying: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does not occur in isolation. What were you referring to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means the underlying brain has the increased likelihood of more significant focal damage compared to the rest of the brain. As I said earlier, the rest of the brain undergoes diffuse axonal injury microscopically. The area beneath -- right beneath -- of the brain right beneath the subdural hematoma is likely to undergo more significant injury than the diffuse brain. And it might be microscopic still, but you're going to get a more significant cascade effect, damage of those cells in that area compared to the rest of the brain, or you may -- it may go as far as showing hemorrhagic contusion or shear injury in that area that -- not in this case, but in other cases that we see underneath the subdural hematoma. That area of the brain directly underneath it undergoes more significant damage than the diffuse brain.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sum, there is a physical component to the plaintiff's brain injury which causes, at least in part, the plaintiff's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his April 27, 2017 report, Dr. Cameron states as part of the plaintiff's history that the plaintiff had been "working full-time initially after she returned to work but she had to decrease her work schedule to 3 hours per day because she could not handle the full-time work due to her problems following this accident." This part of the plaintiff's history was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Cameron testified that the plaintiff had told him that she had reduced her hours to part-time and that he thought he was told that she worked three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cross-examination, Dr. Cameron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none of the experts were informed of the extent of her activities; right? You weren't?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but I'm explaining to you that she just -- I'm not -- I said this the other day. I'm not doubting that, that she was putting in more hours at work she may have been more functional at work, but that doesn't mean she's normal. And so you have to be very careful. Lay people think, oh, you're working 60 hours per week, oh, you're doing fine, everything's normal, but she's not. So she tried to do that to actually stay at that job and survive, but she couldn't do it, so she had to quit after two years and decrease her work level because she couldn't sustain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 in cross-examination put to the plaintiff that the reference to three hours per day was not true. The plaintiff testified that Dr. Cameron "must have misunderstood. I reduced my hours, but I was certainly not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find that there was an honest miscommunication between the plaintiff and Dr. Cameron. I found the plaintiff to be a credible and reliable witness. A bald-faced lie would be out of character with such a lie readily detectable. I do not accept that she attempted to deceive Dr. Cameron to believe that her symptoms were worse than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the correct information, Dr. Cameron's opinion did not change subsequently. In cross-examination,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But you're still arguing with me about the reason why she couldn't continue.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just giving you an - I'm not saying I disagree or agree because I don't know what she said to the court. But based on what she told me, based on the falloff -- she couldn't stay at that job full-time. She had to decrease her work, and you're agreeing with the statement, but you're saying she was more functionally able, which I didn't disagree with, that she was okay, she was working more than she came across to me as, and you said she was working 60 hours, but then she had to fall back to full-time, instead of full-time to three hours, so she may have been more functional, or she was putting in more time at work, but to her she's not more functional. And so it doesn't -- it doesn't change my opinion regarding this whole pattern.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Except that I agree that she may have been more functional.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With respect to the use of and usefulness of meta-analytical studies, Dr. Cameron in cross-examination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 meta-analytical study is one in which you gather up a variety of published literature, you evaluate them -- certainly this group did -- you evaluate them for methodological concerns to see if they're representative and valid. You accumulate all of their findings together so that when you compare like with like, you have a much larger sample group that's less likely to be influenced by outliers?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 qualification you have to make, particularly with this data regarding traumatic brain injury, and also this discusses mild traumatic brain injury, not complicated mild traumatic brain injury. You have to be careful about that because complicated mild traumatic brain injury, as we said before, is a more severe injury. I'm not denying that a percentage of patients who had this injury in a car accident or similar accident and they're potentially going to get compensation may have more prolonged symptoms or may have a contribution of their problems because of that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we also see -- as neurologists we also see many patients who have had injuries who have not -- are not going to get compensated who have the same problems, the same outcome, and any time I see these patients sitting in front of me, skiing accidents, snowmobiling accidents, snowboarding accidents, rugby accidents, soccer accidents, all of these related things that they're not being compensated for, they -- one general theme is, if you look at these patients, why would they want to be in this predicament? Why did they want to come and see me? Why would they want to see me? Why would they not go back to work? Why would they not be able to resume their previously normal activities? They don't want to be in this position. They want to get out of their skin as fast as they can, and that's why they develop these psychological problems. They keep waking up every morning and they can't get back to who they were.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I'm not denying it's part of this in some people, but it's not a generalized statement that you can make that all of these people who have been in car accidents are trying to get compensation; therefore they're disabled forever. The data is not saying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data is saying that a percentage of them are and it could be contributing to that situation. This person in this case wanted to get back to work. She tried the get back to work. She wasn't saying, oh, I can't work forever; I'm so disabled I can't do anything. She was desperately trying to get back to work. She went back to work and actually worked or time to try to do her full-time job. She couldn't do it. She lasted about two years and then she fell off and has gone down to a lower level.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in this case I don't know how much of a component of being paid out by this is going to influence her. Regardless of this, she wanted to go back the work. She wanted to be back to who she was before, and over time she evolved into the pattern that she realized that she can't do it.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 Hayden (Neuropsychologist)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the conclusion on the hearing of Dr. Hayden's qualifications, I ruled that Dr. Hayden, who holds a doctorate in psychology and has a specialty in neuropsychology, was "qualified to opine on neuropsychology, including quantitative and qualitative measures of brain dysfunction and cognitive behavioural impairments consistent with traumatic brain injury, including through interpretation of neuropsychological findings and medical imaging of areas of the brain to correlate these findings to opine on the various areas of brain function and aspects of brain function that may be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her March 1, 2016 report (February 1, 2016 assessment), Dr. Hayden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these factors Ms. Dinnissen certainly sustained a concussion/traumatic brain injury related to the 2013 MVA. Further, her neuropsychological profile is generally consistent with the coup (i.e., site of impact as evidenced by right skull fracture/right hemisphere CT scan findings-resulting in visual memory and visually mediated executive deficits) and contra-coup (i.e., left hemisphere-expressive language inefficiencies).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confound to the current findings is Ms. Dinnissen's mood status, although these issues appear related to the 2013 MVA as well. Regardless, such mood symptoms as well as physical issues following the MVA may exacerbate cognitive symptoms to some degree. However, the pattern of cognitive impairment cannot be fully accounted for by mood nor physical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At the time of testing, it had been approximately 2 years and 5 months since the MVA in September 2013. The usual course of recovery following traumatic brain injuries is that significant improvements are evident in the first 6 to 12 months, with some residual improvement up to 2 years post-injury. Such recovery can be prolonged in individuals with co-morbid pain and mood issues. Nevertheless, Ms. Dinnissen has made remarkable recovery from the significant injuries sustained in the MVA although her current symptoms will likely remain relatively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Although not foolproof, Dr. Hayden's tests showed "no indication that [the plaintiff] was manipulating or altering the true outcome". In cross-examination, Dr. Hayden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you're not suggesting that those measures are foolproof, are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They're not foolproof.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they're -- there's actually a good study that suggests that their outcomes of predictability is increased dependent on the experience of the clinician. So I guess my feeling is, given 25 years of experience in this business coupled with those measures -- my accuracy is not perfect, but it's reasonably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described, the plaintiff's cognitive difficulties correlated with the areas of injury to her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Hayden described aspects of the plaintiff's deficits in executive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then there are additional tests that we give for other aspects of thinking, like memory, attention, language and executive function. And for Ms. Dinnissen, her greatest deficit was really in the most complex measure we have for executive function, and that was the Wisconsin card sorting test, which is a computerized task where - it's sort of like, by name, you can tell it's a card-sorting test. So what happens if they have to make decisions about how to categorize one card and where to put it, how to put it into categories.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they get feedback, right or wrong, whether that response is correct, and during that task, it can shift, and so they have to realize, because they keep getting wrong responses, that the computer tells them they're wrong, that it's time to shift.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had difficulty on that, so she was in the 2nd to 5th percentile, meaning, you know, she's above only 2 to 5 percent of the population her age and education. And she had a number of perseverative errors. Perseveration is the tendency to keep responding in the same way and not change your behaviour, despite the fact that you're getting feedback to change your behaviour.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she had these perseverative errors also -- I believe they were in the 4th percentile, that tells us that she has trouble with that shifting.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in addition to that, she had below average responses on measures of expressive language. So her fluency, her ability to pull words out -- her vocabulary was okay, so that tells me that the words are in her brain, that the vocabulary is there. It's the system that pulls the words out and, again, that's more of a frontal function, as well as her naming. So we show her pictures and she has to name them. She had some difficulty with spontaneously naming the pictures that she saw, but to see if the words are in there, then we give her what we call phonetic cues, so that's a sound cue. If I show you a picture of a cup and you couldn't tell me what that is, I would say, "k," and that might pull the word.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for her she got a significant more correct answers with the phonetic cue. So what does that tell me? That tells me the words are in there; she just can't pull them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With respect to executive function and fatigue, Dr. Hayden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So clinically, I might have mentioned before, we can't specifically test for fatigue, but we can test the correlates for fatigue. And so what we know from research is that there's different types of mental fatigue. Some are related to attention. Some are related to processing speed and some are related to executive function. And the executive fatigue is that ability to feel overwhelmed or that experience of feeling overwhelmed or tired when there's lots going on, and that's related to that executive function of screening that is reflected in the Wisconsin card sorting test where she had some weakness.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you're looking for that Wisconsin and that correlate, what is that correlate telling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 correlate is the performance on the Wisconsin card sort test, and that tells me that she's going to be prone functionally to issues with shifting, with managing multiple inputs, with changing - she'll be more rigid, so she'll get stuck in ideas and behaviour and she won't change, even when it's in her best interest. And her brain -- the theories of that are that her brain is probably working more in those environments where there's lots of stimulus because she has this weakness, and that's what's causing the fatigue. That's -- you know, that's a theory. We can't prove it. We can't test it directly, but this is how we could understand one of the behaviours like fatigue in a patient like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her testimony, Dr. Hayden described that the plaintiff's deficit in executive function made it difficult for the plaintiff to screen extraneous or irrelevant sounds and other aspects of her environment so that she could focus on the task at hand. In cross-examination, Dr. Hayden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you're -- you're -- you're congregating them all as if they're equal. And so what you need to understand is that the type of executive deficit that she's presenting on the testing is a more encompassing deficit in the sense that it is your ability to screen. It's your ability to shift between the noises out there and what's happening here. I can hear that, but I don't stop talking because I'm shifting.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someone with this problem, she's going to get stuck. That's going to affect you in almost every aspect of your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Hayden also opined that the plaintiff's processing speed was normal. However, Dr. Hayden still found a deficit in executive function consistent with the plaintiff's brain injury. With respect to the physical brain injury and cognitive function, in examination-in-chief, Dr. Hayden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talk about the concussion and traumatic brain injury and you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neurological profile is generally consistent with a coup side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her neuropsychological profile, I felt, was generally consistent with what we know about coup and contrecoup injury, and that is - the deficits that we know exist or there's evidence to suggest exist on the side of impact, as well as the contrecoup, which is the opposite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the way that I typically explain it is if this was your brain and this was your spinal cord and your skull is around it, what happens is you have impact -- that's the coup side - and although there's protection with cerebral spinal fluid, you would see also -- if it strikes, you would see it bounce a little bit on the other side. That's why we see -- sometimes we see functional or cognitive deficits on the opposite side of where you have evidence of the structural change.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that's why I use that language, because it relates to the cognitive function and what we know about that in brain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short, Dr. Hayden found that the plaintiff had a deficit in executive function consistent with the areas of injury to the plaintiff's brain leading to cognitive impairment and cognitive fatigue. As noted, in her opinion, the plaintiff's symptoms "will likely remain relatively permanent".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Medical Opinions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Dr. D.H. Smith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D.H. Smith is a medical doctor with a specialty in psychiatry. He was qualified "to opine on the diagnosis, prognosis, rehabilitation and functional outcomes and impairments of traumatic brain injury, physical and psychiatric disorders resulting from trauma, including having an interest in neuropsychology".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Smith prepared two reports dated October 26, 2017 (October 20, 2017 clinical interview) and May 30, 2018 (May 15, 2018 clinical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his October 26, 2017 report, Dr. Smith agrees with Dr. Cameron's diagnosis that the plaintiff suffered a complicated mild traumatic brain injury. He also agrees with Dr. Cameron that "in terms of outcome these types of brain injuries are more like moderate brain injuries than they are like mild brain injuries". As noted, Dr. Dost had copies of Dr. Smith's reports prior to providing his October 15, 2018 addendum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Smith also describes that fatigue is a common problem following a brain injury and in the plaintiff's case, the fatigue "does not appear to be due to sleeping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part of his prognosis for the plaintiff, in his October 26, 2017 report, Dr. Smith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generally accepted that cognitive deficits following brain injury will be permanent two years after the injury. Since it is now more than four years after the accident any deficits as measured on Dr. Hayden's testing will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Similarly, Dr. Smith in his May 30, 2018 report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pointed out before, it is unlikely that any cognitive deficits will further improve with the exception of attentional abilities, which may improve with an increase in the dose of modafinil.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With respect to cellular death, Dr. Smith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 MRI referenced the left temporal lobe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believe that's the case. Let me just see because I do - yeah, if you look on page 5, paragraph 20: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MRI of the head showed evidence of left temporal lobe hemorrhage along with subtle volume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 think it's clear there was an injury to the left temporal lobe.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have subtle volume loss, what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means you've [lost] brain tissue, which is not a good thing. So after you sustain an injury to the brain, there can be cell death, and if there's enough cell death, the actual gross appearance of the brain is that it's shrunk and it's lost volume.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that what you meant with respect to what happened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Smith relied on Dr. Hayden's neuropsychological testing as reliably measuring the plaintiff's cognitive impairments.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Dr. J. Browning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J. Browning is a registered psychologist who was qualified to give expert opinion on "psychological diagnosis, prognosis, and treatment recommendations including with respect to psychological effects related to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Browning prepared a June 30, 2018 report and an addendum dated November 21,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Browning started to treat the plaintiff approximately one month after the Accident (initial assessments October 24 and 31, 2013). The plaintiff attended 19 treatment sessions from November 21, 2013 to April 29,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his June 30, 2018 report, Dr. Browning states: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our April 29, 2015 session, Ms. Dinnissen's mood was improved, she was managing her emotions well, work stress was lessened, family relations were better and fatigue was improved. We ended sessions with the proviso that she could contact me for further sessions should she require them.</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conducted an update interview with Ms. Dinnissen on August 28,2017 to assess what her current treatment needs might be, as she had a recurrence of emotional issues (See Appendix 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our update interview, Ms. Dinnissen was working as a kitchen designer. She was experiencing fatigue and trouble focusing at the end of the workday. She was having trouble with writing and reading thoroughly and with word-finding, particularly when tired. She was having stiffness and occasional sharp pains in her left wrist. She had to be careful about exercising and yoga because of her wrist.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her emotional status, Ms. Dinnissen's anger had improved. Every few months, she would have a period lasting a few weeks where she would feel down and her motivation would decline. She would push herself to work and to exercise, but would do little else. She was withdrawing from social events. Reminders of the accident and the legal case were triggers for these depressed periods.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Dinnissen was worried and anxious about recovery from her cognitive symptoms and about future cognitive symptoms and her ability to work.</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Dinnissen was being vigilant at intersections, but she was not having physical anxiety reactions, flashbacks, nightmares or reactions to seeing accidents on TV.</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Dinnissen had been sad and worried about her symptoms during the previous Christmas period. She was withdrawn and staying in her apartment. She had gone through a discovery before Christmas, which brought back feelings of anxiety and sadness about her symptoms.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provided a brief update report to ICBC on September 5, 2017 in which I stated that Ms. Dinnissen could benefit from some further cognitive behavioural therapy to assist her in addressing these intermittent periods of depression and anxiety (See Appendix F).</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a delay in funding, I did not see Ms. Dinnissen again until May 10, 2018 and June 7, 2018, when I conducted another update assessment (See Appendix G).</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my update interview of May 10, 2018, Ms. Dinnissen outlined that she had started a new medication, Modafinil, reportedly recommended by Dr. Smith during his independent assessment of her. She was upset and teary in the May 10, 2018 session regarding her fatigue. She was working long hours at work and having to do presentations and consultations, which she found exhausting and worrisome due to her fatigue levels. We discussed time management to cope with fatigue and future career options that could allow for more time flexibility, such as starting her own business.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7, 2018, I conducted a more detailed assessment of Ms. Dinnissen's status. She had intermittent pain in her right shoulder and left wrist.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memory and concentration, Ms. Dinnissen was forgetting details of conversations, and writing things down in multiple places to remind her to do tasks. She had some word-finding problems when talking to customers and making presentations, which she found embarrassing. She had to read emails she wrote three times before sending.</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her emotions, Ms. Dinnissen was irritable and frustrated. She was lashing out at friends and family and was having dreams about yelling at her employer. She was not sad. Her energy was low. Her concentration was low if she was tired. Her appetite and sex drive was normal.</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Dinnissen had anxieties about handling her life as she was feeling that she only had enough energy to handle work. She was also worried about her legal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his November 21, 2018 addendum, Dr. Browning opines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Ms. Dinnissen's anxiety and depression symptoms are a reaction to her disability from her memory, concentration and fatigue symptoms that impair her ability to work a full day and to engage in pleasurable social activities.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Browning's findings and opinions are consistent with those of Dr. Cameron, Dr. Smith, and Dr. Hayden. They are not inconsistent with Dr. Dost's view in that all of these doctors agree that there is a psychological component. As noted, Dr. Dost's opinion was that there was no existing neurological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find that there was, as described by Dr. Cameron, a physical brain injury leading to cellular death and damage which is a cause of the plaintiff's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also find that the plaintiff's August 2017 recurrence in emotional issues was consistent with a driven person trying to "get back to who they were".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Dr. B. Perey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B. Perey is an orthopaedic surgeon and was qualified to provide expert evidence on "the diagnosis, prognosis, rehabilitation and functional outcomes and impairments arising from physical injuries including orthopaedic trauma and musculoskeletal injuries with particular focus on injuries to the upper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Perey prepared two reports dated March 22, 2016 (March 17, 2016 assessment) and March 21, 2018 (March 6, 2018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his March 22, 2016 report, Dr. Perey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I do believe that Ms. Dinnissen sustained an intra-articular fracture of her left distal radius as a result of this motor vehicle accident. I do believe she was appropriately treated. I do believe that she was much more symptomatic in the first year. I believe her current symptoms are static and chronic and a direct result of this accident I do not believe that her symptoms will ever completely resolve. She sustained an intra-articular injury and has likely sustained damage to the capsule and articular surface about the scaphoid facet of her wrist. Her current symptoms are not extremely disabling. I do believe her symptoms will always bother her with heavy use of her wrist, especially with extension loading. I do believe the likelihood of deterioration in the future to be very low. I am not aware of any procedures that can help improve her current symptomatology. I would not consider any further physiotherapy. Bracing her wrist may be indicated for heavy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his March 21, 2018 report, consistent with his earlier report, Dr. Perey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I do not believe that the opinion put forth by myself on March 22, 2016 has in any way changed. Mrs. Dinnissen continues to remain symptomatic, especially with heavy use of her wrist or with extension loading exercises. I strongly doubt that any of these symptoms will worsen or improve with time. She currently has a chronic static disability related to this fracture.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Dr. S. Schwab (Family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S. Schwab became the plaintiff's family doctor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Schwab was qualified to give opinion evidence "with respect to addressing brain injuries, orthopaedic injuries, and other bodily injuries, including diagnosis, prognosis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Schwab prepared a report dated June 9, 2018. Dr. Schwab's observations and opinion were consistent with those of Dr. Cameron, Dr. Perey, Dr. Hayden, Dr. Smith, and Dr. Browning. Also as noted, I have found there is a permanent physical injury to the plaintiff's brain which is the cause of her cognitive impairments and her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IX. THE RULE IN </w:t>
      </w:r>
      <w:r>
        <w:rPr>
          <w:rFonts w:ascii="arial" w:eastAsia="arial" w:hAnsi="arial" w:cs="arial"/>
          <w:b/>
          <w:i/>
          <w:color w:val="000000"/>
          <w:sz w:val="20"/>
          <w:lang w:val="en-US" w:eastAsia="en-US" w:bidi="ar-SA"/>
        </w:rPr>
        <w:t>BROWNE V.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her written submission, the defendant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evidence was inconsistent; there were substantial inconsistencies, contradictions, and implausible answers, cumulatively suggest that the plaintiff was less than entirely genuine, may well have exaggerated considerably to both experts and her friends and family, and was not trying to be as objective and factual as she could be, unlike the plaintiff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Kostryba et al</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Her evidence at trial was rather different than what she told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defendant's submission that the plaintiff gave "implausible answers" and that she "was less than entirely genuine" are attacks on the plaintiff's credibility falling within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(U.K.H.L.).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also note that the defendant, in her response, did not plead fraud, deceit, deliberate exaggeration or other pleas that would put the plaintiff on notice that her character or credibility were to be put in issue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5th ed. (LexisNexis Canada, 2018) describes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16.210 It appears that, if the cross-examiner intends to impeach the credibility of a witness by means of extrinsic evidence, he or she must give that witness notice of his or her intention. This was the rule laid down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in which Lord Herschell explained the reason for it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my Lords, I cannot help saying that it seems to me to be absolutely essential to the proper conduct of a cause, where it is intended to suggest that a witness is not speaking the truth on a particular point, to direct his attention to the fact by some questions put in cross-examination showing that that imputation is intended to be made, and not to take his evidence and pass it by as a matter altogether unchallenged, and then, when it is impossible for him to explain, as perhaps he might have been able to do if such questions had been put to him, the circumstances which it is suggested indicate that the story he tells ought not to be believed, to argue that he is a witness unworthy of credit. My Lords, I have always understood that if you intend to impeach a witness you are bound, whilst he is in the box, to give him an opportunity of making any explanation which is open to him; and, as it seems to me, that is not only a rule of professional practice in the conduct of a case, but is essential to fair play and fair dealing with witnesses. Sometimes reflections have been made upon excessive cross-examination of witnesses, and it has been complained of as undue; but it seems to me that a cross- examination of a witness which errs in the direction of excess may be far more fair to him than to leave him without cross-examination, and afterwards to suggest that he is not a witness of truth, I mean upon a point on which it is not otherwise perfectly clear that he has had full notice beforehand that there is an intention to impeach the credibility of the story which he is telling.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if counsel is considering the impeachment of the credibility of a witness by calling independent evidence, the witness must be confronted with this evidence in cross-examination while he or she is still in the witness box.</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16.211 As explained in </w:t>
      </w:r>
      <w:r>
        <w:rPr>
          <w:rFonts w:ascii="arial" w:eastAsia="arial" w:hAnsi="arial" w:cs="arial"/>
          <w:i/>
          <w:color w:val="000000"/>
          <w:sz w:val="20"/>
          <w:lang w:val="en-US" w:eastAsia="en-US" w:bidi="ar-SA"/>
        </w:rPr>
        <w:t>R. v. Dexter</w:t>
      </w:r>
      <w:r>
        <w:rPr>
          <w:rFonts w:ascii="arial" w:eastAsia="arial" w:hAnsi="arial" w:cs="arial"/>
          <w:color w:val="000000"/>
          <w:sz w:val="20"/>
          <w:lang w:val="en-US" w:eastAsia="en-US" w:bidi="ar-SA"/>
        </w:rPr>
        <w:t>, the rationale for the rule is to prevent a witness from being "ambushed". Justice Weiler went on to say: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 is also a rule of common sense. By enabling the trial judge to observe and assess the witness when he or she is confronted with contradictory evidence and given an opportunity to explain his or her position, the rule promotes the accuracy of the fact-finding process. In doing so, it enhances public confidence in the justice system.</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16.212 In </w:t>
      </w:r>
      <w:r>
        <w:rPr>
          <w:rFonts w:ascii="arial" w:eastAsia="arial" w:hAnsi="arial" w:cs="arial"/>
          <w:i/>
          <w:color w:val="000000"/>
          <w:sz w:val="20"/>
          <w:lang w:val="en-US" w:eastAsia="en-US" w:bidi="ar-SA"/>
        </w:rPr>
        <w:t>R. v. Quansah</w:t>
      </w:r>
      <w:r>
        <w:rPr>
          <w:rFonts w:ascii="arial" w:eastAsia="arial" w:hAnsi="arial" w:cs="arial"/>
          <w:color w:val="000000"/>
          <w:sz w:val="20"/>
          <w:lang w:val="en-US" w:eastAsia="en-US" w:bidi="ar-SA"/>
        </w:rPr>
        <w:t xml:space="preserve">, Watt J.A. emphasized that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is rooted in fairness. He summarized the fairness considerations as follows: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 to the witness whose credibility is attacked: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witness is alerted that the cross-examiner intends to impeach his or her evidence and given a chance to explain why the contradictory evidence, or any inferences to be drawn from it, should not be accepted: </w:t>
      </w:r>
      <w:r>
        <w:rPr>
          <w:rFonts w:ascii="arial" w:eastAsia="arial" w:hAnsi="arial" w:cs="arial"/>
          <w:i/>
          <w:color w:val="000000"/>
          <w:sz w:val="20"/>
          <w:lang w:val="en-US" w:eastAsia="en-US" w:bidi="ar-SA"/>
        </w:rPr>
        <w:t>R. v. Dexter</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2013 ONCA 744</w:t>
        </w:r>
      </w:hyperlink>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313 O.A.C. 226</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at pp. 70-71.</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 to the party whose witness is impeached: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party calling the witness has notice of the precise aspects of that witness' testimony that are being contested so that the party can decide whether or what confirmatory evidence to call;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 to the trier of fact: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Without the rule, the trier of fact would be deprived of information that might show the credibility impeachment to be unfounded and thus compromise the accuracy of the verdict.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16.213 The rule applies not only to contradictory evidence, but to closing argument as well.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Lord Halsbury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my mind nothing would be more absolutely unjust than not to cross-examine witnesses upon evidence which they have given, so as to give them notice, and to give them an opportunity of explanation, and an opportunity very often to defend their own character, and, not having given them such an opportunity, to ask the jury afterwards to disbelieve what they have said, although not one question has been directed either to their credit or to the accuracy of the facts they have deposed to.</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16.214 The extent and manner of the rule's application will be determined by the trial judge in all the circumstances of the case. A judge may wish to consider whether:</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is given beforehand to the witness that his or her credibility is in issue;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testimony is of such a nature that it is obvious that credibility is in issue;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cross-examine is based on concern for the witness, as in the case of children of tender years;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subjects not touched on in cross-examination are of little significance in the conduct of the case and resolution of critical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Our Court of Appeal recently reviewed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The Court describes the rule as generally representing "the confrontation principle": </w:t>
      </w:r>
      <w:r>
        <w:rPr>
          <w:rFonts w:ascii="arial" w:eastAsia="arial" w:hAnsi="arial" w:cs="arial"/>
          <w:i/>
          <w:color w:val="000000"/>
          <w:sz w:val="20"/>
          <w:lang w:val="en-US" w:eastAsia="en-US" w:bidi="ar-SA"/>
        </w:rPr>
        <w:t>R. v. Podolski</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2018 BCCA 96</w:t>
        </w:r>
      </w:hyperlink>
      <w:r>
        <w:rPr>
          <w:rFonts w:ascii="arial" w:eastAsia="arial" w:hAnsi="arial" w:cs="arial"/>
          <w:color w:val="000000"/>
          <w:sz w:val="20"/>
          <w:lang w:val="en-US" w:eastAsia="en-US" w:bidi="ar-SA"/>
        </w:rPr>
        <w:t>, para. 145, leave refused 2019 CanLII 6030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Counsel for the plaintiff in his written submission states: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put propositions to a number of witnesses in an apparent effort to impeach the plaintiff's credibility or contradict the evidence she gave in direct examination. The defence largely failed to put such propositions to the plaintiff during cross-examination unfairly preventing her from explaining.</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they did not confront her with any contradictory evidence to give her an opportunity to explain herself from the witness box, the plaintiff submits that principles of trial fairness as outlined by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preclude the defence from challenging the plaintiff's credibility in closing argument.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medical reports the defendant framed questions regarding perceived inconsistencies as the doctor's error. The defence never put to the plaintiff the proposition that she had deliberately misled anyone about her symptoms or about the events of her life at a given time. To the extent that the defence's case theory rests on Ms. Dinnisen being more functional than she has represented to the Court or to the experts in this case, the defence never confronted her with the notion that she made false or misleading statements or feigned symptoms. This implied acceptance of her symptoms ought to disentitle the defence from inviting the Court to disbelieve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found the plaintiff to be a credible and reliable witness. I did not find her trying to overstate or exaggerate her injuries, consciously or subconsciously, for monetary gain or for other reasons. There were some miscommunications between her and her various medical doctors and health practitioners. In particular, the confusion as to three hours of work that arose between the plaintiff and Dr. Cameron. I have considered these miscommunications in reaching my finding that the plaintiff was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also applies. In the case at bar, its application only serves to confirm my finding as to the plaintiff's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FINDINGS ON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find that all of the plaintiff's claimed injuries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fractures to the plaintiff's right collarbone and left wrist have resolved fully with the exception of some pain in her left wrist, especially with heavy use. I accept Dr. Perey's impression quoted above that he "strongly doubt[s] that any of these symptoms will worsen or improve with time. She currently has a chronic static disability related to this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also has a scar on her right shoulder. The plaintiff's other cuts and bruises have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muscle soreness and headaches have also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I have found, the plaintiff suffered a physical injury to her brain. Actual deficits in cognitive functions have been measured by Dr. Hayden, whose findings I accept, and which correlate to the physical areas of the plaintiff's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noted above, Dr. Cameron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separate out what degree the ongoing cognitive problems are due to the original moderate traumatic brain injury that she sustained at the time of this accident and to what degree these ongoing problems are due to her chronic pain and ongoing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plaintiff's chronic pain (mild) is now limited to her left wrist. Accordingly, I do not find chronic pain to be a current cause of the plaintiff's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issue becomes whether the plaintiff's psychological problems not directly caused by the physical injury to the plaintiff's brain may be successfully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Hayden opines that some "further improvement in mood may be achieved with additional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Smith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any cognitive deficits following brain injury will be permanent two years after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Smith also describes the plaintiff's "Post-traumatic Disorder [as] in partial remission" and that the plaintiff has "Adjustment Disorder with Depression, mild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where a person has suffered a permanent physical brain injury that causes cognitive impairment, the psychological problems not directly caused by the physical brain injury are unlikely susceptible to successful treatment leading to significant improvement. The person realizes that he or she is not the person he or she once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Dr. Cameron observed, after a traumatic brain injury, many patients are "mourning the loss of who they are, their identity" and "they keep waking up every morning and they can't get back to who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One cannot lie to a person with a physical brain injury causing cognitive impairment and pretend that such does not exist. The reality must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With the acceptance of the new reality, it may be possible to use strategies and tools to cope with the new reality but the recognition of the new reality remains. In many different situations, the person will ask himself or herself: If I did not have my brain injury would I be acting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sum, I find that the plaintiff's cognitive fatigue, multi-tasking difficulties, word-finding difficulties, irritability, difficulty concentrating, and impaired memory are permanent in nature with only the possibility of slight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sets forth an open list of factors to guide the assessment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inexhaustive list of common factors cited in Boyd that influence an award of non-pecuniary damages includes: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Giang v. Clayton, </w:t>
      </w:r>
      <w:hyperlink r:id="rId8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Beaton v. Perkes</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2016 BCSC 2276</w:t>
        </w:r>
      </w:hyperlink>
      <w:r>
        <w:rPr>
          <w:rFonts w:ascii="arial" w:eastAsia="arial" w:hAnsi="arial" w:cs="arial"/>
          <w:color w:val="000000"/>
          <w:sz w:val="20"/>
          <w:lang w:val="en-US" w:eastAsia="en-US" w:bidi="ar-SA"/>
        </w:rPr>
        <w:t>, Justice Voith commented on a plaintiff's stoicism: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Importantly for present purposes, Justice Kirkpatrick stated that stoicism should not penalize a plaintiff. To be sure, stoicism is a factor that must be considered, but in a manner of speaking, it is not a stand-alone factor; instead, it is a companion to the others. Courts must rely on evidence to establish the kind and degree of a plaintiff's physical pain and emotional suffering, but in some cases that evidence may be tempered by the plaintiff's stoicism. And it would be unjust if the plaintiff were penalized for strength of character.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relevance of stoicism, as a consideration when assessing the quantum of a non-pecuniary award, is now well settled. The jurisprudence reveals a number of hallmarks of stoicism: a propensity to preserve or to maintain a similar lifestyle despite pain or suffering; see </w:t>
      </w:r>
      <w:r>
        <w:rPr>
          <w:rFonts w:ascii="arial" w:eastAsia="arial" w:hAnsi="arial" w:cs="arial"/>
          <w:i/>
          <w:color w:val="000000"/>
          <w:sz w:val="20"/>
          <w:lang w:val="en-US" w:eastAsia="en-US" w:bidi="ar-SA"/>
        </w:rPr>
        <w:t>Cabral v. Brice</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2010 BCSC 197</w:t>
        </w:r>
      </w:hyperlink>
      <w:r>
        <w:rPr>
          <w:rFonts w:ascii="arial" w:eastAsia="arial" w:hAnsi="arial" w:cs="arial"/>
          <w:color w:val="000000"/>
          <w:sz w:val="20"/>
          <w:lang w:val="en-US" w:eastAsia="en-US" w:bidi="ar-SA"/>
        </w:rPr>
        <w:t xml:space="preserve"> at para. 66; and </w:t>
      </w:r>
      <w:r>
        <w:rPr>
          <w:rFonts w:ascii="arial" w:eastAsia="arial" w:hAnsi="arial" w:cs="arial"/>
          <w:i/>
          <w:color w:val="000000"/>
          <w:sz w:val="20"/>
          <w:lang w:val="en-US" w:eastAsia="en-US" w:bidi="ar-SA"/>
        </w:rPr>
        <w:t>Bove v. Wilson</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2016 BCSC 1620</w:t>
        </w:r>
      </w:hyperlink>
      <w:r>
        <w:rPr>
          <w:rFonts w:ascii="arial" w:eastAsia="arial" w:hAnsi="arial" w:cs="arial"/>
          <w:color w:val="000000"/>
          <w:sz w:val="20"/>
          <w:lang w:val="en-US" w:eastAsia="en-US" w:bidi="ar-SA"/>
        </w:rPr>
        <w:t xml:space="preserve"> at para. 45; a reticence to complain; see </w:t>
      </w:r>
      <w:r>
        <w:rPr>
          <w:rFonts w:ascii="arial" w:eastAsia="arial" w:hAnsi="arial" w:cs="arial"/>
          <w:i/>
          <w:color w:val="000000"/>
          <w:sz w:val="20"/>
          <w:lang w:val="en-US" w:eastAsia="en-US" w:bidi="ar-SA"/>
        </w:rPr>
        <w:t>Courtney v. Hutchinson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2012 BCSC 188</w:t>
        </w:r>
      </w:hyperlink>
      <w:r>
        <w:rPr>
          <w:rFonts w:ascii="arial" w:eastAsia="arial" w:hAnsi="arial" w:cs="arial"/>
          <w:color w:val="000000"/>
          <w:sz w:val="20"/>
          <w:lang w:val="en-US" w:eastAsia="en-US" w:bidi="ar-SA"/>
        </w:rPr>
        <w:t xml:space="preserve"> at para. 44; a resilience when encountering difficult circumstances; see </w:t>
      </w:r>
      <w:r>
        <w:rPr>
          <w:rFonts w:ascii="arial" w:eastAsia="arial" w:hAnsi="arial" w:cs="arial"/>
          <w:i/>
          <w:color w:val="000000"/>
          <w:sz w:val="20"/>
          <w:lang w:val="en-US" w:eastAsia="en-US" w:bidi="ar-SA"/>
        </w:rPr>
        <w:t>Bunnah (Litigation guardian of) v. Bunnah</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2016 BCSC 264</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the case at bar, the plaintiff's stoicism has a further shade. Before the Accident, the plaintiff was young, active, and driven. She had not experienced past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plaintiff's stoicism was to proceed with life as she had in the past expecting or assuming that she would return to her former self. Her other injuries trended to resolution. Her headaches stopped after several months. Her cuts and bruises resolved with the exception of the scar on her right shoulder. Her right collarbone healed after several months. The soreness in her knees resolved quickly. Her left wrist is now completely functional (with some ongoing pain and with further pain triggered by heavy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plaintiff's primary injury is a brain injury leading to cognitive fatigue, multi- tasking difficulties, and word-finding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assessing the non-pecuniary damages, I have given weight to the fact that the plaintiff wished to have children. She had come from a happy family and had enjoyed a happy childhood. If she has children, the plaintiff's cognitive fatigue and multi-tasking difficulties will make the sometime difficulties that any parent faces more difficult. All parents are frequently required to multi-task.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noted, I have found that the plaintiff suffered a physical brain injury leading to cellular death and damage which caused the plaintiff's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plaintiff's future is one of recognizing and living with her symptoms. I accept that while psychological therapy may be helpful. As the plaintiff has found such to be in the past, the benefit is limited to helping the plaintiff cope with her reactive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plaintiff submits that she should be awarded $275,000 to $300,000 in non-pecuniary damages. The plaintiff argues that </w:t>
      </w:r>
      <w:r>
        <w:rPr>
          <w:rFonts w:ascii="arial" w:eastAsia="arial" w:hAnsi="arial" w:cs="arial"/>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provide useful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Roussin</w:t>
      </w:r>
      <w:r>
        <w:rPr>
          <w:rFonts w:ascii="arial" w:eastAsia="arial" w:hAnsi="arial" w:cs="arial"/>
          <w:color w:val="000000"/>
          <w:sz w:val="20"/>
          <w:lang w:val="en-US" w:eastAsia="en-US" w:bidi="ar-SA"/>
        </w:rPr>
        <w:t>, the Court awarded $200,000 (approximately $248,000 in 2018 dollars) in non-pecuniary damages. The plaintiff was 40 years old at the time of the accident. She suffered a complicated mild traumatic brain injury, skull fracture, left wrist fracture requiring surgery, and soft tissue injuries to her hip, back and neck. The plaintiff had scarring on her face, wrist and arms. She also experienced dizziness and vertigo, tinnitus and headaches. The plaintiff's brain injury caused fatigue, difficulty sleeping, and impaired executive functioning. Her brain injury restricted her employability and prevented her from pursuing her chosen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the Court awarded $200,000 (approximately $240,000 in 2018 dollars) in non-pecuniary damages. The plaintiff was 22 years old at the time of the accident. The plaintiff suffered "significant and serious ongoing physical, psychological and emotional trauma that left her with permanent functional deficits". The plaintiff experienced chronic fatigue and pain associated with soft tissue injuries and an impaired sense of smell. Following the accident, the plaintiff tried to return to her apartment, but after a period of time she had to move to her parents' home where, as a result of the plaintiff's impairments, her mother took over her laundry, cooking and grocery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xml:space="preserve"> also had significant cognitive deficits affecting attention and memory. As a result, she struggled to complete even relatively simple tasks at her job as an administrative assistant without relying heavily on notes. Justice Macaulay concluded "that the memory and cognitive problems are such that her present employment is unlikely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defendant in the present case submits that the plaintiff should be awarded $50,000 to $85,000 in non-pecuniary damages, relying on: </w:t>
      </w:r>
      <w:r>
        <w:rPr>
          <w:rFonts w:ascii="arial" w:eastAsia="arial" w:hAnsi="arial" w:cs="arial"/>
          <w:i/>
          <w:color w:val="000000"/>
          <w:sz w:val="20"/>
          <w:lang w:val="en-US" w:eastAsia="en-US" w:bidi="ar-SA"/>
        </w:rPr>
        <w:t>Nahal v. Ram</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2016 BCSC 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Fadai v. Cully</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2014 BCSC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 v. McChesney</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2016 BCSC 1416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Lane v. Pederson</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2014 BCSC 1302</w:t>
        </w:r>
      </w:hyperlink>
      <w:r>
        <w:rPr>
          <w:rFonts w:ascii="arial" w:eastAsia="arial" w:hAnsi="arial" w:cs="arial"/>
          <w:color w:val="000000"/>
          <w:sz w:val="20"/>
          <w:lang w:val="en-US" w:eastAsia="en-US" w:bidi="ar-SA"/>
        </w:rPr>
        <w:t xml:space="preserve">. I have considered these cases. In particular, </w:t>
      </w:r>
      <w:r>
        <w:rPr>
          <w:rFonts w:ascii="arial" w:eastAsia="arial" w:hAnsi="arial" w:cs="arial"/>
          <w:i/>
          <w:color w:val="000000"/>
          <w:sz w:val="20"/>
          <w:lang w:val="en-US" w:eastAsia="en-US" w:bidi="ar-SA"/>
        </w:rPr>
        <w:t>Nahal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Fadai</w:t>
      </w:r>
      <w:r>
        <w:rPr>
          <w:rFonts w:ascii="arial" w:eastAsia="arial" w:hAnsi="arial" w:cs="arial"/>
          <w:color w:val="000000"/>
          <w:sz w:val="20"/>
          <w:lang w:val="en-US" w:eastAsia="en-US" w:bidi="ar-SA"/>
        </w:rPr>
        <w:t>, both of which involved less severe brain injuries and symptoms than the mild complicated traumatic brain injury or moderate traumatic brain injury and symptoms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plaintiff in the present case has suffered significant injuries; however, her injuries are not as debilitating as those experienced by the plaintiffs in </w:t>
      </w:r>
      <w:r>
        <w:rPr>
          <w:rFonts w:ascii="arial" w:eastAsia="arial" w:hAnsi="arial" w:cs="arial"/>
          <w:i/>
          <w:color w:val="000000"/>
          <w:sz w:val="20"/>
          <w:lang w:val="en-US" w:eastAsia="en-US" w:bidi="ar-SA"/>
        </w:rPr>
        <w:t>Roussin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xml:space="preserve">. The plaintiff in this case does not have permanent physical pain, other than some residual pain in her wrist accentuated with heavy use. The brain injury and symptoms of the plaintiff in the case at bar are not as serious as the brain injury and symptoms of the plaintiffs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xml:space="preserve"> or in </w:t>
      </w:r>
      <w:r>
        <w:rPr>
          <w:rFonts w:ascii="arial" w:eastAsia="arial" w:hAnsi="arial" w:cs="arial"/>
          <w:i/>
          <w:color w:val="000000"/>
          <w:sz w:val="20"/>
          <w:lang w:val="en-US" w:eastAsia="en-US" w:bidi="ar-SA"/>
        </w:rPr>
        <w:t>Roussin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 have also considered </w:t>
      </w:r>
      <w:r>
        <w:rPr>
          <w:rFonts w:ascii="arial" w:eastAsia="arial" w:hAnsi="arial" w:cs="arial"/>
          <w:i/>
          <w:color w:val="000000"/>
          <w:sz w:val="20"/>
          <w:lang w:val="en-US" w:eastAsia="en-US" w:bidi="ar-SA"/>
        </w:rPr>
        <w:t>Gauthier v. Dubois</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2018 BCSC 229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Gauthier</w:t>
      </w:r>
      <w:r>
        <w:rPr>
          <w:rFonts w:ascii="arial" w:eastAsia="arial" w:hAnsi="arial" w:cs="arial"/>
          <w:color w:val="000000"/>
          <w:sz w:val="20"/>
          <w:lang w:val="en-US" w:eastAsia="en-US" w:bidi="ar-SA"/>
        </w:rPr>
        <w:t>, the court awarded $145,000 in non-pecuniary damages. At the time of the accident, the plaintiff was a 32-year-old entrepreneur. The plaintiff suffered injuries to his knees and back which largely resolved. The plaintiff continued to "suffer occasional headaches and pain in his back and knees" (with a risk his left knee injury could become worse). In addition, the plaintiff suffered a mild uncomplicated traumatic brain injury resulting in ongoing cognitive impairments (diminished attentiveness, memory and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the case at bar, the plaintiff suffered a more serious brain injury and symptoms than the plaintiff in </w:t>
      </w:r>
      <w:r>
        <w:rPr>
          <w:rFonts w:ascii="arial" w:eastAsia="arial" w:hAnsi="arial" w:cs="arial"/>
          <w:i/>
          <w:color w:val="000000"/>
          <w:sz w:val="20"/>
          <w:lang w:val="en-US" w:eastAsia="en-US" w:bidi="ar-SA"/>
        </w:rPr>
        <w:t>Gauthier</w:t>
      </w:r>
      <w:r>
        <w:rPr>
          <w:rFonts w:ascii="arial" w:eastAsia="arial" w:hAnsi="arial" w:cs="arial"/>
          <w:color w:val="000000"/>
          <w:sz w:val="20"/>
          <w:lang w:val="en-US" w:eastAsia="en-US" w:bidi="ar-SA"/>
        </w:rPr>
        <w:t xml:space="preserve">. That said, </w:t>
      </w:r>
      <w:r>
        <w:rPr>
          <w:rFonts w:ascii="arial" w:eastAsia="arial" w:hAnsi="arial" w:cs="arial"/>
          <w:i/>
          <w:color w:val="000000"/>
          <w:sz w:val="20"/>
          <w:lang w:val="en-US" w:eastAsia="en-US" w:bidi="ar-SA"/>
        </w:rPr>
        <w:t>Gauthier</w:t>
      </w:r>
      <w:r>
        <w:rPr>
          <w:rFonts w:ascii="arial" w:eastAsia="arial" w:hAnsi="arial" w:cs="arial"/>
          <w:color w:val="000000"/>
          <w:sz w:val="20"/>
          <w:lang w:val="en-US" w:eastAsia="en-US" w:bidi="ar-SA"/>
        </w:rPr>
        <w:t xml:space="preserve"> provides useful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Having particular regard to the plaintiff's age and the permanence of her brain injury and psychological symptoms (directly caused or reactive), I award $180,000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With respect to past loss of earning capacity, Justice K. Smith, writing for our Court of Appeal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Thus, in my view,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Evidence of this value may take many forms. As was said by Kenneth D.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w:t>
      </w:r>
      <w:r>
        <w:rPr>
          <w:rFonts w:ascii="arial" w:eastAsia="arial" w:hAnsi="arial" w:cs="arial"/>
          <w:color w:val="000000"/>
          <w:sz w:val="20"/>
          <w:u w:val="single"/>
          <w:lang w:val="en-US" w:eastAsia="en-US" w:bidi="ar-SA"/>
        </w:rPr>
        <w:t>The loss framed in this way may be measured in different ways</w:t>
      </w:r>
      <w:r>
        <w:rPr>
          <w:rFonts w:ascii="arial" w:eastAsia="arial" w:hAnsi="arial" w:cs="arial"/>
          <w:color w:val="000000"/>
          <w:sz w:val="20"/>
          <w:lang w:val="en-US" w:eastAsia="en-US" w:bidi="ar-SA"/>
        </w:rPr>
        <w:t xml:space="preserve">.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Smith J.A.'s underscoring; other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After the Accident, the plaintiff devoted most of her efforts to her job with Genesis. As noted, she did well financially at Genesis receiving increased remuneration until she decided to establish her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plaintiff's taxable earnings for 2013 to 2017 from Genesis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882"/>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$735</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$26,624</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$65,266</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$71,377</w:t>
            </w:r>
          </w:p>
        </w:tc>
        <w:tc>
          <w:tcPr>
            <w:tcW w:w="788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2017</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$104,863</w:t>
            </w:r>
          </w:p>
        </w:tc>
        <w:tc>
          <w:tcPr>
            <w:tcW w:w="788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Other than approximately $2,500 (from previous employment) in 2013, the plaintiff's employment with Genesis was her sole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From 2013 to 2017, the plaintiff remuneration structure progressed from an hourly wage, to an hourly wage with a commission based on jobs for which the plaintiff was responsible, to a base salary with the commission described, to finally a base salary with the commission described and a 2% share of Genesis's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 submits that the loss of income associated with the plaintiff's delay in commencing her position with Genesis and the graduated return to work is approximately $6,000 to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submits that the extra hours she worked should also be included in the computation of her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agree with the defendant's submission. I will award $5,500 in order to take into account the net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find that the plaintiff would have had the same career with Genesis (other than the late start and graduated return to work) if the Accident had not occurred. The extra hours the plaintiff worked took away from her social hours and general enjoyment of life. Those hours are compensated as part of the non-pecuniary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our Court of Appeal set forth, at para. 32, the rule that there must be a "real and substantial possibility of a future event leading to an income loss" before assessing the loss. The loss may be quantified using the earnings approach or the capital asset approach. The earnings approach is the more suitable approach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our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As noted, before the Accident, the plaintiff was a driven person. With her brain injury, the plaintiff still has the desire to drive herself and succeed. Unfortunately, the cognitive fatigue and multi-tasking difficulties, in particular, make it difficult for the plaintiff to drive herself as she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plaintiff has the education, abilities, and personality to succeed as a kitchen and bath designer. The plaintiff assumed many of Ms. McIntosh's duties when Ms. McIntosh took her summer holidays. Ms. McIntosh also viewed the plaintiff as able to assume many of her duties as she moved towards semi-retirement. The plaintiff's increasing income and progression to a favourable remuneration structure incorporating commissions and profit sharing is a reflection of the talent that the plaintiff has for kitchen and bath design and her ability to deal with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With her ability to relate to clients, I find that even with adjusting to a work pace consistent with her post-accident level of five to six hours of work before cognitive fatigue overtakes her, the plaintiff could reasonably make $75,000 per annum. This amount of income is greater than the evidence of $50,000 per annum that employees of a competitor to Genesis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Without the brain injury, I find that the plaintiff would have earned $175,000 per annum in future years. Ms. McIntosh earns approximately $300,000 per annum. She, however, owns her business established over a number of years. She clearly has the requisite business skills in addition to her kitchen and bathroom design skills. Another competitor testified that his top designer could earn $200,000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find that the plaintiff's annual loss of income is $100,000 ($175,000 - $75,000) subject to a further adjustment described below to take into account that, without the Accident, the plaintiff may not have yet reached $175,000 in annual income by the date of trial because she was still in the early years of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also find that the plaintiff would have had a strong attachment to her chosen career as a kitchen and bath designer. She had the talent and drive to succeed. It was her dream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With such attributes, I find that the plaintiff's attachment to the labour force would closely align to those used for males in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have used a retirement age of 65. The plaintiff testified that 65 was the age at which she had planned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calculating the plaintiff's loss of future income, I have used the economic multiplier prepared by Mr. D. Benning (the expert economist) using male labour and market contingencies and the female survival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multiplier for age 65 is $20,427. A $100,000 annual income loss results in an unadjusted future income loss of $2,042,700.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will make further adjustment to recognize the fact that it would have taken several more years for the plaintiff to have reached $175,000 in annual income if the Accident had not occurred. I will make a 5% downward adjustment. The result is a future income loss of $1,940,565 ($2,042,700 x 95%) which I will round to $1,940,500.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As a check on the validity of the earnings approach, I also considered the capital asset approach. Our Court of Appeal has confirmed that it is not an error to do so: </w:t>
      </w: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2014 BCCA 509</w:t>
        </w:r>
      </w:hyperlink>
      <w:r>
        <w:rPr>
          <w:rFonts w:ascii="arial" w:eastAsia="arial" w:hAnsi="arial" w:cs="arial"/>
          <w:color w:val="000000"/>
          <w:sz w:val="20"/>
          <w:lang w:val="en-US" w:eastAsia="en-US" w:bidi="ar-SA"/>
        </w:rPr>
        <w: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Justice Finch,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1985 CanLII 149</w:t>
        </w:r>
      </w:hyperlink>
      <w:r>
        <w:rPr>
          <w:rFonts w:ascii="arial" w:eastAsia="arial" w:hAnsi="arial" w:cs="arial"/>
          <w:color w:val="000000"/>
          <w:sz w:val="20"/>
          <w:lang w:val="en-US" w:eastAsia="en-US" w:bidi="ar-SA"/>
        </w:rPr>
        <w:t xml:space="preserve"> (cited with approval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set forth four key factors under the capital asset approach. The four factors are:</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or her, had he or she not been injured;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or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four factors are all satisfied as a result of the plaintiff's brain injury resulting in, among other symptoms, cognitive fatigue, multi-tasking difficulties, and word-finding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application of the capital asset approach provides confirmation that the result of the earnings income approach is well within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defendant's expert economist, Mr. M. Szekely, prepared calculations using the National Occupational Classification system for Interior Designers and Interior Decorators with income based on the 2011 National Household Survey. The incomes when adjusted to 2018 dollars are lower than the specific evidence I heard. The ninth decile is $95,365.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have not used Mr. Szekely's approach for several reasons. First, I am not satisfied that national figures for interior designers and interior decorators are sufficiently specific to capture the specialty of a kitchen and bath designer. Second, I am not satisfied that the national figures are representative of the high-end kitchen and bath design market. As may be seen above, I have used figures from the evidence at trial. Those figures were closely related to the local kitchen and bath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stated that in considering costs of future care, the trial judge should ensure (at para. 44):</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"evidentiary link between the caregiver's assessment of pain or disability and the recommended care";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 for the real and substantial possibility that the expense will be incurred" and that "an allowance for the contingency that the cost may not be incurred";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amount awarded for each item claimed" is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As part of the plaintiff's written submissions, the following chart prepared by Mr. Benning was included to set forth the plaintiff's claim for the cost of future care: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1" type="#_x0000_t75" style="width:385.55pt;height:586.58pt">
            <v:imagedata r:id="rId105" o:title=""/>
          </v:shape>
        </w:pict>
      </w:r>
      <w:r>
        <w:rPr>
          <w:rFonts w:ascii="arial" w:eastAsia="arial" w:hAnsi="arial" w:cs="arial"/>
          <w:sz w:val="20"/>
          <w:lang w:val="en-US" w:eastAsia="en-US" w:bidi="ar-SA"/>
        </w:rPr>
        <w:t xml:space="preserve">  </w:t>
      </w:r>
      <w:r>
        <w:pict>
          <v:shape id="_x0000_i1032" type="#_x0000_t75" style="width:432.06pt;height:392.3pt">
            <v:imagedata r:id="rId106"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closing submissions, the plaintiff stated that she is not claiming the Modafinil (Contingency), the yoga pass, or the yoga mat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 find the following claimed items meet the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test: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3" type="#_x0000_t75" style="width:432.06pt;height:378.05pt">
            <v:imagedata r:id="rId10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Although the plaintiff has been reluctant to use prescription medicine, I am satisfied that with further psychological counselling, she will use Modafinil or a similar prescription.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Hayden has recommended occupational therapy. The sessions and costs are as set forth by Ms. S. Lacasse who was qualified to provide opinion evidence on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Similarly, further psychological counselling has been recommended by Dr. Browing. The plaintiff has been very receptive to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I am not satisfied that the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tests for a functional capacity evaluation or a transferrable skills analysis are met. Dr. Hayden's tests and the other medical evidence provide the necessary evaluation. I am also not satisfied that the expense of a transferrable skills analysis would be incurred. The plaintiff's desire is to be a kitchen and bath designer. I have found that she can undertake kitchen and bath design but at a reduced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find that the plaintiff can undertake house cleaning and seasonal cleaning. Her left wrist injury will not prevent such cleaning. Most cleaning does not involve multi-tasking or other significant cognitive functions. Accordingly, I have not awarded any amount for house cleaning or seasonal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cost of a day planner is not justified. Most phones and computers have day planners.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need for a wrist brace ties directly to the plaintiff's left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sum, the Court awards $43,105 as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seeks $15,000 as an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Justice D. Smith, as she then was,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109"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set forth the key factors in support of an in trust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From a review of these authorities one can construct a summary of the factors to be considered in the assessment of "in trust" claims: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plaintiff's in trust claim relates to her mother coming from her home in Ontario to provide care to the plaintiff for approximately two-and-a-half weeks. After that period, Mr. P. Gaulin, a friend of the plaintiff, came from Ontario and helped the plaintiff for approximately another month. By this time, the plaintiff's right collarbone and left wrist were mending and her soft tissue injuries were starting to resolve. The plaintiff still needed general help including with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plaintiff has claimed her mother's airfare and Mr. Gaulin's airfare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find that the help provided by the plaintiff's mother and Mr. Gaulin was necessary and represented a pragmatic and sensible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find the $15,000 to be high. I will award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plaintiff provided a list of special damages with supporting documents showing amounts paid by her or on her behalf in relation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have reviewed the plaintiff's claim and I accept it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Court awards the plaintiff $30,340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set forth the test for the defence of a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Defendant's counsel's written submissions, in core, run: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[318] The defendant submits that the plaintiff ought to have followed the recommendations of Dr. Schwab to take the prescribed Trintillex anti- depressant medication, and that had she taken it, she may very well have improved her symptoms of depression and anxiety. As well, had she properly followed up with her doctor or a specialist regarding an appropriate and therapeutic dose of Modafinil, she might have enjoyed greater benefit from the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[319] In the circumstances, it is submitted it would be appropriate to apply a 25-40% reduction to non-pecuniary damages and well as any potential award for loss of future capacity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Having enjoyed and having focused on exercise and good health prior to the Accident, I find the plaintiff's reluctance to take the recommended prescriptions not to be unreasonable. Many prescription medicines have, at least in some cases, serious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 testified that she took Modafinil. She did not take it on a daily basis because she understood it should be taken as needed. She also testified that Modafinil may have made her a "little agigitated".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cross-examination, Dr. Smith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pharmaceuticals, we understand some of the neurochemistry, but to some extent it's a black box. We do know that antidepressants are statistically empirically proven to be effective for depression?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In actual fact, the evidence is that for -- for severe depression they can be very effective. For mild depression they typically tend to have very, very low effect, and that's why, in this particular case, I did not recommend antidepressant medication, because Ms. Dinnissen's symptoms of anxiety and depression were in the mild to moderate category, and there using antidepressants is probably not the way to 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defendant has also failed to discharge her onus to show the extent, if any, to which the plaintiff's damages would have been reduced. The plaintiff has a physical injury to her brain. A prescription cannot fix her brain injury. At best, a prescription may help with some symptoms but it has not been shown that such would help to a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will not reduce the plaintiff's award based on the defendant's argument that the plaintiff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plaintiff is awarded $2,206,945.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If the parties wish to speak to costs, they may arrange through Supreme Court Scheduling a 55-minute 9 a.m. hearing before me within 90 days from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4" type="#_x0000_t75" style="width:432.06pt;height:348.8pt">
            <v:imagedata r:id="rId111" o:title=""/>
          </v:shape>
        </w:pict>
      </w:r>
      <w:r>
        <w:rPr>
          <w:rFonts w:ascii="arial" w:eastAsia="arial" w:hAnsi="arial" w:cs="arial"/>
          <w:sz w:val="20"/>
          <w:lang w:val="en-US" w:eastAsia="en-US" w:bidi="ar-SA"/>
        </w:rPr>
        <w:t xml:space="preserve">  </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APPENDIX 1</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natural history of singular instances, of mild traumatic brain injury (MTBI)/concussion, whether in a fall at home, during contact sports. In combat, or in an MVA, is that of preservation of most brain functions, but sometimes with minor, transient impairments of a small subset of brain functions such as short term memory and concentration. Evidence based guidelines indicate that the treating physician can and should advise the MTB/ patient that the latter can be reliably expected to undergo rapid, spontaneous, complete resolution over the following hours or days, No radiological Investigation and no intervention beyond reassurance is indicated. The pathophysiology underlying this injury is a reversible neurometabolic one characterized by neuronal dysfunction not destruction. [23].</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Historically, a small percentage of those who sustain an MTBI seem to fall outside of expectations for complete recovery, and their persistent symptoms are termed "post concussion syndrome (PCS)".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Although' there has boon much speculation as to residual brain impairment from brain injury as being the etiology of "post concussion syndrome", in fact no strong scientific support for such a hypothecation exists, despite decades of research on the subject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 To the contrary, the current evidence indicates the significant role of non-brain-injury factors in the pathogenesis of post concussion syndrome [2], [3],[4],[5, [6],[7],[12] This evidence takes several forms: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Firstly, tools of causation analysis such as Proportionality (dose-response) do not support disproportionate impairment and disability from minor concussive events.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Secondly, the effect size of mTBI on neuropsychological outcomes is negligible whilst the effect sires of litigation, psychiatric problems and diagnosis threat are significant [21].</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Thirdly, a syndrome identical to PCS can be found In the absence of MTBI [8], [9], [10], [11], [23] (e.g. Meares et al, Journal of Neurology, Neurosurgery and Psychiatry (2008) - cases of unresolved trauma without brain Injury demonstrated equal incidences of post concussion syndrome - The authors found this strongly suggestive of non-brain-injury factors in the pathogenesis of post concussion syndrome. Also see the text 'mild traumatic brain Injury end post concussion syndrome" by Michael McCrea).</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Fourth, event within the general population suggestibility is a serious concern with respect to converting one's perception of normal cognitive inefficiencies such as in memory functions into a belief and preoccupation concerning impairment the negative effects of iatrogenicity and litigation seem to have even greater potential for correlation. [19]</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baseline prevalence of PCS in healthy individuals in the population in the absence of brain injury is significant. [13].</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Neuropsychological studies which seem to demonstrate impairment in MTBI patients suspected of PCS flaws been found to suffer from severe reliability problems, with less diagnostic accuracy than random chance.[20]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 There is remarkable consistency in the literature that the entire cohort of patient's who sustain a mild uncomplicated mTBI have no quantifiable neurocognitive Impairment [1], [25].</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6. Although the cohort of patients who sustain a MTBl with positive radiology, termed "complicated" MTBl, have a more prolonged recovery than their "uncomplicated" counterparts, neuropsychological testing is eventually unable to distinguish amongst the two subgroups Indicating an Identical final outcome [14],[15],[16].</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7. Although some studies suggest poorer long term outcome in patients with CT evidence of brain injury these studies cannot be applied in the complicated mTBl cohort since they Included patient's with much more severe brain injury [17], [18]. The latter was determined by clinical factors (GCS score ) which are independently strongly correlated with outcome and Imaging findings. The reader should be aware that classifying a brain Injury as mild using the GCS score alone or PTA alone It no longer accepted as appropriate. One can have a relatively normal GCS score yet PTA of greater than 24 hours, hence this Individual should be classified as moderate not mild provided Diet the FTA is due to neurological dysfunction not non-neurological factors (medications, sedation, surgery . Unfortunately, these studies defined patient's as "mild" based upon the GCS score alone without reference to the duration of PTA, art independent clinical parameter In grading brain Injury. A further limitation of such studies Is that the definition of complicated mTBl was restricted to those with demonstrable CT scan abnormality thus encompassing patient's with far more severe injuries on radiology.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8. It behooves the impartial, concerned clinician to search for clinical confounders, which typically offer far more persuasive and treatable explanations for cognitive complaints including the known side effects of narcotic analgesics, and the well demonstrated cognitive inefficiencies strongly associated with sleep disruption, psychological duress and/or poorly controlled pain.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It is my view that In this Instance, psychological duress fully account for the symptoms in question. Invocation of residual brain impairment from brain Injury is not necessary to explain 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APPENDIX II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 Clin Neuropsychol. 2011 Mat, 25(4:608-23). doi: 10.1080/13854048.2011.505076. Epub 2011 Apr 19. A meta-analysis of neuropsychological outcome after mild traumatic brain injury, re-analyses and reconsiderations of Binder el al. (1997), Frencham et al. (2005), and Pertab et al. (2009).Rohling ML, Binder LM, Domakis GJ, Larrabee GJ, Ploetz DM, Langhinnrichson-Rohiing J.</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2. </w:t>
      </w:r>
      <w:r>
        <w:rPr>
          <w:rFonts w:ascii="arial" w:eastAsia="arial" w:hAnsi="arial" w:cs="arial"/>
          <w:i/>
          <w:color w:val="000000"/>
          <w:sz w:val="20"/>
          <w:u w:val="single"/>
          <w:lang w:val="en-US" w:eastAsia="en-US" w:bidi="ar-SA"/>
        </w:rPr>
        <w:t>Neuropsychol Rehabil</w:t>
      </w:r>
      <w:r>
        <w:rPr>
          <w:rFonts w:ascii="arial" w:eastAsia="arial" w:hAnsi="arial" w:cs="arial"/>
          <w:i/>
          <w:color w:val="000000"/>
          <w:sz w:val="20"/>
          <w:lang w:val="en-US" w:eastAsia="en-US" w:bidi="ar-SA"/>
        </w:rPr>
        <w:t xml:space="preserve">. 2013 Jan 22. Examination of outcome after mild traumatic brain injury; The contribution of injury beliefs and Leventhars Common Sense Model. </w:t>
      </w:r>
      <w:r>
        <w:rPr>
          <w:rFonts w:ascii="arial" w:eastAsia="arial" w:hAnsi="arial" w:cs="arial"/>
          <w:i/>
          <w:color w:val="000000"/>
          <w:sz w:val="20"/>
          <w:u w:val="single"/>
          <w:lang w:val="en-US" w:eastAsia="en-US" w:bidi="ar-SA"/>
        </w:rPr>
        <w:t>Snell DL Hay-Smith EJ. Surgenor LJ. Stegert RJ</w:t>
      </w:r>
      <w:r>
        <w:rPr>
          <w:rFonts w:ascii="arial" w:eastAsia="arial" w:hAnsi="arial" w:cs="arial"/>
          <w:i/>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Neuropsychology. 2012 May;26(3):304-13. doi: 10.1037/a0027888. Epub 2012 Apr 2. Predictors of postconcussive symptoms 3 months after mild traumatic brain injury. Ponsford J, Cameron P, Fitzgerald M, Grant M, Mikocka-Walus A, Schönberger M.</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 J Neurol Neurosurg Psychiatry. 2012 Feb;83(2).-217-23. doi: 10.1136/nnp-2011-300767. Epub 2011 Oct 25. When a minor head injury results in enduring symptoms: a prospective investigation of risk factors for postconcussional syndrome after mild traumatic brain injury. Hou R, Moss-Morris R. Peveler R, Mogg K, Bradley BP, Belli 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 Brain inj. 2011,25(11):1 126-38. doi: 10.3109/ 0269906Z2011.607786. Epub 2011 Aug 26. Associations between illness perceptions, coping styles and outcome after mild traumatic brain injury preliminary results from a cohort study. Snell DL, Sieged RJ, Hay-Smith EJ. Surgenor U.</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6. J Head Trauma Rehebill. 2011 Mar-Apr,26 2):127-37, dot: l0.1097/HTR-0b013e3181e4622a. Depression strongly influences postconcussion symptom reporting following mild traumatic brain injury. Lange RT, Iverson GL, Ross 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7. Rehabill Res Pract. 2012;2012:528255. doi: 10.1155/ 2012/528265. Epub 2012 May 22.Postconcussion symptoms in patients with Injury-related chronic pain. Stainacke BM.</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8. Brain inj. 2012;26(1):14-26. dot: 10.3109/ 02699052.2011.635354. Epub 2011 Nov 22.Post-concussion syndrome: prevalence after mild traumatic brain injury In comparison with a sample without head injury. Doan PJ, O'Neill D, Sterr 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9. Nouropsychology. 2011 Jul;25(4)454-65- doi: 10.1037/a0022530.Tha prospective course of postconcussion syndrome: the role of mild traumatic brain injury. Meares S, Shores EA, Taylor AJ, Batchelor J, Bryant RA, Baguley IJ, Chapman J, Gurka J, Marosszeky JE.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10. Psychol Med. 2009 Aug: 39(8): 1379-87. doi: 10.1017/S0033291708004595. Epub 2008 Oct 23. Symptoms of post-concussional syndrome are non-specifically related to mid traumatic brain injury in UK Armed Forces personnel on return from deployment in Iraq: an analysis of self-reported data. Fear NT, Jones E, Groom M, Greenberg N, Hull L. Hodgetts TJ, Wessely 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11. Mild traumatic brain injury does not predict acute postconcussion syndrome. Meares S Shores EA, Taylor A J, Batchelor J, Bryant RA, Baguley IJ, Chapman J. Gurka J, Dawson K, Capon L, Marosszeky JE,J Neurol Neurosurg Psychiatry 2000 Mar, 79(3):300-6. Epub 2007 Aug 16.</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 Appl Neuropsychol. 2O10 Jan;l7(1):1-7, dot: 10.1080/09084280903297495 An examination of the base rates of post-concussion symptoms: the influence of demographics and depression-Garden N, Sullivan KA.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13. Arch Clin Neuropsychol. 2011 Aug: 26(5):461-5. dot: 10.1093/arclin/acr021. Epub 2011 Jun 4.Base. rates of post-concusslve symptoms in a nonconcussed multicultural sample.Zakzanis KK, Yeung 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14. Arch Clin Neuropsychol. 2012 Aug;27(5):480-94. doi: 10.1093arlin/acs059. Epub 2012 Jul 5. Neuropsychological outcome from uncomplicated mild, complicated mild, and moderate traumatic brain injury In US military personnel, Lange RT, Brickell TA, French LM, Merrit VC. Bhagwat A, Pancholi S. Iverson GL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15. Rehablt Res Pract. 2012; 2012: 415740.Published online 2012 April 19. doi: 10,11 55/2012/415740PMCID: PMC3345249Outcome from Complicated versus Uncomplicated Mild Traumatic Brain InjuryGrant L Iverson, 1 "Rael T. Lenge, 1, 2 Minna Waijas, 3 Suvi Lilmatainan, 4 Prasun Dastidar, 5 Kaisa M. Hartikainen, 3 Seppo Soimakallio, 5 and Juha Öhman 3</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16. Clin Neuropsychol. 2010 Oct;24(7): 1113-30. doi: 10.1080/13854046.2010.506199. Epub 2010 Aug 18.Comprebensive clinical picture of patients with complicated vs uncomplicated mild traumatic brain lnfury.de Guise B, Lepage JF, Tinawi S, LeBianc J Dagger J, Lamoureiut J, Feyz M.</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17. Tamkin NR, Machamer JB, Dlkmen SS. Correlates of functional status 3-5 years after traumatic brain injury with CT abnormalities. Journal of Neurotrauma 2003-20(3): 229-241</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18. van der Naalt J, Hew JM, van Zomeran AH, Sluter WJ, Minderhond M. Computed tomography and magnetic resonance imaging in mild to moderate head injury: early and late imaging related to outcome. Annals of Neurology, 1999;46(1):70-78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19. Traumatic Brain injury and iatrogenic Morbidity"</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BCMJ, Vol, 49, No, 9 November 2007, page (s) 495-87.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20. Neuropsychological testing of adults. Considerations for neurologists. Report of the Therapeutics and Technology Assessment Subcommittee of the American Academy of Neurology. 1996;47;592-599.</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21. Brain Injury Medicine by Zasier et al Chapter 23.</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22. Brain Injury Medicine by Zasier el al Chapter 22.</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23. Outcome from Mid Traumatic Brain injury by Iverson Current Opinion in Psychiatry 2005,18:301 -317.</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24. 'Etiology of the post-concussion syndrome: Physiogenesis and psychogenesis revisited" by Silverberg et al. Neurorehabilitaion 29 (2011) 317-329,</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25. Meta-Analytic Methods and the importance of Non-TBI Factors Related to Outcome in Mild Traumatic Brain Injury: Response to Bigler et al. 2013 by Larrabee et al The Clinical Neuropsychologist, 2013 Vol. 27, No. 2,215-237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Dubitz v. Knoebel, [2019] B.C.J. No. 1876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Marchand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4-8 and 11-14,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51546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2019 BCSC 1706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Kristel Ariana Dubitz, Plaintiff, and John Daniel Knoebel and Deana Michele Rice,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(366 paras.)</w:t>
      </w:r>
    </w:p>
    <w:p>
      <w:pPr>
        <w:jc w:val="both"/>
        <w:rPr>
          <w:rFonts w:ascii="arial" w:eastAsia="arial" w:hAnsi="arial" w:cs="arial"/>
          <w:sz w:val="20"/>
          <w:lang w:val="en-US" w:eastAsia="en-US" w:bidi="ar-SA"/>
        </w:rPr>
      </w:pPr>
      <w:bookmarkStart w:id="6" w:name="Counsel_1"/>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M.L. Sadden.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I.C. Hallam.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1"/>
      <w:bookmarkEnd w:id="7"/>
      <w:r>
        <w:pict>
          <v:line id="_x0000_s1037"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L. MARCHAND J."/>
            <w:bookmarkEnd w:id="8"/>
            <w:r>
              <w:rPr>
                <w:rFonts w:ascii="arial" w:eastAsia="arial" w:hAnsi="arial" w:cs="arial"/>
                <w:b/>
                <w:color w:val="000000"/>
                <w:sz w:val="30"/>
                <w:lang w:val="en-US" w:eastAsia="en-US" w:bidi="ar-SA"/>
              </w:rPr>
              <w:t>L. MARCHAND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Kristel Dubitz, is 31 years old and lives on an acreage in Chase. She was injured in a motor vehicle accident on May 2, 2014, when she was rear-ended by the defendant, John Knoebel, on a busy thoroughfare in Kamloops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Prior to the accident, she was a vivacious, energetic and active young woman. She was employed full-time in an administrative position, with potential for advancement. She was popular amongst her family, friends and co-workers. Today, she is a shell of her former self. The main issue in these proceedings is whether this is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Dubitz says she suffered a mild traumatic brain injury ("MTBI") in the accident. She also says the accident has caused her to suffer from chronic myofascial pain, post-traumatic stress disorder ("PTSD"), anxiety and depression. She says she was vulnerable to injury as the result of a serious brain injury she suffered in her teens.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Dubitz says her current ailments are interrelated and feed off each other. She says the combination of her physical pain, MTBI and psychological distress have rendered her unable to enjoy life or attain her educational and vocational goals. She seeks very substantial damages for her pain and suffering, past loss of income, loss of future earning capacity, cost of future care, loss of housekeeping (handyman and yard work) capacity and 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Knoebel takes a very different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Knoebel denies liability for the accident. He says the accident occurred when the traffic stopped unexpectedly requiring "emergency braking". He also says that Ms. Dubitz's injuries were not as serious as she says, that she had pre-existing anxiety issues, and that her present problems are due to various post-accident stressors, such as the death of her father, problems in her inter-personal relationships, the termination of an unplanned pregnancy and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If Mr. Knoebel is found liable for the accident, he submits that Ms. Dubitz should be awarded very modest damages for her pain and suffering, past wage loss and some 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have agreed to tackle issues such as the deductibility of collateral benefits, subrogation of long-term disability payments received by Ms. Dubitz, health care recovery costs and tax gross-ups after receipt of my reasons. The parties' agreement to do so greatly simplifies my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Dubitz has discontinued her claim against the defendant, Deana Rice. Ms. Rice rear-ended Mr. Knoebel's vehicle during the accident but there is no evidence that this caused Mr. Knoebel's vehicle to strike Ms. Dubitz's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Personal Background and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Dubitz was born on May 31, 1988. She is the only child of Steven Dubitz and Mary Dalgarno-Dubitz.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Dubitz was a very shy child. She attended public school in Chase from kindergarten to grade four. As a result of her shyness, Ms. Dubitz wanted her mother to be in her class and Ms. Dalgarno-Dubitz obliged. Initially, Ms. Dubitz hung onto her mother in class but she quickly adjusted and became an upbeat and happy student. She got along "great" with the other students and liked school. Ms. Dalgarno-Dubitz continued to help in Ms. Dubitz's class until grade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Dalgarno-Dubitz home-schooled Ms. Dubitz from grade five to grade seven. Ms. Dalgarno-Dubitz was concerned that Ms. Dubitz's next teacher was loud, aggressive and had a volatile personality, which would not have suited Ms. Dubitz. Ms. Dalgarno-Dubitz reports that the home-schooling went very well. She found her daughter to be a very bright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Dalgarno-Dubitz kept her daughter socialized, primarily through dance and 4-H. Ms. Dubitz loved 4-H and remained involved until she was 17 or 18 years old. She learned to care for animals and others. She was involved in fundraising. She developed a great rapport with horses and did very well with her riding, showmanship and judging. 4-H helped Ms. Dubitz overcome her fear of public speaking to the point that she eventually excelled and won awards as a public speaker.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September 15, 2001, Ms. Dubitz was seriously injured in a horseback riding accident. She was riding without a helmet and fractured her skull. She began to have seizures. She was taken by ambulance to the local diagnostic and treatment centre, and was then airlifted to Kelowna. She was in an induced coma for a period of time and remained in the hospital for one week. On medical advice, Ms. Dubitz did not attend school for grade eight. Both Ms. Dubitz and her mother described that Ms. Dubitz made a remarkable and nearly full recovery. The only lingering injury is a partial but permanent hearing loss in her left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September 2002, Ms. Dubitz returned to school and enrolled in grade nine. According to her permanent school record, she took Math 8 and French 8. The rest of her courses were at the grade nine or ten level. Her grades were mostly in the eighties and nineties. Her lowest grade was 77% in Math 8 and her highest grade was 100% in Leadership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Dubitz continued to be a very successful student in grades 10 and 11. She took mostly academic courses, with grades mostly in the seventies and eighties. She completed Math 9 and 10 in her grade ten year achieving 81% in Math 9 and 66.2% in Math 10. The following year, she completed Math 11 with a 74%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Of note, in her grade 11 year, Ms. Dubitz competed in the Miss Chase Pageant, which included talent and public speaking components. Ms. Dubitz found the public speaking stressful and it caused her to "flush" (meaning she would turn red and start to panic). Nevertheless, as long as she could rely on her sense of humour, she liked that part of the competition. She was named "Princess" and enjoyed her one-year reign, which included even more public speaking.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grade 12, Ms. Dubitz scored in the eighties and nineties in her non-academic courses. Her lowest grade was 55% in Math 12 and her highest grade in an academic course was 76% in English 12. Ms. Dubitz explained that her academic grades dropped off in grade 12 because she did not apply herself, she had an active social life, she was active in dance, horseback riding and public speaking, and there was a teacher's strike. Nevertheless, in spite of her brain injury and a full year out of school, Ms. Dubitz graduated from high school in June 2006 on time and on the honour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Dubitz's close childhood friend, Emily Toews, testified that Ms. Dubitz was a bright, logical and competent student, who always did well at school. She also testified that Ms. Dubitz was happy, stable, caring, energetic, lively and a great person to be around. According to Ms. Toews, Ms. Dubitz's smile would light up the room. She described that Ms. Dubitz was approachable and that people were drawn to her. She also described that Ms. Dubitz was very fit and always presented herself very well. Ms. Toews knew Ms. Dubitz before her horseback riding accident. Ms. Toews testified that Ms. Dubitz had the same great personality after she returned to school following the horseback riding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fall of 2006, Ms. Dubitz enrolled in the Bachelor of Business Administration program at Thompson Rivers University ("TRU") in Kamloops. It was her first year living away from home. She did not take her studies seriously. She acknowledges that she may have failed one or two classes. Not wanting to waste her parents' money, she dropped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2007, Ms. Dubitz had two relatively short-term waitressing jobs in Salmon Arm. She then worked for about six months at the Petro-Canada gas station in Chase. She became good friends with an older co-worker at the Petro-Canada named Jeannie Ullian. At first, Ms. Ullian thought the station had just hired a Barbie doll - someone who was tall, blonde and bubbly - but Ms. Dubitz quickly won Ms. Ullian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Ullian described that Ms. Dubitz handled the multi-tasking and physical demands associated with working at such a busy gas station with ease. She greeted customers with a big smile. If any customer was upset, Ms. Dubitz had the customer laughing and smiling by the time they left. After work, Ms. Dubitz had the energy to invite Ms. Ullian to go for a walk but Ms. Ullian usually declined. Ms. Dubitz was always up for anything and had no limits. She was the life of the party at staff socials and enjoyed singing with Ms. Ullian's daughters at the top of their lungs.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May 2008, Ms. Dubitz was hired by the Village of Chase in parks maintenance. Ms. Dubitz worked over the next four summers for the Village, as a labourer and landscape designer. The labour work was physically hard but, unlike the design work, not cognitively demanding. Ms. Dubitz enjoyed both components of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winter of 2008/2009, Ms. Dubitz followed a boyfriend to Grand Prairie where he had high paying work. At about the same time, to enhance her skills, she completed four non-academic horticultural courses offered by distance by Okanagan College. The courses involved a lot of memorization and Ms. Dubitz's completion certificates indicate that she did extremely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several months in Grand Prairie, Ms. Dubitz returned to Chase. On Canada Day 2009, her boyfriend assaulted her and the relationship ended. Ms. Dubitz had a black eye but continued to work. She did not want anyone to know so she wore sunglasses. She only reported the assault to the police in December. Ms. Dubitz described the assault as "traumatic" and acknowledged that it had an emotional impact on her. She was afraid for quite a while but says everything was over by the spring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Dubitz continued with her studies in 2010, taking two on-line courses through the University of Guelph. She received an "A" in a plant identification course in the winter semester and an "F" in a landscape design course in the fall semester. Ms. Dubitz relates her failure to successfully complete her landscape design course to the assault by her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Within the same timeframe, when Ms. Dubitz was 21 or 22, she competed to become "Miss B.C." When the opportunity came up, she thought she would regret it if she did not enter the competition. She wanted to brush up on her public speaking and thought it would look great on her resume. Ms. Dubitz won the public speaking component of the competition with her stand-up presentation of "how to bake a cake from jail". She was also named "Miss Congeniality".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2010 or 2011, Ms. Dubitz began a long-term relationship with Dave Ward, who was about ten years her senior. The timing was not entirely clear to me, but Ms. Dubitz became pregnant. It was an unplanned pregnancy that ended in a miscarriage. She kept the situation to herself. She says it was an emotional roller-coaster, but she recovered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summer of 2011, a knee injury that Ms. Dubitz suffered in a horseback riding accident when she was 14 was bothering her. Ms. Dubitz realized that she could not continue with the physical demands of her parks maintenance job with the Village for the next 30 years. Ms. Dubitz's mother spoke to a neighbour, Arlene Walker, who was the controller at Woodland Equipment Inc. in Kamloops. Woodland happened to be in need of a receptionist and hired Ms. Dubitz. Ms. Dubitz last worked for the Village on a Friday in August 2011 and started with Woodland the following Monday. Ms. Dubitz worked full-time for Woodland until the accident and for a time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Woodland offers sales, rentals, parts, repairs and maintenance of heavy equipment in the construction and resource industries. Ms. Dubitz rather quickly transitioned from reception to administration and accounting. Her positions required her to work with a range of people and to multi-task.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Walker testified that Ms. Dubitz got along with everyone and was well liked by the staff. She was happy, outgoing, bubbly and always smiling. She was upbeat and the type of person who brought others up. Ms. Walker also testified that Ms. Dubitz was a dependable, dedicated and organized worker who took on new responsibilities with ease, including some of Ms. Walker's responsibilities. Ms. Dubitz had a great attitude. Her work was accurate and detailed. She had no difficulties learning policies and procedures. She was good at prioritizing work that needed to be done and work that could wait. Ms. Dubitz prepared a procedure manual that is still in use by Woodland.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Walker was so impressed by Ms. Dubitz that she identified her as an ideal candidate to take over as controller when Ms. Walker eventually retired. To prepare herself for this opportunity, Ms. Dubitz enrolled in a business course at TRU. By all accounts, at the time of the accident, Ms. Dubitz was a highly valued employee at Woodland.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personal side of things, Ms. Dubitz remained in her relationship with Mr. Ward until about six months before the accident. For some of the time, Ms. Dubitz and Mr. Ward lived together. Ms. Dubitz described the relationship as "tumultuous", in part because of Mr. Ward's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the time of the accident, Ms. Dubitz was living with roommates in the Aberdeen neighbourhood of Kamloops. She was active, happy and generally in good health. She had a bad knee (dating to the horseback riding accident when she was 14). She had a retainer to prevent any damage to her teeth from clenching her jaw while she was sleeping. She had occasional heartburn that she treated with over-the-counter antacids and/or ranitidine. She smoked, which caused her some chest pain. She also acknowledged testifying on discovery that she had a history of suffering panic attacks, but could not specifically describe any. She acknowledged having a prescription for propranolol, to help prevent her from "flushing" (turning red) when public speaking.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One week before the accident, Mr. Ward made contact with Ms. Dubitz. The two had dinner together the night before the accident and Ms. Dubitz "crashed" on his couch that night. According to Ms. Dubitz, they had not decided to get back together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Friday, May 2, 2014 was a beautiful spring morning. Ms. Dubitz was on her way to work at about 7:45 a.m. in her Chevrolet Silverado. She was wearing her seatbelt and travelling on the Halston Connector towards the Yellowhead Highway. The posted speed limit was 70 km/hr. Traffic was relatively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Halston Connector is a divided roadway with two lanes travelling in each direction. Ms. Dubitz was travelling in the left lane and moved into the right lane to merge to the right onto the Yellowhead. She was travelling at traffic speed. The vehicle in front of Ms. Dubitz stopped suddenly. Ms. Dubitz slammed on her brakes and came to a "screeching halt". She came to a full stop, leaving some space between her vehicle and the vehicle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Dubitz looked over her right shoulder to check on some belongings she was transporting in her crew cab. She then heard a really loud bang. The next thing she remembers is holding onto her face trying to figure out if her nose was broken - and why she was trying to figure that out. She was confused. Her nose and cheek were sore and her ears were ringing.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woman in the vehicle in front of Ms. Dubitz pulled off to the side of the road and came back to check on Ms. Dubitz. Ms. Dubitz then drove her vehicle ahead and off the road to ensure it was safe. Ms. Dubitz got out of her vehicle. Ms. Dubitz saw that the vehicle behind her, a Toyota Tundra being driven by Mr. Knoebel, had run into her. She also saw that the vehicle behind Mr. Knoebel, a Dodge Neon, had run into him. Finally, Ms. Dubitz saw that her vehicle had struck the vehicle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Knoebel also has only a fragmented memory of the accident. He recalls driving on the Halston Connector on his way to work. He recalls that the traffic was heavy and that he was travelling at traffic speed. He did not see anyone dart in front of him and thought Ms. Dubitz's Silverado was travelling in front of him "the whole time". He recalls seeing brake lights in front of him and slamming on his brakes. He recalls a bang at the moment of impact and being hit by his airbag. He does not know whether he was hit by the Neon before he hit Ms. Dubitz's Silverado. He thinks he would remember if the Neon hit him after he hit Ms. Dubitz's Silverado and caused him to strike it a second time. He did not think such a little car could have moved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accident, Ms. Dubitz described herself as "shocky", meaning that she was cold, clammy and shaky. According to Ms. Dubitz, no one knew what to do and she was trying to wrap her head around what had just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Nevertheless, the parties exchanged information. Ms. Dubitz took photographs. No one called the RCMP but Ms. Dubitz called Mr. Ward. Mr. Ward attended the scene relatively quickly. He drove Ms. Dubitz's Silverado to a nearby Husky station while Ms. Dubitz followed him in his vehicle. Ms. Dubitz then phoned Ms. Walker. Ms. Walker had apparently already heard about the accident from another Woodland employee who had driven past the scene. Ms. Dubitz did not want to go into work but Ms. Walker asked her to come in to help with a few things. Not wanting to let Ms. Walker down, Ms. Dubitz did as she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damage to Ms. Dubitz's Silverado was significant. The frame was bent and her truck was written off. Mr. Knoebel's vehicle suffered extensive front-end damage and was not operable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Injuries, Impact and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Immediate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Ms. Dubitz spoke to Ms. Walker on the phone, Mr. Ward drove Ms. Dubitz to work at Woodland. It was a busy day, with month-end accounting and payroll cut-off work to do. Ms. Dubitz described feeling really confused. She forgot her passwords, could not keep her train of thought and could not remember some of her typical job duties. She was uncomfortable sitting. As she calmed down, she began to get a pounding headache. The ringing in her ears had resolved, but her neck and back were really hurting. She continued to feel shocky.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Walker described Ms. Dubitz as being very upset, agitated, flustered and unable to concentrate. Ms. Walker could see she was in discomfort. Ms. Dubitz says she really tried but had to leave work after a few hours. Mr. Ward picked Ms. Dubitz up and took her to his place to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Over the weekend, Ms. Dubitz continued to feel confused and shocky. Her neck and back hurt. She had a stabbing pain in the front of her chest. She had numbness and tingling in her hands. Her face was sore. She had a headache. It was hard for her to remember names, keep up with the conversation or "word find". She felt exhausted but was not able to sleep well. She kept waking up to nightmares. She had flashbacks and felt anxious, almost to the point of hyperventilating. She was jumpy and startled easily. Her mood was all over the place. She felt dizzy and nauseous. She found it hard to eat. She did not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Dubitz saw her family doctor, Dr. Cornel Barnard, in Chase on Monday, May 5, 2014. Ms. Dubitz described the accident and her symptoms to Dr. Barnard. Dr. Barnard found Ms. Dubitz to have pain at the edge of her range of motion in her cervical and thoracic spine and a blue contusion on her left orbital rim. He diagnosed Ms. Dubitz to have suffered a concussion and wrote Ms. Dubitz a note to be off work for two weeks. He recommended that Ms. Dubitz take it easy, stay in a dark room and not use the TV or her phone. He recommended Tylenol and Advil and prescribed a muscle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Dubitz recorded her symptoms over the following week in writing. Her symptoms generally continued. She had pounding headaches and stabbing pain in her chest. Her neck and back hurt. She had numbness in her left foot. She felt very nauseous. Her hands were shaky. She had difficulty doing her hair and putting on her makeup. She was uncomfortable sitting or laying down. She had difficulty sleeping and felt very tired. She had difficulty remembering names, passwords and where she left important papers. She felt panicky leaving her home and had extreme dizziness at the grocery store. Her eyes were sensitive to the light. She could not keep her train of thought. Her medications were not providing relief. She was already becoming concerned about whether she would make a full recovery because of her prior brain injury. Her condition seemed worse than it had been after her horseback riding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Dubitz saw a locum at Dr. Barnard's office, Dr. Vivian Morrow, on May 13, 2014. Ms. Dubitz gave Dr. Morrow her written list of symptoms, which was scanned into Ms. Dubitz's chart. Dr. Barnard subsequently reviewed the list and considered it to be consistent with his own observations. According to the clinical notes, Dr. Morrow noted "possible concussion" and discussed with Ms. Dubitz that many of her symptoms may be due to anxiety. Dr. Morrow noted that Ms. Dubitz's neck was "supple" with a normal range of motion. She found Ms. Dubitz to have a muscle spasm in her right thoracic paravertebral musculature. Dr. Morrow encouraged Ms. Dubitz to rest and take the muscle relaxant Dr. Barnard had prescribed previously. She recommended that Ms. Dubitz take three weeks off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Initial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May 20, 2014, Ms. Dubitz again saw Dr. Morrow. According to the clinical notes, Dr. Morrow found Ms. Dubitz to have a mild spasm in her cervical paravertebral muscles. Dr. Morrow considered Ms. Dubitz fit to return to work and prescribed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Dubitz was happy to try a return to work. She was excited to think she was better and could go back. Unfortunately, she only lasted four days. She worked eight hours on each of May 26, 27 and 28 and one hour on May 29, 2014. She found it difficult to talk about the accident and keep up with conversations. She had a hard time with her regular duties such as invoicing and internal coding. She began to have headaches and made another appointment to see Dr. Barnard.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Dubitz saw Dr. Barnard on June 3, 2014. She was in severe discomfort and not doing well. Dr. Barnard diagnosed Ms. Dubitz as having suffered a concussion, which he characterized as a MTBI. Dr. Barnard also testified that while he expected Ms. Dubitz to have been further along in her recovery, it takes a long time for brain injuries to heal. On examination, he found no neurological deficits but ordered a CT scan to ensure Ms. Dubitz had not suffered a brain bleed. The CT scan ultimately came back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Dubitz saw Dr. Barnard on June 16 and 30, 2014. On the first of these visits, Ms. Dubitz reported ongoing headaches, memory loss, increased anxiety, panic attacks, and neck and back pain. On the second of these visits, her condition had improved. She continued to have muscle pain and headaches but felt ready to return to work. With input from Dr. Barnard, Ms. Dubitz put her studies at TRU on hold to reduce the demands on her and enable her to focus on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July 2, 2014, Ms. Dubitz began a graduated return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Condition, Treatment and Other Stressors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meantime, there was a lot going on in Ms. Dubitz's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June 3, 2014, Ms. Dubitz began seeing a physiotherapist in Chase named Judy Sturgeon.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Dubitz followed up regularly with Dr. Barnard, who treated Ms. Dubitz's ongoing complaints, including complaints of anxiety, headaches, chest, neck and back pain, dizziness, blurry vision, and problems with her memory and concentration. He diagnosed her at times as suffering from anxiety or depression. He prescribed medications, counselled Ms. Dubitz extensively, referred Ms. Dubitz for various tests and eventually referred Ms. Dubitz to various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Following her return to work, Ms. Dubitz worked gradually increasing part-time hours until returning to full-time hours on August 14, 2014. Ms. Dubitz was unable to perform at her pre-accident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July or August 2014, Ms. Dubitz moved in with Mr. Ward in Kamloops. They felt it did not make sense for them both to be paying rent. Though Mr. Ward was supportive of Ms. Dubitz, there were tensions in the relationship. Mr. Ward had a drinking problem and lost his licence for driving under the influence. Mr. Ward also had a blood disorder, which sapped his energy. Ms. Dubitz found Mr. Ward's drinking and lack of energy frustrating.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August 2014, Ms. Dubitz's parents had an accident while repairing their dishwasher. Both fell. Her father broke a number of vertebrae and ribs while her mother broke her tibia. As a result, Ms. Dubitz travelled from Kamloops to Chase on weekends to assist her parents. Ms. Dalgarno-Dubitz testified that, while Ms. Dubitz's intentions were good, in reality, she often had headaches and back aches, was tired, laid down and did not do that much. In any event, on September 22, 2014, Ms. Dubitz reported to Ms. Sturgeon that she was very stressed in August 2014, in part, due to her parents'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October 2014, Ms. Dubitz's father contracted pneumonia. He died unexpectedly on October 22, 2014. Ms. Dubitz was very close to her father and was understandably upset by his passing. She missed five days of work and testified that she was "a mess" and cried for a month. She saw Dr. Barnard on October 27, 2014, and he prescribed her Lorazepam for her resulting increased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Condition, Treatment and Other Stressors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the clinical records provided to me, Ms. Dubitz continued with physiotherapy until March 2015. Ms. Dubitz also had three massage therapy treatments in February and March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Dubitz spoke to Dr. Morrow about her father's passing on January 19, 2015, and requested counselling. On February 16, 2015, Ms. Dubitz saw Dr. Barnard, reporting that her anxiety and mood had deteriorated. She was crying, and had hair loss, no energy and poor concentration. She appeared unkempt. Dr. Barnard counselled Ms. Dubitz, prescribed an anti-depressant and referred Ms. Dubitz to Kamloops Mental Health for further counselling. The anti-depressants helped calm Ms. Dubitz and improved her sleep. Unfortunately, Ms. Dubitz did not establish good rapport with the counsellor she saw at Kamloops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March 2015, Dr. Barnard referred Ms. Dubitz to an ophthalmologist to assess her reports of episodic blurry vision. An ophthalmic exam on May 20, 2015 was normal so the ophthalmologist was unable to offer Ms. Dubitz any treatment or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June 26, 2015, Ms. Dubitz saw Dr. Barnard and presented with ongoing problems with her short-term memory, headaches and back pain. Dr. Barnard referred her to a physiatrist named Dr. Prathap Raghavan.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November 2015, Mr. Ward and Ms. Dubitz were evicted from Mr. Ward's place in Kamloops following a dispute with the landlord. Ms. Dubitz regrets that she got involved and said some things she should not have said. Ms. Dubitz and Mr. Ward then moved out to Chase. They lived on one of two parcels of land owned by Ms. Dubitz's mother. Ms. Dubitz's mother lived on the adjoining parcel. Mr. Ward's mother became a frequent visitor. Ms. Dubitz described Mr. Ward's mother as an enabler and agreed that her presence did not help calm Ms. Dubitz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Later that month, Ms. Dubitz had her first appointment with Dr. Raghavan. At that time, Dr. Raghavan considered Ms. Dubitz's significant physical, cognitive and emotional symptoms to be typical of post-concussive syndrome. He also noted that she had significant symptoms of anxiety and symptoms suggestive of PTSD. Dr. Raghavan advised Ms. Dubitz to start cognitive behavioural therapy ("CBT") and a regular cardiovascular exercise program. He referred Ms. Dubitz to a psychiatrist named Dr. Edit Pusztai. He noted that it would be ideal for Ms. Dubitz to take some time off work to focus on her rehabilitation.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Condition, Treatment and Other Stressors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Ward attempted suicide in January 2016 and a breakup followed in May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late January 2016, Ms. Dubitz began seeing Dr. Pusztai. Dr. Pusztai counselled Ms. Dubitz and prescribed various medications to control Ms. Dubitz's anxiety, depression and PTSD. Dr. Pusztai referred Ms. Dubitz to a counsellor but he was very expensive and loud, and Ms. Dubitz did not consider him to be a good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July 2016, on the suggestion of Dr. Raghavan, Ms. Dubitz began seeing a Registered Clinical Counsellor named David Darwin. Ms. Dubitz was still seeing Mr. Darwin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meantime, things at Woodland were not going well. Ms. Walker described that Ms. Dubitz lacked the ability to focus and prioritize. If asked to do something by management, she became flustered and nervous. She was not irritable with others but she was not her usual self. She became withdrawn. There was no more kibitzing and joking around with co-workers. She was in physical discomfort. Ms. Walker had to ask other staff to back-off in their demands of Ms. Dubitz and withdrew some of Ms. Dubitz's responsibilities. Ms. Dubitz's hair was falling out. Ms. Walker described Ms. Dubitz as "shattered". Ms. Dubitz was on edge, unable to keep up and not sleeping. She felt she was at her breaking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July 19, 2016, Dr. Pusztai recommended that Ms. Dubitz speak to Dr. Barnard about being off work for at least three months. Dr. Pusztai was of the view that Ms. Dubitz could not continue working as it was causing her to become "so agitated and overwhelmed." On August 2, 2016, Dr. Pusztai wrote to Dr. Barnard asking directly that he "sign [Ms. Dubitz] off" from work for at least three months. She reported to Dr. Barnard that Ms. Dubitz was struggling with anxiety, symptoms of PTSD, fatigue, concentration and distractibility.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Dubitz was reluctant to take time off work. She reported to Mr. Darwin that she was afraid she would lose her job. Dr. Barnard testified that he had to convince Ms. Dubitz not to work full-time. On August 8, 2016, Dr. Barnard wrote a letter "To Whom It May Concern" asking that Ms. Dubitz be given a reduced workweek, preferably of two days per week and subject to medical review in three months. Ms. Dubitz began working reduced hours that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By the summer of 2016, Ms. Dubitz was in a new relationship. In late August 2016, she learned that she had unexpectedly become pregnant, which she found to be quite distressing. Already feeling overwhelmed, Ms. Dubitz decided to terminate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September 14, 2016, Dr. Barnard prepared a "Work Absence Certificate" for Ms. Dubitz to certify that she was unable to work due to PTSD and anxiety. Ms. Dubitz then worked occasionally until October 4, 2016, when she went off work completely. Ms. Dubitz collected EI benefits. Ms. Dubitz has never returned to Woodland.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fall of 2016, tensions arose between Ms. Dubitz and her mother when her mother asked Ms. Dubitz and her boyfriend to begin paying rent. Ms. Dubitz was upset because she had understood that the parcel she lived on was left to her by her grandparents and was only in her mother's name to protect the property from family law claims by men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December 5, 2016, Ms. Dubitz was examined for discovery. Prior to the discovery, her PTSD symptoms increased and she reported to Dr. Pusztai that she felt overwhelmed by the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Condition and Treatment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Dubitz's discovery-related symptoms settled early in 2017. Though Ms. Dubitz wanted to return to work, her medical professionals advised against it. Instead, throughout 2017, Ms. Dubitz focused on her recovery. She did yoga and hiked. She continued to see Drs. Barnard, Pusztai and Raghavan as well as Mr. Darwin. On referral from Dr. Raghavan, on July 20, 2017, she entered the "Active Rehabilitation Program" ("ARP") offered by a kinesiologist named Natalie Saari. Ms. Dubitz continued to collect EI and eventually long-term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Raghavan saw Ms. Dubitz regularly until July 26, 2017. Dr. Raghavan subsequently moved to India. Since that time, Dr. Barnard's efforts to refer Ms. Dubitz to another physiatrist have been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Despite the loss of her physiatrist, Ms. Dubitz's focus on her recovery appeared to pay dividends. In the fall of 2017, Dr. Barnard recommended that Ms. Dubitz begin volunteering. From September 2017 to February or March 2018, Ms. Dubitz volunteered on weekends at the local arena in Chase, playing music on an iPad and blowing an air horn for goals. From October 2017 to March 2018, Ms. Dubitz volunteered at the BC Wildlife Park in Kamloops for four hours on Wednesdays assisting with animal care. In November 2017, Ms. Dubitz enrolled in a financial accounting course at TRU, which she started in December 2017 or January 2018.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Condition, Treatment and Other Stressors in 2018/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January 4, 2018, Dr. Barnard wrote a note declaring Ms. Dubitz ready to return to work. On February 4, 2018, Ms. Dubitz took a casual position at the Parkside Estate Retirement Residence where she had a few serving and a few housekeeping shifts over the next two and a half months. It bothered her that she could not remember the residents' names and their orders but the residents were generally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March or April of 2018, Ms. Dubitz left her position at Parkside when the Village of Chase hired her to work in a temporary full-time position in park maintenance. The position was extended and ended on September 1, 2018. The position was not cognitively demanding and Ms. Dubitz managed the physical aspects of the work reasonably well. She could not do heavy lifting, worked at an easier pace, took frequent breaks when pruning and wore a harness when using a weed whacker. She was doing a lot of yoga and felt like she was in great shape. Her pain levels improved but she was pretty sore at the end of the week. She acknowledged, however, that this was pretty standard for landscaping work. As well, during the summer, Ms. Dubitz developed numbness in her hands, which led to a referral by Dr. Barnard to a neurologist. A neurologic exam was eventually completed on January 31, 2019, and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fall of 2018 was difficult for Ms. Dubitz. She attended a number of litigation-related assessments. She got an extension and completed her TRU course. She also completed an in-house personal income tax preparation course offered by H&amp;R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Dubitz put "150%" effort into the TRU course but found it very difficult to distill and retain information. She withdrew from other activities. She became frustrated and stressed that no matter how hard she worked, nothing would stick. She described herself as "an absolute mess" but eventually passed the course with a C- grade. Ms. Dubitz found the final exam to be so draining that it took her a week and a half to get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H&amp;R Block course was offered via six-hour sessions on ten consecutive Saturdays. Though the instructor was very helpful, Ms. Dubitz found it difficult to keep up. Nevertheless, the H&amp;R Block course was her exclusive focus in November and December 2018 and Ms. Dubitz was quite successful. She passed the course with an overall grade of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Though the timing was not entirely clear to me, I took from Ms. Dubitz's testimony in cross-examination that she applied for a number of jobs in the fall of 2018. Ms. Dubitz applied for a winter labour position with the Village but the Village hired a more qualified person. Ms. Dubitz did not hear back from a number of other prospective employers in relation to administrative positions she had applied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mid-January 2019, Ms. Dubitz reached out to H&amp;R Block about possible employment and was offered a position. After some on-the-job training, Ms. Dubitz began to see clients in late January or early February. Though she saw clients with the most basic returns, Ms. Dubitz found the work difficult and stressful. She panicked when clients walked in and her head would go blank. She had issues with the computer system, could not remember her passwords and forgot the most basic steps like having the client sign certain forms. She worried about making mistakes and wanted her supervisors to check her work. She took longer than necessary with her appointments. At the end of the day, she felt exhausted. She missed a number of days of work due to migraine headaches. With input from Dr. Barnard and Mr. Darwin, she asked H&amp;R Block to work only part-time hours. She then missed further work due to the trial. At the conclusion of her testimony, she was not sure whether she still had a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Dubitz testified that she is in constant physical pain, with no pain free days. She has pain in her neck, shoulders, upper back and chest. Looking up or holding her arms up is painful. Static postures and activities like raking and weed whacking aggravate her condition. She has to take breaks from sitting or while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Dubitz gets headaches on average two to three times per week, which she treats with over-the-counter medications and ice packs. She also gets migraine headaches from stress, which require her to retreat to a dark room. Medications do not provide relief for her migraines, which can last for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Dubitz continues to have difficulty with memory, focus, concentration, multi-tasking and word finding. Her symptoms are worse when she is stressed. When her anxiety flares, she has to "take a break to let her head catch up with the situation." If she is unable to do so, she experiences a downward spiral, which leads to mental fatigue and exhaustion.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Dubitz continues to experience anxiety daily. The muscles in her chest tighten. Her palms sweat, her hands shake, and she begins to fidget. Her thoughts begin to race, and she loses focus. Her usual response is to remove herself from the situation. Minor things now set her off and she can no longer cope with life as she did before. She testified that she "make(s) mountains out of molehills".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Dubitz has difficulty sleeping. She does not get restful sleep and does not feel refreshed in the morning. She often wakes in a panic and is drenched in sweat. Although she naps daily, Ms. Dubitz testified that her energy is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Dubitz is no longer social. She avoids busy places. She finds conversations to be taxing and hard on her confidence. She testified that she used to be a perfectionist and performed well. She wishes she did not care about making mistakes, but she does. As a result, she finds her new reality disheartening.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Dubitz testified that since September of 2018, she feels lost and without purpose. She does not know if she will have a job with H&amp;R Block after missing so much time and being unable to work full-time as offered. She feels as though her life has no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Dubitz testified that she feels her overall condition has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Dubitz's testimony about her current condition is supported by the observations of her friends and family. They may not have known of other stressors affecting Ms. Dubitz but that does not undermine their testimony. The importance of their evidence is that they have all noticed big changes in Ms. Dubitz, not why those big changes occurred. It is up to me, not them, to determine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Toews saw Ms. Dubitz within a few months of the accident and has seen her from time to time after that. Though Ms. Dubitz does not complain, Ms. Toews has noticed that she is physically uncomfortable, not as willing to engage in different activities, not as confident as she had been and scattered in her thoughts. Ms. Dubitz is not putting the same effort into her appearance as before the accident. She appears sad, gray and unhealthy. Her brightness no longer radiates. Ms. Toews feels like she has lost a really good friend - "almost like a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Ullian has regularly spent time with Ms. Dubitz since very soon after the accident. She testified that Ms. Dubitz looks ragged, worn out, worried and hurt. She has observed Ms. Dubitz not standing tall and shifting uncomfortably. She has noticed that Ms. Dubitz loses her train of thought, does not laugh and is no longer the life of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Dalgarno-Dubitz described that after the accident, her daughter has not been as happy, vibrant, shining and vivacious. She has noticed that her daughter is unable to concentrate as well, does not take the same pride in her appearance and cannot handle the stress of decision-making. She sees her daughter suffering from pain, including headaches. She also says that her daughter does not have her usual energy, has become less active and lacks her usual spark.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Dubitz submitted a significant number of expert reports from those involved in her treatment, from independent assessors and from a labour economist. Unfortunately, Ms. Dubitz was unable to obtain expert reports from either Dr. Raghavan or Dr. Pusztai - Dr. Raghavan due to his move to India and Dr. Pusztai due to her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With the exception of the labour economist, each of Ms. Dubitz's experts also testified at trial. I will summarize the most salient points from the expert reports and testimony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Knoebel did not adduce any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Neuropsychologist - Dr. Ann Pirolli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Neuropsychologist, Dr. Ann Pirolli, was qualified to give expert opinion evidence in relation to the diagnosis, treatment, prognosis and vocational implications associated with MTBI and psychological disorders. She reviewed relevant medical and counselling records, assessed Ms. Dubitz on two occasions, completed a number of collateral interviews and prepared two reports, one dated October 1, 2015, and the other dated February 2,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Dr. Pirolli's opinion, Ms. Dubitz has suffered a MTBI, PTSD, depression and anxiety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Pirolli classified the head injury Ms. Dubitz suffered when she was 13 years old as a moderate traumatic brain injury. In Dr. Pirolli's opinion, this made Ms. Dubitz more vulnerable to suffering a MTBI in the accident. Dr. Pirolli explained that traumatic brain injuries have a cumulative effect and that Ms. Dubitz's prior brain injury reduced her cognitive reserve. According to Dr. Pirolli, subsequent brain injuries typically have more significant symptoms, and are more difficult and take longer to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testing completed by Dr. Pirolli in December 2016 demonstrated improvement in Ms. Dubitz's level of functioning in comparison to the testing completed in May 2015. Nevertheless, the December 2016 testing revealed impairments in the areas of attention, working memory, speed of processing, verbal processing and verbal fluency. The December 2016 testing also revealed apathy, executive dysfunction, moderate to severe emotional distress (depression and anxiety) and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her reports and testimony, Dr. Pirolli explained that Ms. Dubitz's PTSD symptoms fluctuate, depending on the presence of triggers and/or other stressors. She related Ms. Dubitz's depression and anxiety to the impact her injuries have had on many aspects of her life. In Dr. Pirolli's opinion, Ms. Dubitz is depressed and worries about the impact her injuries have had and will have on her ability to work, her ability to attend school and her future capabilities. In Dr. Pirolli's view, other life stressors have exacerbated Ms. Dubitz's symptoms of depression. At the same time, Ms. Dubitz's accident-related depression and PTSD have made Ms. Dubitz less able to cope with additional stressors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Pirolli explained the negative interaction of chronic pain, depression and PTSD. Dr. Pirolli explained that the combination of these conditions leads to longer recovery times. Dr. Pirolli testified that a person experiencing chronic pain is more likely to be depressed while a person with depression is likely to experience a greater level of pain. Similarly, a person with PTSD who is experiencing heightened arousal will tend to have heightened tension and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her February 2, 2017 report, Dr. Pirolli expressed her view that Ms. Dubitz was, at that time, not competitively employable and not able to participate in a normal academic workload due to her psychological distress (depression and PTSD), chronic pain and fatigue. Dr. Pirolli explained in her testimony that Ms. Dubitz would need a compassionate employer and work modifications such as shortened hours, more breaks and extra days off in order to maintain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terms of prognosis, Dr. Pirolli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amount of time that has elapsed since the accident and the severity and type of her ongoing psychological distress (despite ongoing treatment), Ms. Dubitz's prognosis regarding improvement in her psychological health is guarded. Her psychological conditions are likely to be chronic and fluctuating. If Ms. Dubitz does not receive ongoing treatment for her psychological disorders, her prognosis is poor. She is at increased risk for a worsening in her psychological health in the future if her academic and vocational goals cannot be attained and if there is any increase in pain as she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terms of treatment, Dr. Pirolli recommended prolonged psychological treatment and ongoing medication management to address Ms. Dubitz's combination of PTSD, depression and pain. Dr. Pirolli also recommended occupational therapy to help Ms. Dubitz engage in recreational and other activities, which Dr. Pirolli felt would help Ms. Dubitz's mood and pain. On demonstrating significant improvement in her psychological health and with the approval of her rehabilitation team, Dr. Pirolli felt an occupational therapist ("OT") "should be involved to help Ms. Dubitz re-engage in academic and vocational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cross-examination, counsel for Mr. Knoebel asked Dr. Pirolli to assume certain key events had occurred since she last saw Ms. Dubitz, including that Ms. Dubitz had: held two volunteer positions; been cleared for a return to work by Dr. Barnard; been employed by a retirement residence and the Village; reported improvements in her condition to Dr. Pusztai; and had completed the TRU and H&amp;R Block courses. Counsel then asked Dr. Pirolli whether these assumed facts represented a vast improvement in Ms. Dubitz's condition since 2015. In preparation for trial, Dr. Pirolli had spoken to Ms. Dubitz to receive an update on what and how she had been doing. As a result, Dr. Pirolli answered with a qualified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Pirolli again noted that PTSD can fluctuate so that there will be times when a person with PTSD will be quite well and other times when that person would not be quite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case of Ms. Dubitz, Dr. Pirolli noted that she understood Ms. Dubitz's work with the Village was not cognitively demanding and that she had had to put her TRU studies on hold while employed by the Village because she could not keep up. Dr. Pirolli also noted that Ms. Dubitz struggled with the TRU course. Dr. Pirolli was aware that Ms. Dubitz performed better with the H&amp;R Block course but noted that it was not online and had an in-class instructor. Dr. Pirolli also noted that Ms. Dubitz had immediate difficulties with her employment at H&amp;R Block, which caused her anxiety and distress. Dr. Pirolli described that Ms. Dubitz was "coming unglued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Though agreeing that Ms. Dubitz had experienced vast improvements starting in the fall of 2017, she did not change her prognosis. She maintains that Ms. Dubitz's prognosis remains guarded due to the chronic nature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Counsel for Mr. Knoebel then put to Dr. Pirolli that another of Ms. Dubitz's experts, a psychiatrist named Dr. Aindrias O'Breasail, had assessed Ms. Dubitz in November 2018 and not diagnosed her with PTSD. Given the waxing and waning nature of PTSD, Dr. Pirolli did not consider her views to be inconsistent with Dr. O'Breasail's. According to Dr. Pirolli, Ms. Dubitz may not have met the diagnostic criteria for PTSD at the time of her assessment by Dr. O'Breasail but that does not mean that she will not meet the criteria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Psychiatrist - Dr. Aindrias O'Breasail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O'Breasail was qualified to give expert opinion evidence as a doctor of psychiatric medicine with respect to the diagnosis, treatment, prognosis and vocational impact of psychiatric disorders, traumatic brain injuries and chronic pain. He reviewed relevant medical, treatment and counselling records, and expert reports. He examined Ms. Dubitz on one occasion on November 21, 2018. He prepared a report dated November 26,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Dr. O'Breasail's opinion, Ms. Dubitz has suffered chronic pain, a MTBI, Generalized Anxiety Disorder ("GAD") and symptoms of PTSD and depression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O'Breasail noted that Ms. Dubitz suffered a number of post-concussive symptoms over an extended period of time following the accident. These included "headaches with associated light and noise sensitivity, as well as nausea, cognitive difficulties with impairment in concentration and memory, word finding activities, and some visual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O'Breasail also noted that Ms. Dubitz experienced "many features of an anxiety disorder". Dr. O'Breasail highlighted that Ms. Dubitz experienced "agitation, fatigue, impaired cognition, low frustration tolerance, increased muscle tension, and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terms of post-traumatic stress, Dr. O'Breasail noted that Ms. Dubitz experienced a number of symptoms, including "re-experiencing the accident through flashbacks and through nightmares, anxiety in a vehicle, avoidance behaviour, social withdrawal and generalized anxiety in circumstances, such as social situations." In cross-examination, Dr. O'Breasail agreed that the decrease in Ms. Dubitz's driving-related anxiety over time reduced the foundation for a diagnosis of PTSD, though he also noted that Ms. Dubitz demonstrated other symptoms of avoidance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O'Breasail explained that there is an overlap between Ms. Dubitz's post-concussive symptoms and her symptoms of anxiety as well as between her symptoms of anxiety and her symptoms of PTSD. According to Dr. O'Breasail, individuals with significant anxiety frequently have impaired cognition.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case of Ms. Dubitz, Dr. O'Breasail is of the view that her persistent cognitive symptoms are likely largely the result of her anxiety. While Ms. Dubitz's MTBI certainly played a role in her cognitive difficulties at the outset, he could not say for certain whether her MTBI was contributing to her current cognitive difficulties. He would not, however, rule it out as a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Regarding Ms. Dubitz's chronic pain, Dr. O'Breasail feels that psychological factors have played a role in perpetuating the pain and also in the intensity of her pain. Dr. O'Breasail explained that this is the result of a complex interaction between pain and psychological symptoms, and that psychological distress makes pain more intense and last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Dr. O'Breasail's opinion, cognitive difficulties, chronic pain and psychological distress have restricted Ms. Dubitz's vocational and educational functioning. While Dr. O'Breasail notes that there has been improvement, he is of the view that Ms. Dubitz "likely will have a persisting restriction in vocational functioning secondary to her anxiety and cognitive difficulties". That said, Dr. O'Breasail believes that Ms. Dubitz will likely be able to return to full-time work in an administrative position in the future. Dr. O'Breasail was asked questions during his direct examination that invited him to qualify the opinion offered in his report about Ms. Dubitz's ability to return to work but no notice was given of any additional opinions and I am ignoring his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O'Breasail also noted that the injuries Ms. Dubitz suffered in the accident negatively affected her ability to pursue recreational activities as well as her intimate and other close interpersonal relationships. That said, Dr. O'Breasail did not foresee Ms. Dubitz's injuries having a major impact on her recreational activities and interpersonal relationships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forming his opinions, Dr. O'Breasail recognized that several factors made Ms. Dubitz more vulnerable to injury in the accident. Though Ms. Dubitz was young and made a good recovery, her prior brain injury left her brain in a somewhat weakened state and left her at heightened risk for developing a psychiatric disorder. Further, her childhood anxiety and prior abusive intimate relationship made her vulnerable to developing psychological symptoms if exposed to significant stress, such as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forming his opinions, Dr. O'Breasail also recognized that other factors, such as the death of her father, difficulties in her relationships with Mr. Ward and her mother, and her unplanned pregnancy, contributed to her anxiety and depression. While acknowledging that these events would individually and cumulatively provoke anxiety and distress, he was of the view that they would likely have had time-limited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cross-examination, Dr. O'Breasail agreed that Ms. Dubitz's return to full-time work in 2014 and discontinuance of physiotherapy in 2015 were not predictive of Ms. Dubitz experiencing increased anxiety and being off work in 2016. In re-direct, Dr. O'Breasail agreed that other factors were at play, including that Ms. Dubitz was not just experiencing anxiety but was also dealing with her MTBI and chronic pain. Dr. O'Breasail also agreed that his prognosis for Ms. Dubitz in 2015 would have been negatively affected by the fact that Ms. Dubitz was under the care of a psychiatrist, on medication and receiving counselling yet was still struggling at work and suffering from anxiety, cognitive issues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the end of the day, Dr. O'Breasail remained of the view that the accident was the primary cause of Ms. Dubitz's physical and psychological injuries. In the absence of the accident, Dr. O'Breasail testified that Ms. Dubitz was unlikely to have developed the constellation of symptoms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With regard to treatment, Dr. O'Breasail has recommended that Ms. Dubitz continue to be followed by a psychiatrist, remain on her medications, and continue to receive counselling. More specifically, Dr. O'Breasail recommends that Ms. Dubitz use anti-anxiety and sedative medication when needed and remain on anti-depressant medication in the long term. He also recommends 12 psychotherapy or counselling sessions annually for the next five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Chronic Pain Specialist - Dr. John-Paul Etheridge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John-Paul Etheridge was qualified to give expert opinion evidence as an interventional and chronic pain management medical doctor with respect to the diagnosis, treatment, prognosis and vocational impact of chronic pain. He reviewed relevant medical, treatment and counselling records and expert reports. He examined Ms. Dubitz on one occasion on September 18, 2018. He prepared a report dated November 8,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Dr. Etheridge's opinion, Ms. Dubitz suffered soft-tissue injuries to her neck and mid-to-lower back muscles, a MTBI, and symptoms of PTSD, anxiety and depression as a result of the accident. Currently, Ms. Dubitz has chronic myofascial pain affecting her neck, mid-to-lower back and gluteal muscles, weekly occipital headaches and central nervous system ("CNS") hypersensitivity to pain, all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Objectively, Dr. Etheridge found that Ms. Dubitz has palpable trigger points within the muscle bands of her neck, shoulders, mid-to-lower spine and gluteal muscles. Dr. Etheridge explained that there is less blood flow within these trigger points, which creates an acidic environment that he characterized as an "inflammatory soup". According to Dr. Etheridge, trigger points are hallmark indications of chronic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Objectively, Dr. Etheridge also found that Ms. Dubitz had increased sensitivity to pain, which supported his diagnosis of CNS hypersensitivity. Dr. Etheridge explained that more neurons than normal are recruited to injured sites, which, in the case of Ms. Dubitz, has caused her enhanced pain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Etheridge also explained that the relationship between chronic myofascial pain and CNS hypersensitivity is bi-directional. As I understand it, Ms. Dubitz's CNS hypersensitivity is probably caused by her myofascial pain and her CNS hypersensitivity perpetuates her myofascial pain, which together result in a chronic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Dr. Etheridge's view, Ms. Dubitz's prior traumatic brain injury probably made her more susceptible to sustaining a MTBI as a result of the accident. In Dr. Etheridge's view, Ms. Dubitz's periodic back and shoulder pain in her youth are probably not related to her headaches, and neck, back and gluteal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terms of prognosis, Dr. Etheridge expects Ms. Dubitz's chronic neck and back pain to fluctuate, depending on her activities. For example, a sedentary lifestyle and work environment will probably aggravate her chronic myofascial pain more than a physical lifestyle or a more physically demanding job. Dr. Etheridge believes Ms. Dubitz has "probably reached the point of maximum medical improvement as it relates to her chronic myofascial pain." He notes that the prognosis for myofascial pain is favourable if it resolves within three to six months. Given that Ms. Dubitz's myofascial pain has persisted for several years, her prognosis is poor. Nevertheless, in cross-examination, Dr. Etheridge testified that he does not expect Ms. Dubitz's condition will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Etheridge deferred providing a prognosis with respect to Ms. Dubitz's psychological injuries to her psychiatrist. Dr. Etheridge does not believe Ms. Dubitz's post-concussion symptoms will be limiting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terms of work, Dr. Etheridge believes that accounting/administrative work will probably aggravate Ms. Dubitz's neck and back pain. In his view, she will need workplace modifications and accommodations such as a sit-to-stand desk and regular breaks to change position and stretch. Dr. Etheridge believes there is a substantial possibility that Ms. Dubitz will not be able to work full-time in a sedentary job in the long term. He believes she will probably be able to work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cross-examination, Dr. Etheridge confirmed that he took Ms. Saari's report that Ms. Dubitz's pain had decreased significantly over the course of her active rehabilitation program into account in the preparation of his report. He noted that Ms. Dubitz's symptoms still persist in spite of her progress. He testified that it would be a "stretch" to think that Ms. Dubitz would experience significant further improvement with an exercise program but agreed that such a program would help her maintain her current level of function and minimize the negative effects of working in an office environment. Essentially, Dr. Etheridge promoted Ms. Dubitz following a balanced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Around her home, Dr. Etheridge believes that Ms. Dubitz will be able to perform most of her domestic duties and yard work but will probably be limited from doing strenuous and physically demanding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Etheridge made a number of recommendations for Ms. Dubitz's future care. Specifically, he recommended that Ms. Dubitz:</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trigger point injections or acupuncture/ intramuscular stimulation for symptom and pain management. Dr. Etheridge noted that these treatments will probably not change the long-term outcome of Ms. Dubitz's condition but will probably provide short to medium term pain relief. I understand that any such treatment would be covered by the provincial Medical Services Plan.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physiotherapy, chiropractic treatments and/ or massage therapy treatments. Again, Dr. Etheridge noted that these treatments will probably not change the long-term outcome of Ms. Dubitz's condition but will probably provide short-term pain relief and may form part of her long-term pain management strategy. In Dr. Etheridge's view, one to two treatments of any one of these modalities per month would be reasonable. Dr. Etheridge recommended that Ms. Dubitz utilize whichever of these treatment modalities was most effective for her.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over-the-counter pain medication, including anti-inflammatories, as needed for pain relief over the long term.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prescription medications such as gabapentin, Lyrica, amitriptyline, nortriptyline or Cymbalta to decrease her CNS hypersensitivity to pain. Dr. Etheridge recommended that these medications be trialed and used long-term if effective. Dr. Etheridge noted that the beneficial effects of these medications (one third of patients may receive approximately 30% pain relief from any given trial of treatment) will need to be weighed against the side effects, which can include cognitive impairment, fatigue, dizziness and drowsiness.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 ergonomic assessment of her future work place and use a sit-to-stand desk.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Family Doctor - Dr. Cornel Barnard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Barnard was qualified to give expert opinion evidence as a family physician with respect to the diagnosis and treatment of traumatic brain injuries, chronic pain, PTSD, anxiety and depression. As Ms. Dubitz's family physician, he had extensive contact with Ms. Dubitz, and also received and reviewed relevant medical and treatment records as well as Dr. Pirolli's reports. Dr. Barnard prepared a report dated November 26,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Dr. Barnard's opinion, Ms. Dubitz suffered whiplash, PTSD, mood disorder (anxiety/depression) and traumatic brain injury, all at a moderate level,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Regarding brain injuries generally, Dr. Barnard testified that it can take the brain a long time to heal. In cross-examination, Dr. Barnard agreed that Ms. Dubitz's prior brain injury was "much worse" but, according to Dr. Barnard, young, developing brains are able to bounce back much quicker. He explained that is because developing brains still have cells that can regenerate. In re-direct, Dr. Barnard testified that, due to compounding effects, subsequent concussions are "worse and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cross-examination, Dr. Barnard agreed that Ms. Dubitz's physical symptoms are not the biggest part of her current problems and that her PTSD, anxiety and depression are of higher importance. When informed of Dr. O'Breasail's opinion that Ms. Dubitz does not have PTSD but rather suffers from GAD with symptoms of post traumatic stress, Dr. Barnard testified that he would defer to Dr. Pusztai's diagnosis of PTSD given her longitudinal care of Ms. Dubitz. In the absence of Dr. Pusztai's consultation reports, Dr. Barnard acknowledged that he would be obliged to defer to Dr. O'Breasail's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his report, Dr. Barnard addressed the question of whether Ms. Dubitz's current complaints and symptoms related in any way to pre-existing factors or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knew Ms. Dubitz as a patient before the MVA. She did not have a psychiatric diagnosis. All of her psychiatric symptoms started after her MVA. Ms. Dubitz did not have neck or back pain prompting medical care with me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cross-examination, Dr. Barnard acknowledged that his report does not mention entries in a "Quit Smoking Medical Questionnaire" completed by Ms. Dubitz prior to the accident in September 2013, Ms. Dubitz's prior prescription for propranolol nor many of her post-accident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the Quit Smoking questionnaire, Ms. Dubitz checked-off that she had "chronic pain problems" in her back, chest, jaw and hip. Dr. Barnard explained that he did not mention this in his report because chronic pain has certain diagnostic criteria and he had seen no evidence of such problems on Ms. Dubitz's chart (which dated back to 2001) nor in his interactions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Regarding Ms. Dubitz's propranolol prescription, Dr. Barnard explained that it is prescribed for fear of public speaking, which is quite common in the general population. I took from Dr. Barnard's testimony that he did not consider Ms. Dubitz's use of propranolol to be relevant to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Regarding other stressors in Ms. Dubitz's life, Dr. Barnard acknowledged that the death of Ms. Dubitz's father, her relationship with Mr. Ward and the termination of her unplanned pregnancy were all stressors in Ms. Dubitz's life. As a whole, I understood Dr. Barnard's testimony to be that he did not consider these matters to be particularly relevant. He testified that the death of Ms. Dubitz's father and the termination of her unplanned pregnancy were not recurring issues. He also testified that once Ms. Dubitz's relationship with Mr. Ward was over, the stressors were gone and Ms. Dubitz was doing much better. Dr. Barnard testified that Ms. Dubitz never mentioned difficulties in her relationship with her mother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re-direct, Dr. Barnard was asked if there was any difference between the impact of the accident and Ms. Dubitz's episodic stressors in relation to her PTSD, GAD and depression. Dr. Barnard explained that Ms. Dubitz's PTSD, GAD and depression are related to the accident. He testified that adding stressors causes Ms. Dubitz to decompensate quicker, in the sense that her coping skills were diminished due to her accident-related psychological injuries. He testified that when a stressor arises, Ms. Dubitz deals with it then returns to her baseline. Along the same lines, Dr. Barnard testified that he expects a mild improvement in Ms. Dubitz's condition once the litigation is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Looking into the future, Dr. Barnard wrote in his report that Ms. Dubitz will be at slightly higher risk to develop degenerative changes in the affected areas, including the risk of developing degenerative brain disease. In cross-examination, Dr. Barnard deferred to Dr. Etheridge's opinion that Ms. Dubitz's soft tissue injuries would typically not lead to degenerative changes. He was unable to quantify any increased risk of brain disease.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Registered Clinical Counsellor - David Darwin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Darwin was qualified to give expert opinion evidence as a registered clinical counsellor with respect to the diagnosis and treatment of symptoms of PTSD, anxiety and depression. Relying on his extensive contact with Ms. Dubitz, he prepared a report dated November 26,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Mr. Darwin's opinion, Ms. Dubitz suffered severe symptoms of PTSD and anxiety, and moderate symptoms of depression as the result of the accident. At the time of his report, Mr. Darwin considered Ms. Dubitz's PTSD and GAD to be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Darwin saw Ms. Dubitz 31 times between his first session with her on July 6, 2016 and the date of his report and five or six further times leading up to the trial. He treated her with a combination of CBT, relaxation training, exposure therapy, assertiveness training, mindfulness practices, eye movement desensitization and reprocessing, and grief and loss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Darwin described Ms. Dubitz's complaints over time and indicated that they fluctuated. He testified that PTSD is not linear and that it can be triggered as new stressors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Darwin helped Ms. Dubitz cope with various stressors, including the death of her father, her relationship with her mother, her relationship with Mr. Ward, the death of her dog, her unplanned pregnancy, work, school, litigation and her finances when she was not working. Of these, Mr. Darwin testified that the death of her father, the death of her dog, Mr. Ward and the termination of her unplanned pregnancy were not recurring topics. With the exception of Ms. Dubitz's relationship with her mother, Mr. Darwin tied the remaining issues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Darwin spent a lot of time helping Ms. Dubitz to deal with her pre-occupation with work, set boundaries with her mother, cope with stressors and place a higher priority on her self-care. He tried to help her accept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Darwin highlighted that Ms. Dubitz scored "extreme" on something called the Burns PTSD scale and scored "moderate depression" and "extreme anxiety" on something called the Burns brief mood survey in November 2016, which was just prior to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Darwin acknowledged that Ms. Dubitz made significant gains in 2017 when she was not working. He testified that she was feeling good about herself as she began to volunteer and then re-enter the workforce. He also acknowledged seeing Ms. Dubitz on only four occasions between February 28 and October 31, 2018. Mr. Darwin chalked this up partly to Ms. Dubitz having less time due to her work, and partly due to Ms. Dubitz coping better and needing less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Dubitz then required more sessions to get ready for trial and deal with her struggles at H&amp;R Block. On January 24, 2019, Mr. Darwin considered Ms. Dubitz's PTSD to be flaring up to the severe range. On February 28, 2019, Ms. Dubitz reported feeling at her breaking point. Mr. Darwin felt that she was feeling overwhelmed as stressors were mounting up. In cross-examination, Mr. Darwin did not agree that he expects significant improvement once the trial is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Overall, I took Mr. Darwin to be of the view that Ms. Dubitz's primary concern was the impact the accident had on her ability to work. While steps in the litigation such as attending for assessments, attending for examination for discovery and preparing for and attending trial were clearly anxiety-provoking, I took Mr. Darwin to be of the view that other events such as her father's death, her relationship with her mother, her relationship with Mr. Ward and her unplanned pregnancy were not major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While Ms. Dubitz has made good progress, due to the nature of PTSD, Mr. Darwin expects future stressors will trigger Ms. Dubitz causing her PTSD symptoms to flare, increasing her pain and lowering her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Mr. Darwin's opinion, Ms. Dubitz will require ongoing counselling. In his report, Mr. Darwin estimated that Ms. Dubitz would "easily" need ten sessions prior to and following the trial as well as two to five sessions every few years on an as-needed basis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Occupational Therapist - Sabrina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White was qualified to give expert opinion evidence as an OT with respect to performing functional capacity evaluations ("FCEs") and assessing future care costs. She reviewed relevant medical, treatment and counselling records and expert reports. She interviewed and tested Ms. Dubitz on October 1 and 2, 2018. She prepared a report dated November 20,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Ms. White's opinion, Ms. Dubitz put in a high effort during her FCE. Ms. White found Ms. Dubitz's reports of pain and/or disability to be mostly reliable, however, at times, Ms. Dubitz over-estimated her capacity. Based on her FCE, Ms. Dubitz demonstrated limitations for sitting, standing, moderate inclined walking, low-level work, forward reaching, above shoulder work, and sustained neck flexion/extension, and is not competitively employable as an accountant. In Ms. White's view, Ms. Dubitz will require assistance with handyman and yard work that require heavy lifting or strenuous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By "not competitively employable", Ms. White explained that means, without special accommodations, Ms. Dubitz will not be able to obtain and maintain employment as an accountant like an able-bodied person. In Ms. White's view, with accommodations such as frequent breaks, Ms. Dubitz could manage approximately 20-25 hours per week in the accounting field. In cross-examination, Ms. White acknowledged that some accounting jobs may not require Ms. Dubitz to sit statically beyond her capacity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Regarding Ms. Dubitz's need for assistance with handyman and yard work, Ms. White confirmed that Ms. Dubitz's self-reported limitations were consistent with the findings of her FCE. In cross-examination, Ms. White acknowledged that she did not know whether Ms. Dubitz has or has not had assistance nor whether any assistance she has had was paid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will deal with Ms. White's testimony regarding Ms. Dubitz's cost of future care later in my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Clinical Exercise Physiologist/Kinesiologist - Natalie Saari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Saari was qualified to give expert opinion evidence as a kinesiologist and clinical exercise physiologist with respect to the treatment of chronic pain and the assessment of physical functionality. Based on Ms. Dubitz's participation in the ARP offered by Ms. Saari, Ms. Saari prepared a report dated June 29,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Saari worked closely with Ms. Dubitz between July 2017 and June 2018. In her report, Ms. Saari summarized Ms. Dubitz's primary complaints at discharge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2.0 - PRIMARY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Primary complaints to date have been summarized below. The Level of Pain (LOP) is in relation to the Comparative Pain Scale.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Headaches:</w:t>
      </w:r>
      <w:r>
        <w:rPr>
          <w:rFonts w:ascii="arial" w:eastAsia="arial" w:hAnsi="arial" w:cs="arial"/>
          <w:color w:val="000000"/>
          <w:sz w:val="20"/>
          <w:lang w:val="en-US" w:eastAsia="en-US" w:bidi="ar-SA"/>
        </w:rPr>
        <w:t xml:space="preserve"> Headache and tension presenting anterior and posterior (frontal and sub-occipital regions). Frequency of headaches is still recurrent but has become more manageable.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Cervical:</w:t>
      </w:r>
      <w:r>
        <w:rPr>
          <w:rFonts w:ascii="arial" w:eastAsia="arial" w:hAnsi="arial" w:cs="arial"/>
          <w:color w:val="000000"/>
          <w:sz w:val="20"/>
          <w:lang w:val="en-US" w:eastAsia="en-US" w:bidi="ar-SA"/>
        </w:rPr>
        <w:t xml:space="preserve"> Neck pain presenting posterior in the sub-occipital region (upper-trapezius, levator scalpulae) and occasionally anterior (sternocleidomastoid and scalenes), equal right to left side. The frequency of pain used to be relatively constant but has significantly reduced. The level of pain has also reduced from severe to mild, sometimes nil (LOP = 0 to 2).</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Thoracic:</w:t>
      </w:r>
      <w:r>
        <w:rPr>
          <w:rFonts w:ascii="arial" w:eastAsia="arial" w:hAnsi="arial" w:cs="arial"/>
          <w:color w:val="000000"/>
          <w:sz w:val="20"/>
          <w:lang w:val="en-US" w:eastAsia="en-US" w:bidi="ar-SA"/>
        </w:rPr>
        <w:t xml:space="preserve"> Mid-back pain and interscapular pain (mid-trapezius and rhomboids) equal right to left side. The pain used to be constant but is now significantly less frequent. The level of pain was described to be severe with occasional sharp, shooting pain, but is now light, sometimes none (LOP = 0 to 2), generally mild.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Lumbar:</w:t>
      </w:r>
      <w:r>
        <w:rPr>
          <w:rFonts w:ascii="arial" w:eastAsia="arial" w:hAnsi="arial" w:cs="arial"/>
          <w:color w:val="000000"/>
          <w:sz w:val="20"/>
          <w:lang w:val="en-US" w:eastAsia="en-US" w:bidi="ar-SA"/>
        </w:rPr>
        <w:t xml:space="preserve"> Not problematic.</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Pelvis:</w:t>
      </w:r>
      <w:r>
        <w:rPr>
          <w:rFonts w:ascii="arial" w:eastAsia="arial" w:hAnsi="arial" w:cs="arial"/>
          <w:color w:val="000000"/>
          <w:sz w:val="20"/>
          <w:lang w:val="en-US" w:eastAsia="en-US" w:bidi="ar-SA"/>
        </w:rPr>
        <w:t xml:space="preserve"> Bilateral hip pain from the iliac crest down the lateral side of the glutes and iliotibial band, described as a burning sensation. The frequency of pain has reduced significantly, now seldom. The level of pain was described to be severe with occasional sharp, shooting pain, but is now light, sometimes none (LOP = 0 to 2), generally mild.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Upper extremity:</w:t>
      </w:r>
      <w:r>
        <w:rPr>
          <w:rFonts w:ascii="arial" w:eastAsia="arial" w:hAnsi="arial" w:cs="arial"/>
          <w:color w:val="000000"/>
          <w:sz w:val="20"/>
          <w:lang w:val="en-US" w:eastAsia="en-US" w:bidi="ar-SA"/>
        </w:rPr>
        <w:t xml:space="preserve"> Bilateral arm discomfort, numbness and tingling in lower forearms, hands and fingers (1st and 3rd digits) which used to present with exertion, stress and anxiety. Frequency of symptoms is now seldom. The level of pain has reduced to very light to none (LOP = 0-3).</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Lower Extremity:</w:t>
      </w:r>
      <w:r>
        <w:rPr>
          <w:rFonts w:ascii="arial" w:eastAsia="arial" w:hAnsi="arial" w:cs="arial"/>
          <w:color w:val="000000"/>
          <w:sz w:val="20"/>
          <w:lang w:val="en-US" w:eastAsia="en-US" w:bidi="ar-SA"/>
        </w:rPr>
        <w:t xml:space="preserve"> Bilateral leg discomfort, numbness and tingling in the ankles, feet and toes (4th and 5th digits) which presented with exertion, stress and anxiety. Frequency of symptoms is now seldom. The level of pain is generally tolerable (LOP = 0-3).</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Mental Health:</w:t>
      </w:r>
      <w:r>
        <w:rPr>
          <w:rFonts w:ascii="arial" w:eastAsia="arial" w:hAnsi="arial" w:cs="arial"/>
          <w:color w:val="000000"/>
          <w:sz w:val="20"/>
          <w:lang w:val="en-US" w:eastAsia="en-US" w:bidi="ar-SA"/>
        </w:rPr>
        <w:t xml:space="preserve"> Anxiety continues to be a struggle, but [has] significantly improved, thanks to exercise therapy, yoga therapy and counselling she has gained various tools for self-management.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Though Ms. Dubitz made significant improvements in many areas, she continued to have struggles. Based on her assessment, Ms. Saari offered the following regarding Ms. Dubitz's functionality at discharge: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 FUNCTIONALITY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is an overview of challenges with functional movement patterns, activities of daily living and additional concerns that were identified upon assessment. The following points summarize the findings: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Self-Care:</w:t>
      </w:r>
      <w:r>
        <w:rPr>
          <w:rFonts w:ascii="arial" w:eastAsia="arial" w:hAnsi="arial" w:cs="arial"/>
          <w:color w:val="000000"/>
          <w:sz w:val="20"/>
          <w:lang w:val="en-US" w:eastAsia="en-US" w:bidi="ar-SA"/>
        </w:rPr>
        <w:t xml:space="preserve"> Able to look after herself with respect to self-care, but pain is present. This has improved but is still problematic, requiring her to be cautious.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No significant change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Activities of Daily Living (ADL's):</w:t>
      </w:r>
      <w:r>
        <w:rPr>
          <w:rFonts w:ascii="arial" w:eastAsia="arial" w:hAnsi="arial" w:cs="arial"/>
          <w:color w:val="000000"/>
          <w:sz w:val="20"/>
          <w:lang w:val="en-US" w:eastAsia="en-US" w:bidi="ar-SA"/>
        </w:rPr>
        <w:t xml:space="preserve"> Ongoing difficulty with household tasks, especially those that involve lifting, bending or crouching down.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No significant change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Lifting:</w:t>
      </w:r>
      <w:r>
        <w:rPr>
          <w:rFonts w:ascii="arial" w:eastAsia="arial" w:hAnsi="arial" w:cs="arial"/>
          <w:color w:val="000000"/>
          <w:sz w:val="20"/>
          <w:lang w:val="en-US" w:eastAsia="en-US" w:bidi="ar-SA"/>
        </w:rPr>
        <w:t xml:space="preserve"> Now able to lift heavy objects off the floor if conveniently positioned. </w:t>
      </w: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Sitting:</w:t>
      </w:r>
      <w:r>
        <w:rPr>
          <w:rFonts w:ascii="arial" w:eastAsia="arial" w:hAnsi="arial" w:cs="arial"/>
          <w:color w:val="000000"/>
          <w:sz w:val="20"/>
          <w:lang w:val="en-US" w:eastAsia="en-US" w:bidi="ar-SA"/>
        </w:rPr>
        <w:t xml:space="preserve"> Now able to sit for </w:t>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minutes or longer (increase from </w:t>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minutes). </w:t>
      </w: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Standing:</w:t>
      </w:r>
      <w:r>
        <w:rPr>
          <w:rFonts w:ascii="arial" w:eastAsia="arial" w:hAnsi="arial" w:cs="arial"/>
          <w:color w:val="000000"/>
          <w:sz w:val="20"/>
          <w:lang w:val="en-US" w:eastAsia="en-US" w:bidi="ar-SA"/>
        </w:rPr>
        <w:t xml:space="preserve"> Limited to 30 minutes in a standing position.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No significant change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Walking:</w:t>
      </w:r>
      <w:r>
        <w:rPr>
          <w:rFonts w:ascii="arial" w:eastAsia="arial" w:hAnsi="arial" w:cs="arial"/>
          <w:color w:val="000000"/>
          <w:sz w:val="20"/>
          <w:lang w:val="en-US" w:eastAsia="en-US" w:bidi="ar-SA"/>
        </w:rPr>
        <w:t xml:space="preserve"> Limited to 1 mile of walking which causes increased pain.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No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Concentration:</w:t>
      </w:r>
      <w:r>
        <w:rPr>
          <w:rFonts w:ascii="arial" w:eastAsia="arial" w:hAnsi="arial" w:cs="arial"/>
          <w:color w:val="000000"/>
          <w:sz w:val="20"/>
          <w:lang w:val="en-US" w:eastAsia="en-US" w:bidi="ar-SA"/>
        </w:rPr>
        <w:t xml:space="preserve"> She continues to have a great deal of difficulty concentrating. </w:t>
      </w: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No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Reading:</w:t>
      </w:r>
      <w:r>
        <w:rPr>
          <w:rFonts w:ascii="arial" w:eastAsia="arial" w:hAnsi="arial" w:cs="arial"/>
          <w:color w:val="000000"/>
          <w:sz w:val="20"/>
          <w:lang w:val="en-US" w:eastAsia="en-US" w:bidi="ar-SA"/>
        </w:rPr>
        <w:t xml:space="preserve"> Although her neck pain has reduced, she still cannot read for long periods due to pain.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No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Sleep:</w:t>
      </w:r>
      <w:r>
        <w:rPr>
          <w:rFonts w:ascii="arial" w:eastAsia="arial" w:hAnsi="arial" w:cs="arial"/>
          <w:color w:val="000000"/>
          <w:sz w:val="20"/>
          <w:lang w:val="en-US" w:eastAsia="en-US" w:bidi="ar-SA"/>
        </w:rPr>
        <w:t xml:space="preserve"> Sleep has improved significantly, disrupted for less than 1 hour on average.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Social Life:</w:t>
      </w:r>
      <w:r>
        <w:rPr>
          <w:rFonts w:ascii="arial" w:eastAsia="arial" w:hAnsi="arial" w:cs="arial"/>
          <w:color w:val="000000"/>
          <w:sz w:val="20"/>
          <w:lang w:val="en-US" w:eastAsia="en-US" w:bidi="ar-SA"/>
        </w:rPr>
        <w:t xml:space="preserve"> She is no longer restricted to her home and pain has no effect on her social life other than energetic activities such as dancing which she has not done.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Driving / Travel:</w:t>
      </w:r>
      <w:r>
        <w:rPr>
          <w:rFonts w:ascii="arial" w:eastAsia="arial" w:hAnsi="arial" w:cs="arial"/>
          <w:color w:val="000000"/>
          <w:sz w:val="20"/>
          <w:lang w:val="en-US" w:eastAsia="en-US" w:bidi="ar-SA"/>
        </w:rPr>
        <w:t xml:space="preserve"> Pain is still present when driving / traveling and often increases.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No significant improvement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Fatigue:</w:t>
      </w:r>
      <w:r>
        <w:rPr>
          <w:rFonts w:ascii="arial" w:eastAsia="arial" w:hAnsi="arial" w:cs="arial"/>
          <w:color w:val="000000"/>
          <w:sz w:val="20"/>
          <w:lang w:val="en-US" w:eastAsia="en-US" w:bidi="ar-SA"/>
        </w:rPr>
        <w:t xml:space="preserve"> Reported ongoing issues with fatigue, low energy and low stamina with usual activities but her stamina has improved over the course of the program.</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Status:</w:t>
      </w:r>
      <w:r>
        <w:rPr>
          <w:rFonts w:ascii="arial" w:eastAsia="arial" w:hAnsi="arial" w:cs="arial"/>
          <w:color w:val="000000"/>
          <w:sz w:val="20"/>
          <w:lang w:val="en-US" w:eastAsia="en-US" w:bidi="ar-SA"/>
        </w:rPr>
        <w:t xml:space="preserve"> Significant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To assess areas that remained problematic, Ms. Saari administered a number of objective measure questionnaires and then quantified the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"Roland Morris Questionnaire" is specific to back pain. Ms. Dubitz's results on the Roland Morris Questionnaire at the conclusion of her ARP indicated a relatively low level of functional limitation, which represented a small reduction as compared to her results on intake.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"Oswestry Disability Index" is also specific to back pain. Ms. Dubitz improved from a classification of "crippled disability" on admission into her ARP to "moderate disability" on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the "Neck Disability Index", Ms. Dubitz's results likewise improved from "crippled disability" on intake into her ARP to "moderate disability" on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the "Pain Disability Index", Ms. Dubitz's results showed significant improvement. On discharge from her ARP, Ms. Dubitz's results indicated a low score on this 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On cross-examination, Ms. Saari acknowledged that her assessment may have changed with more information about Ms. Dubitz's ability to handle various activities associated with her landscaping work with the Village and the upkeep of her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any event, in her report, Ms. Saari summed up the results of her work with Ms. Dubitz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Ms. Dubitz rehabilitation has been a long process and she has worked hard to reach this stage of recovery. Her physical fitness and functional capacity have improved significantly. A reduction of scores was shown on all outcome measure questionnaires which now outlines a significantly lower level disability. Ms. Dubitz has demonstrated improvements in exercise technique and postural alignment. She has attained the tools necessary to carry out the exercise program on her own and is motivated to do so. Although pain and symptoms are still present, her symptoms are now much more manageable. Anxiety is an ongoing struggle and therefore, Ms. Dubitz will require further mental health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Saari did not recommend any further kinesiology treatments. Rather, she expected Ms. Dubitz to continue to improve if she followed an exercise plan provided to her by Ms. Saari. Ms. Saari suggested that Ms. Dubitz continue to receive clinical counselling to deal with her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Vocational Rehabilitation Consultant - 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Nordin was qualified to give expert opinion evidence as a vocational rehabilitation consultant. He reviewed relevant medical, counselling and treatment records, expert reports, tax returns and educational transcripts. He interviewed and tested Ms. Dubitz on October 16, 2018. He prepared a report dated December 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Mr. Nordin's opinion, the accident has negatively impacted Ms. Dubitz's competitive employability. Specifically, Mr. Nordin questions whether Ms. Dubitz will be able to again achieve full-time employment in an administrative capacity. If Ms. Dubitz works in an administrative environment in the future, the available information suggests to Mr. Nordin that she may be limited to part-time employment. She could also pursue entry level options such as her past work with the Village but Mr. Nordin notes that such positions mostly pay less than administrative positions. In Mr. Nordin's vocational opinion, "Ms. Dubitz's competitive employability may remain compromised on a long-term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Nordin explained in his testimony that "competitive employability" means that a person can do her job like others without special accommodations such as special equipment, frequent breaks or more time to complete tasks. Mr. Nordin noted that Ms. Dubitz's competitive employability has been negatively affected by her physical limitations, cognitive difficulties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Absent the accident, in Mr. Nordin's opinion, Ms. Dubitz could have completed a post-secondary program such as an accounting technician, bookkeeper or office administration certificate or diploma program. He questioned whether she could have become a chartered professional accountant ("CPA"). In re-direct, he testified that she had the potential to do so but that it was more of a possibility than a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Based on the results of aptitude tests administered by Mr. Nordin, Ms. Dubitz still has the aptitude to be able to complete some post-secondary study. However, in light of her challenges, she may struggle with full-time studies. In Mr. Nordin's opinion, she should focus on a one-year foundations program, limiting herself to one or two courses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Quite a bit of trial time was focused on the results of Ms. Dubitz's aptitude tests. She scored in the 80th percentile for verbal aptitude suggesting an ability to complete a post-secondary degree program. On the other hand, she scored in the third percentile for numerical aptitude suggesting that she has significant struggles with 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Nordin noted that Ms. Dubitz skipped many of the numerical questions, including all of the questions involving long division. Mr. Nordin acknowledged that this could reflect Ms. Dubitz never learning or having forgotten how to do long division or not having enough time to complete the test. Mr. Nordin also acknowledged that if Ms. Dubitz had a calculator, she would probably have answered all the questions correctly. As will be seen, I ultimately do not think the results of Ms. Dubitz's numerical aptitude testing have much impact on the outcome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cross-examination, Mr. Nordin was asked if various pieces of information would have impacted his assessments. For the most part, he agreed they </w:t>
      </w:r>
      <w:r>
        <w:rPr>
          <w:rFonts w:ascii="arial" w:eastAsia="arial" w:hAnsi="arial" w:cs="arial"/>
          <w:i/>
          <w:color w:val="000000"/>
          <w:sz w:val="20"/>
          <w:lang w:val="en-US" w:eastAsia="en-US" w:bidi="ar-SA"/>
        </w:rPr>
        <w:t>might</w:t>
      </w:r>
      <w:r>
        <w:rPr>
          <w:rFonts w:ascii="arial" w:eastAsia="arial" w:hAnsi="arial" w:cs="arial"/>
          <w:color w:val="000000"/>
          <w:sz w:val="20"/>
          <w:lang w:val="en-US" w:eastAsia="en-US" w:bidi="ar-SA"/>
        </w:rPr>
        <w:t>. Nevertheless, Mr. Nordin did not think Ms. Dubitz's successful completion of the ten-week H&amp;R Block course on weekends was very telling regarding Ms. Dubitz's competitive employability. He also did not think that Ms. Saari's report that Ms. Dubitz could sit for up to an hour by the summer of 2018 would affect his opinion, as that was not indicative of an ability to do so day in and day out on a full-time basis. Finally, Mr. Nordin would not have been surprised that Ms. Dubitz found the various assessments she attended in the fall of 2018 to be anxiety-provoking but again did not think that would necessarily affect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Nordin confirmed that he was not provided with Dr. Pusztai's consultation reports. He testified that Dr. Pusztai's findings in August 2018 that Ms. Dubitz's anxiety was very mild, and that she had no depression and no symptoms of PTSD would have given a "different flavour" to his assessment. He acknowledged that Dr. Pusztai's findings conflicted directly with the self-report provided to him by Ms. Dubitz. Nevertheless, Mr. Nordin noted that he was not saying that Ms. Dubitz is unable to work because of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Finally, Mr. Nordin confirmed that he based his opinion on Ms. Dubitz having no active issues concerning her competitive employability prior to the accident. He specifically relied on Dr. Barnard's report and the fact that Ms. Dubitz had been working full-time for three plus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Labour Economist - Robert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Carson provided a cost of future care report dated November 28, 2018, and an income loss report dated December 7, 2018. 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Both of Mr. Carson's reports provide present values and multipliers that will be of assistance to me in assessing Ms. Dubitz's cost of future care and loss of future earning capacity claims. I will return to his reports later in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With the exception of Ms. Dubitz, Ms. Dalgarno-Dubitz and Dr. Barnard, Mr. Knoebel did not take issue with the credibility of the witnesses who testified at the trial. This was sensible in that each of these witnesses was sincere, bright, articulate and responsive. None was prone to exaggerate. All were candid, forthcoming and provided an appropriate level of detail. They acknowledged when they were uncertain. They gave testimony that was logical, coherent and externally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will deal with Mr. Knoebel's concerns regarding Ms. Dubitz, Ms. Dalgarno-Dubitz and Dr. Barnard in more detail.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 of Ms. Dubitz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Knoebel submits that Ms. Dubitz's testimony was exaggerated, unbelievable, inconsistent and, in some cases, outright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had a very different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No witness has perfect recall or expresses herself perfectly. Ms. Dubitz is no exception but, overall, I found her to be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Dubitz was an attentive, respectful and polite witness. She often checked in with counsel to see whether she had answered the question counsel had asked. She regularly apologized when she could not answer a question or did not remember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Dubitz clearly tried her best. I could often see her in physical discomfort in the witness box but she mostly pushed through. In cross-examination, she was not feeling well but declined to take a break saying, "I'm fine. I'm just sick." I also witnessed Ms. Dubitz lose her concentration and focus. When she realized she may have drifted off course, she put maximum effort into returning her attention to the question that had been asked and the answer she had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To her credit, Ms. Dubitz gave testimony that was potentially harmful to her case. For example, she described coming to a "screeching halt" prior to being rear-ended by Mr. Knoebel, which is supportive of Mr. Knoebel's argument that the accident involved emergency breaking. She also testified that she was unsure if she will hire help for her yard work in the future. Along the same lines, she also testified that there was no change in her need to have help with high pruning after the accident as compared to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Ms. Dubitz avoided speculating or giving answers when she truly did not remember something. For example, she testified that she was unsure if the numbness she experiences is related to the accident. She was also careful to testify that she </w:t>
      </w:r>
      <w:r>
        <w:rPr>
          <w:rFonts w:ascii="arial" w:eastAsia="arial" w:hAnsi="arial" w:cs="arial"/>
          <w:i/>
          <w:color w:val="000000"/>
          <w:sz w:val="20"/>
          <w:lang w:val="en-US" w:eastAsia="en-US" w:bidi="ar-SA"/>
        </w:rPr>
        <w:t>presumes</w:t>
      </w:r>
      <w:r>
        <w:rPr>
          <w:rFonts w:ascii="arial" w:eastAsia="arial" w:hAnsi="arial" w:cs="arial"/>
          <w:color w:val="000000"/>
          <w:sz w:val="20"/>
          <w:lang w:val="en-US" w:eastAsia="en-US" w:bidi="ar-SA"/>
        </w:rPr>
        <w:t xml:space="preserve"> her face hit the steering wheel because she could not remember that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Unlike Mr. Knoebel, I did not find Ms. Dubitz to present two different versions of herself, one debilitated by anxiety and the other "stoic, if not sanguine". In fact, for the most part, Ms. Dubitz's testimony was internally and externally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By nature, Ms. Dubitz is an energetic, friendly, funny, optimistic and positive person. She so badly wanted to be well and return to work that she frequently overestimated her capabilities. Dr. Barnard, for one, regularly had to give Ms. Dubitz reality checks and negotiate with her to slow down on her desire to return to her pre-accident level of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Given the fluctuating nature of her injuries, activities and stressors, I was not surprised that, at times, she made significant progress and reported that she was doing well while, at other times, she simply could not cope. For example, I was not surprised that she made significant progress when she was off work at the end of 2016 through her gradual return to volunteering and non-cognitively demanding work in 2018, yet began falling apart when faced with greater cognitive demands starting in September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Importantly, Ms. Dubitz's testimony was well supported by the expert and lay witness evidence. While all of the experts recognized that Ms. Dubitz has made progress and, at times, has been reasonably well, not one was of the view that she was at any time back to her pre-accident state. The lay witnesses, all of whom knew Ms. Dubitz so well prior to the accident, painted a very clear picture of the huge changes in Ms. Dubitz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disagree that Ms. Dubitz downplayed the significance of other stressors in her life. To the contrary, she acknowledged that all of them caused her stress. Consistent with the views of the experts, these were all the sorts of things that can provoke anxiety in anyone but typically do not result in lasting and debilitating anxiety. I was, therefore, not surprised that Ms. Dubitz felt that the additional stressors in her life did not have lasting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disagree that Ms. Dubitz downplayed pre-accident panic attacks. In her examination for discovery, Ms. Dubitz was asked about a November 5, 2015 note in a consultation report of Dr. Raghavan that she had "symptoms suggestive of panic attacks in the past". Ms. Dubitz acknowledged that everyone has probably had a panic attack at one time or the other but, given the passage of time, she could not remember the specifics of what she referred to as "slight" pre-accident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Dr. Raghavan did not testify and I, therefore, have no idea what Ms. Dubitz said to leave him with the impression that she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have had panic attacks in the past. From the wording of the clinical entry, it is apparent that Ms. Dubitz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report having had panic attacks, just symptoms that </w:t>
      </w:r>
      <w:r>
        <w:rPr>
          <w:rFonts w:ascii="arial" w:eastAsia="arial" w:hAnsi="arial" w:cs="arial"/>
          <w:i/>
          <w:color w:val="000000"/>
          <w:sz w:val="20"/>
          <w:lang w:val="en-US" w:eastAsia="en-US" w:bidi="ar-SA"/>
        </w:rPr>
        <w:t>Dr. Raghavan</w:t>
      </w:r>
      <w:r>
        <w:rPr>
          <w:rFonts w:ascii="arial" w:eastAsia="arial" w:hAnsi="arial" w:cs="arial"/>
          <w:color w:val="000000"/>
          <w:sz w:val="20"/>
          <w:lang w:val="en-US" w:eastAsia="en-US" w:bidi="ar-SA"/>
        </w:rPr>
        <w:t xml:space="preserve"> considered to be suggestive of them. Given that Ms. Dubitz apparently did not report a history of pre-accident panic attacks to Dr. Raghavan (or to any other person that was brought to my attention), I fail to see how it can be said that she downplayed pre-accident panic attacks in her testimony. There is no evidence that she ever had any full-fledged panic attacks or, if she did, that she appreciated that she was having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disagree that Ms. Dubitz was prone to exaggerate. In fact, Ms. Dubitz typically passed up opportunities to embellish her case. For example, when describing the injury to her face, she testified that her face was sore "but it was just bruises". She also acknowledged that a number of her injuries had resolved. In cross-examination, she acknowledged that her inability to remember the names of residents at Parkside may have been due, at least in part, to her having insufficient time to learn their names. As a final example, she reported to others and testified that she was managing the physical demands of her work with the Village in the summer of 2018 quite well. She testified that she was sore at the end of the week but added that was "pretty normal for a job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disagree that Ms. Dubitz was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Dubitz testified that she did not see Mr. Darwin for a five-month stretch in 2018 because she did not have much time. Mr. Knoebel submits that the real reason is that she was doing well and did not feel the need for treatment. Mr. Knoebel's submission ignores further explanations given by Ms. Dubitz for the gap in her appointments, including the cost of the appointments, her desire to push herself by relying on her learned coping strategies and the amount of time it takes to get an appointment with Mr. Darwin. The truth is probably a combination of many factors, including that Ms. Dubitz was doing relatively better - but that does not mean that Ms. Dubitz was being dishonest in sharing her memory and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Dubitz testified in direct that she had been separated from Mr. Ward for six moths prior to the accident and was enjoying life. In cross-examination, it came out that she had been out for dinner with Mr. Ward the night before the accident and slept over on his couch. Mr. Knoebel submits that Ms. Dubitz was being dishonest in her portrayal of her relationship with Mr. Ward. I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When asked, Ms. Dubitz was completely open about having spent the night before the accident on Mr. Ward's couch. She did not try to hide that fact. Further, it was entirely believable to me that Mr. Ward stepped up after the accident, which led to the couple reuniting. In any event, matters of the heart are unpredictable and nothing much turns on whether Ms. Dubitz was or was not likely to reunite with Mr. Ward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Knoebel submits that Ms. Dubitz was dishonest in reporting that she was "dazed and confused" following the accident. Mr. Knoebel notes that she behaved rationally in pulling over, taking photographs, taking information and calling Mr. Ward. Ms. Dubitz's testimony left me with an entirely different view. My impression is that Ms. Dubitz was not clear-headed and simply went into auto-pilot. Ms. Walker's observations of Ms. Dubitz at work following the accident amply support Ms. Dubitz's testimony about how she felt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Knoebel submits that Ms. Dubitz was dishonest when she excused herself during the trial for failing to remember things. He submits that her evidence throughout was actually "rational, thoughtful, responsive and recollections were intact." Essentially, Mr. Knoebel submits that Ms. Dubitz was "faking it" (my words, not Mr. Knoebel's). Having observed Ms. Dubitz carefully throughout the trial, I cannot disagree more. As mentioned, Ms. Dubitz was physically uncomfortable throughout her testimony. She frequently changed her position, from sitting to standing to leaning forward. She also started off strong but faded throughout the day. As each day went on, she lost her train of thought more and more frequently. I outright reject the suggestion that Ms. Dubitz excused herself and/or feigned memory difficulties to escape answering difficult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Knoebel submits that Ms. Dubitz was dishonest in not telling Ms. Saari in June 2018 that she was working full-time as a landscaper for the Village and in not telling Mr. Nordin in October 2018 about her H&amp;R Block course. Mr. Knoebel did not cross-examine Ms. Dubitz on either of these points. As a result, in fairness, I am unable to place any weight on Mr. Knoebel's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Finally, Mr. Knoebel submits that Ms. Dubitz was dishonest during her examination for discovery that she could not remember the injuries her parents experienced in the summer of 2014. Mr. Knoebel submits Ms. Dubitz feigned not remembering at her discovery because she knew the answer would hurt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agree that, ordinarily, a person like Ms. Dubitz would be expected to remember an important event like the injuries her parents suffered. Nevertheless, there was a lot going on in Ms. Dubitz's life at the time of her parents' injuries, examinations for discovery are stressful and ordinary people do forget important events. On these latter two points, I am sure that every experienced lawyer has had an honest witness draw a complete blank when answering a central and seemingly easy question. I accept that was the case for Ms. Dubitz regarding the injuries her parents suffered in the summer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While Ms. Dubitz may have confused some dates, forgotten or misunderstood some events, and over-estimated her level of function, I associate this with what Mr. Knoebel described as the "human factor". On the whole, I accept Ms. Dubitz's testimony. More specifically, I generally accept her testimony regarding how she was functioning before and after the accident, the unfolding of events in her life, and how she dealt with her injuries and other stressors.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 of Ms. Dalgarno-Dubitz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Knoebel submits that Ms. Dalgarno-Dubitz was a "totally unreliable" witness. Mr. Knoebel highlights her testimony that her daughter was "like an old woman" in the summer of 2018, that Mr. Ward was a drinker but otherwise "fine", and that the Chase property was never intended to be transferred to Ms. Dubitz until after Ms. Dalgarno-Dubitz passes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Unlike Mr. Knoebel, I found Ms. Dalgarno-Dubitz to be, for the most part, a credible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Like her daughter, I found Ms. Dalgarno-Dubitz to be an attentive, respectful and polite witness. She apologized when she could not remember something and gave a "big thank you" to everyone at the end of her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Dalgarno-Dubitz testified with an appropriate level of detail. Her testimony was coherent, internally consistent and mostly externally consistent. She was honest about events that may have been harmful to her daughter's case, including her shyness as a child and her prior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As noted by Mr. Knoebel, there was a contrast between Ms. Dalgarno-Dubitz's perception of how her daughter was doing in the summer of 2018 and how Ms. Dubitz perceived herself at that time. To a certain extent, I consider the contrast to be a natural difference of perception between a mother and daughter. More importantly, given Ms. Dubitz's tendency to see things in a positive light, her mother's observations of how things were really going in the summer of 2018 deserve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Ms. Dalgarno-Dubitz regularly saw Ms. Dubitz after work and I believe Ms. Dalgarno-Dubitz when she says that Ms. Dubitz was struggling. After all, even though Ms. Dubitz reported to others and testified that she was doing well that summer, Ms. Saari assessed her as having a number of physical limitations. Further, Ms. Ullian also testified that Ms. Dubitz appeared sore and tired after her shifts. The truth about the summer of 2018 is probably not as rosy as Ms. Dubitz recalls nor as dire as Ms. Dalgarno-Dubitz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Regarding Mr. Ward, Ms. Dalgarno-Dubitz only testified that he was "fine" prior to the accident. She was aware of his drinking problem, but thought he was a nice and respectful person. On the other hand, Ms. Dalgarno-Dubitz did not minimize the extent of Mr. Ward's post-accident problems and testified that she was glad when the relationship between Mr. Ward and her daughter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Regarding the Chase property, I consider Ms. Dalgarno-Dubitz's explanation of what happened to be entirely sensible and likely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Dalgarno-Dubitz explained that she inherited both Chase properties when her husband died and that the two properties will eventually be passed on to Ms. Dubitz when she passes away. She has no idea how her daughter came to think otherwise. Ms. Dalgarno-Dubitz's explanation certainly lines up with how most families deal with property. It seems likely to me that Ms. Dubitz simply misunderstood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Dalgarno-Dubitz also testified that she and her husband had taken out a line of credit to fix the Chase properties up and had always planned to rent out the parcel that Ms. Dubitz now lives on. That testimony seems sensible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Dubitz was a young woman living in Kamloops. If not for the accident, she very likely would have continued to do so. Ms. Dubitz's parents would have been in a position to rent Ms. Dubitz's parcel out. After a time, it makes perfect sense to me that a parent in Ms. Dalgarno-Dubitz's position would ask her daughter and her daughter's boyfriend to pay rent. That she did so does not undermine my confidence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While imperfect, I generally accept the testimony of Ms. Dalgarno-Dubitz.</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 of Dr. Barnard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cross-examination, Mr. Knoebel endeavoured to undermine the credibility and reliability of Dr. Barnard's testimony by suggesting that he was an advocate for Ms. Dubitz. In particular, Mr. Knoebel highlighted that Dr. Barnard edited certain personal information out of his clinical records and did not mention certain information about Ms. Dubitz's pre-accident health. Mr. Knoebel also challenged some of Dr. Barnard's opinions that were at odds with those of Ms. Dubitz's other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Again, I had a very different impression of Dr. Barnard's report and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Barnard is a rural family physician. He has to deal with a wide range of medical problems with limited support of specialists. He has close longitudinal contact with his patients. He takes a holistic approach to his practice and the wellness of his patients. For example, while Dr. Pusztai wanted Ms. Dubitz to be off work, he knew that PTSD was not Ms. Dubitz's only issue. He knew that the longer a person is off work the more likely they are to be off work forever. He also knew that working was very important to Ms. Dubitz's sense of self and that being off work would have a negative impact on her. Dr. Barnard was repeatedly in the difficult position of having to negotiate a workable compromise with a reluctant patient and deserves significant credit for his management of Ms. Dubitz's health. He obviously cared and thought a lot about what would be best for Ms. Dubitz as a human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Barnard is not a professional witness steeped in knowledge about the legal process. In editing Ms. Dubitz's clinical records, I accept that he was only trying to preserve her privacy. In cross-examination, he acknowledged that perhaps he should have included certain records that contained highly personal information relevant to causation. In the circumstances, I do not accept that Dr. Barnard was trying to advocate for a better legal outcome for Ms. Dubitz.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Barnard did not mention Ms. Dubitz's answers to the "Quit Smoking" questionnaire nor her pre-accident prescription for propranolol in his report. I consider his explanations for those choices to be sensible. He did not consider Ms. Dubitz's apparent self-diagnosis of "chronic pain" to be reliable nor her use of propranolol to be particularly significant. As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knew Ms. Dubitz as a patient before the MVA. She did not have a psychiatric diagnosis. All of her psychiatric symptoms started after her MVA. Ms. Dubitz did not have neck or back pain prompting medical care with me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Dr. Barnard's diagnosis of PTSD is at odds with Dr. O'Breasail's opinion that Ms. Dubitz has GAD and </w:t>
      </w:r>
      <w:r>
        <w:rPr>
          <w:rFonts w:ascii="arial" w:eastAsia="arial" w:hAnsi="arial" w:cs="arial"/>
          <w:i/>
          <w:color w:val="000000"/>
          <w:sz w:val="20"/>
          <w:lang w:val="en-US" w:eastAsia="en-US" w:bidi="ar-SA"/>
        </w:rPr>
        <w:t>symptoms</w:t>
      </w:r>
      <w:r>
        <w:rPr>
          <w:rFonts w:ascii="arial" w:eastAsia="arial" w:hAnsi="arial" w:cs="arial"/>
          <w:color w:val="000000"/>
          <w:sz w:val="20"/>
          <w:lang w:val="en-US" w:eastAsia="en-US" w:bidi="ar-SA"/>
        </w:rPr>
        <w:t xml:space="preserve"> of post-traumatic stress. Dr. Barnard's diagnosis was based on his longitudinal contact with Ms. Dubitz and the diagnosis made by Dr. Pusztai in her consultation reports. His diagnosis was entirely defensible. An honest difference of medical opinion does not make Dr. Barnard an advocate for Ms. Dubitz nor the balance of his evidence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Barnard appropriately deferred to Dr. Etheridge regarding the risk of degenerative changes arising from Ms. Dubitz's soft tissue injuries and was honest about the limits of his opinion evidence regarding the risk of degenerative changes to Ms. Dubitz's brain. These opinions made up a very small part of Dr. Barnard's opinion. They do not demonstrate any attempt to advocate on behalf of Ms. Dubitz and do not undermine his otherwise thoughtful and balanced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While also imperfect, I also generally accept Dr. Barnard's expert report and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case law is clear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driver of a rear-ending vehicle is generally at fault, and the onus shifts to that driver to prove otherwise: </w:t>
      </w:r>
      <w:r>
        <w:rPr>
          <w:rFonts w:ascii="arial" w:eastAsia="arial" w:hAnsi="arial" w:cs="arial"/>
          <w:i/>
          <w:color w:val="000000"/>
          <w:sz w:val="20"/>
          <w:lang w:val="en-US" w:eastAsia="en-US" w:bidi="ar-SA"/>
        </w:rPr>
        <w:t>Robbie v. King</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2003 BCSC 1553</w:t>
        </w:r>
      </w:hyperlink>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 xml:space="preserve"> at para. 15.</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driver of a following vehicle must leave enough space to stop safely in the event of a sudden or unexpected stop by the vehicles ahead: </w:t>
      </w:r>
      <w:r>
        <w:rPr>
          <w:rFonts w:ascii="arial" w:eastAsia="arial" w:hAnsi="arial" w:cs="arial"/>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Cue</w:t>
      </w:r>
      <w:r>
        <w:rPr>
          <w:rFonts w:ascii="arial" w:eastAsia="arial" w:hAnsi="arial" w:cs="arial"/>
          <w:color w:val="000000"/>
          <w:sz w:val="20"/>
          <w:lang w:val="en-US" w:eastAsia="en-US" w:bidi="ar-SA"/>
        </w:rPr>
        <w:t xml:space="preserve"> at para. 15.</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driver encounters unexpected and unforeseeable conditions,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presumed on the part of a driver who rear-ends another vehicle: </w:t>
      </w:r>
      <w:r>
        <w:rPr>
          <w:rFonts w:ascii="arial" w:eastAsia="arial" w:hAnsi="arial" w:cs="arial"/>
          <w:i/>
          <w:color w:val="000000"/>
          <w:sz w:val="20"/>
          <w:lang w:val="en-US" w:eastAsia="en-US" w:bidi="ar-SA"/>
        </w:rPr>
        <w:t>Vo v. Michl</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2012 BCSC 1417</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this case, Mr. Knoebel submits that a number of vehicles were required to engage in "emergency braking" and that this was unexpected. Mr. Knoebel notes that the traffic was flowing normally and that the vehicles involved in the accident were a significant distance from the upcoming intersection. Mr. Knoebel submits that a finding of liability against him would amount to requiring him to expect the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spite of Mr. Knoebel's able submission, I have no hesitation in finding him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accident occurred on a main thoroughfare during rush hour traffic. Reasonable drivers know that traffic can unexpectedly back up and even stop in such conditions, regardless of the distance from upcoming intersections. Mr. Knoebel had a duty to leave sufficient distance between his vehicle and Ms. Dubitz's vehicle to be able to come to a safe stop for this precise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Ms. Dubitz was able to come to a safe, albeit screeching, stop when the vehicle in front of her stopped unexpectedly. Had Mr. Knoebel kept a safe distance and been paying attention, he would have been able to do likewise.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This was a run of the mill rear-end accident where Mr. Knoebel was either following too closely or not paying attention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evidence clearly establishes a drastic change in Ms. Dubitz before and after the accident. The big question is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Dubitz submits that her prior brain injury left her vulnerable to subsequent injury and that the combination of injuries she suffered in the accident has left her a shell of her former self. Absent the accident, Ms. Dubitz submits that she would have remained on track to become the controller at Woodland.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Knoebel submits that Ms. Dubitz had pre-existing anxiety and that her current difficulties are primarily the result of the cumulative effect of post-accident stressors. In other words, absent the accident, Mr. Knoebel submits that Ms. Dubitz would have been in much the same boat.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As stated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Accordingly, Ms. Dubitz must prove on a balance of probabilities that her injuries would not have occurred "but for" Mr. Knoebel's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 and 13;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 v. Johnston</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Ms. Dubitz does not need to prove that Mr. Knoebel's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injuries. If there is a substantial connection between the injury and Mr. Knoebel's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Mr. Knoebel will be fully liable for the injury, even if other factors were at play: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9-11;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Mr. Knoebel is, however, only liable for the injuries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does not need to put Ms. Dubitz in a better position than her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w:t>
      </w:r>
      <w:r>
        <w:rPr>
          <w:rFonts w:ascii="arial" w:eastAsia="arial" w:hAnsi="arial" w:cs="arial"/>
          <w:i/>
          <w:color w:val="000000"/>
          <w:sz w:val="20"/>
          <w:lang w:val="en-US" w:eastAsia="en-US" w:bidi="ar-SA"/>
        </w:rPr>
        <w:t>; Blackwater</w:t>
      </w:r>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Mr. Knoebel is liable for Ms. Dubitz's injuries even if they are unexpectedly severe due to a pre-existing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On the other hand, if there is a measurable risk that Ms. Dubitz had a pre-existing condition that would have detrimentally affected her in the future, regardless of Mr. Knoebel's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that risk can be taken into account in reducing the damage award. Any such pre-existing condition would have been inherent in Ms. Dubitz's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28 and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A pre-existing risk that would have detrimentally affected Ms. Dubitz in the future need not be proven on a balance of probabilities. It is a contingency that is given weight according to its relative likelihood: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At a high level, I am satisfied on a balance of probabilities that Ms. Dubitz was seriously injured in the accident. Specifically, I am satisfied on a balance of probabilities that the accident was the primary cause of a MTBI, soft tissue injuries, headaches, chronic pain, GAD, PTSD and depression.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Ms. Dubitz suffered a moderate traumatic brain injury when she was 13 years old. Due to her age and the length of time she had to recover, she appears to have made a full recovery. At the time of the accident, there is no evidence to suggest that her prior brain injury was negatively affecting her in any way. She was functioning very well in a cognitively demanding job that required her to be highly organized and multi-task. She was doing so well that Ms. Walker identified her as a good candidate to assume the role of controller at Woodland when Ms. Walker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Though Ms. Dubitz had recovered from her prior brain injury, I accept the expert evidence that it left her vulnerable to subsequent injury. I also accept the expert evidence that the accident in fact caused Ms. Dubitz to suffer a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Given the overlapping and fluctuating impacts of Ms. Dubitz's other injuries, it is hard to know how much of an impact her MTBI had on her post-accident cognitive struggles and how long the adverse impact of her MTBI lasted.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Dr. Pirolli and/or Dr. O'Breasail were of the view that Ms. Dubitz's MTBI played a role in her headaches, light and noise sensitivity, nausea and cognitive impairments immediately following the accident. By the time of her February 2017 report, Dr. Pirolli associated Ms. Dubitz's ongoing employment struggles to her psychological distress, chronic pain and fatigue, not her MTBI. Similarly, in his November 2018 report, Dr. O'Breasail concluded that Ms. Dubitz's persistent cognitive symptoms were largely the result of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Based on all of the evidence, and in particular the expert evidence of Drs. Pirolli and O'Breasail, I find that the MTBI suffered by Ms. Dubitz in the accident played a meaningful but diminishing role in her cognitive difficulties following the accident. At present, I am unable to find that Ms. Dubitz's MTBI is limiting her level of function.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Soft Tissue Injuries, Headaches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evidence is clear, compelling, consistent and convincing that Ms. Dubitz suffered soft tissue injuries to her neck and mid-to-lower back as a result of the accident, and that these injuries continue to limit her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am unable to find that whatever pre-accident pain she had in her neck, back and chest played a role in her post-accident symptoms. Other than her self-report in the "Quit Smoking" questionnaire, there were no entries in her medical clinical records to objectively verify any significant or ongoing problems. As Dr. Barnard noted, Ms. Dubitz "did not have neck or back pain prompting medical care with me prior to the MVA." Further, I have no reason to question Dr. Etheridge's conclusion that Ms. Dubitz's periodic back and shoulder pain in her youth was probably not related to her ongoing headaches, and neck, back and gluteal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Dr. Etheridge's opinion also satisfies me on a balance of probabilities that Ms. Dubitz's accident-related soft tissue injuries have resulted in chronic myofascial pain in her neck, back and gluteal muscles, CNS hypersensitivity and weekly occipital headaches. Given the persistence of Ms. Dubitz's neck and back pain, despite the passage of time, rest and treatment, I accept Dr. Etheridge's opinion that her chronic myofascial pain has likely reached "the point of maximum medical improvement". As a result, I fully expect Ms. Dubitz's chronic myofascial pain and headaches to limit her level of functioning in the long-term.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Ms. Dubitz was a shy child. She suffered a moderate traumatic brain injury in her youth. Prior to the accident, she relied on propranolol to prevent her from "flushing" while public speaking. She had been in an abusive relationship. In Dr. O'Breasail's opinion, these factors made Ms. Dubitz vulnerable to developing a psychiatric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Further, Ms. Dubitz experienced a number of post-accident stressors that were unrelated to the accident. Her parents were injured in August 2014. Her father unexpectedly passed away in October 2014. She had a difficult relationship with Mr. Ward. There was conflict in her relationship with her mother. She terminated an unplanned pregnancy. Given her pre-existing vulnerabilities, these stressors undoubtedly would have had some individual and cumulative negative impact on her psychological functioning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addition, Ms. Dubitz has had to endure litigation-related stress - which is a stress that will disappear once the litigation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Nevertheless, with all due respect to the position taken by Mr. Knoebel, the evidence easily satisfies me that the accident is the primary cause of the significant psychological distress Ms. Dubitz has experienced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Prior to the accident, Ms. Dubitz managed her stress quite well. She was a regular and successful public speaker. She got out of an abusive relationship. She emotionally recovered from a miscarriage. She excelled in a stressful work environment. Despite her vulnerabilities and all of these stressors, she maintained her effervescence and zest for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drastic change in Ms. Dubitz began in the immediate aftermath of the accident and prior to the emergence of other stressors in her life. She had neck and back pain, and headaches. She could not concentrate and had memory problems. She was anxious, and experienced flashbacks and nightmares. She was not sleeping well and was exhausted. She was agitated and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Ms. Dubitz is not a malingerer. She derives a great deal of her self-worth from work. She tried to go back to work before she was ready and failed. She tried again on a graduated basis. Though she was able to work on a full-time basis, this came at a high personal cost and she never regained her pre-accident performance levels. In fact, rather than being a rising star at Woodland, Ms. Walker had to remove responsibilities from Ms. Dubitz.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There is no doubt that life threw some curveballs at Ms. Dubitz, starting with her parents' injuries in August 2014. Given her lively spirit and positive outlook, I am sure that Ms. Dubitz would have handled her various post-accident stressors individually and cumulatively as she had dealt with her pre-accident stressors, namely with relative ease. I agree entirely with Dr. Pirolli that the effects of the accident left Ms. Dubitz less able to cope with post-accident stressors. In the absence of the accident, I have no reason to think Ms. Dubitz would have developed any psychiatric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There was some difference of professional opinion regarding the nature of Ms. Dubitz's psychological distress. The evidence was consistent, however, that anxiety, depression and symptoms of post-traumatic stress were prominent. On the whole of the evidence, I am satisfied that Ms. Dubitz has suffered from GAD, symptoms of PTSD, which at times have amounted to full-blown PTSD, and depression. I am also satisfied that the accident is the primary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Of course, it is the impact on Ms. Dubitz's level of function rather than her specific diagnoses that is the focus of my assessment of her case. I will return to this topic more fully in my assessment of Ms. Dubitz's various claimed heads of damage. For now, I will simply say that I am satisfied that Ms. Dubitz's psychological distress has interacted in a very negative way with her MTBI and physical injuries. Naturally, her symptoms have waxed and waned but, given the persistence of her symptoms, I do not expect much improvement in Ms. Dubitz's level of function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Non-pecuniary damages are awarded to compensate an injured party for their pain and suffering, loss of enjoyment of life and loss of amenities. They must be fair to all parties. While each case is unique, fairness is often measured against awards made in similar cases: </w:t>
      </w:r>
      <w:r>
        <w:rPr>
          <w:rFonts w:ascii="arial" w:eastAsia="arial" w:hAnsi="arial" w:cs="arial"/>
          <w:i/>
          <w:color w:val="000000"/>
          <w:sz w:val="20"/>
          <w:lang w:val="en-US" w:eastAsia="en-US" w:bidi="ar-SA"/>
        </w:rPr>
        <w:t>Gill v. McChesney</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2016 BCSC 1416</w:t>
        </w:r>
      </w:hyperlink>
      <w:r>
        <w:rPr>
          <w:rFonts w:ascii="arial" w:eastAsia="arial" w:hAnsi="arial" w:cs="arial"/>
          <w:color w:val="000000"/>
          <w:sz w:val="20"/>
          <w:lang w:val="en-US" w:eastAsia="en-US" w:bidi="ar-SA"/>
        </w:rPr>
        <w:t xml:space="preserve"> at para. 180; </w:t>
      </w:r>
      <w:r>
        <w:rPr>
          <w:rFonts w:ascii="arial" w:eastAsia="arial" w:hAnsi="arial" w:cs="arial"/>
          <w:i/>
          <w:color w:val="000000"/>
          <w:sz w:val="20"/>
          <w:lang w:val="en-US" w:eastAsia="en-US" w:bidi="ar-SA"/>
        </w:rPr>
        <w:t>MacGregor v. Bergen</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2019 BCSC 315</w:t>
        </w:r>
      </w:hyperlink>
      <w:r>
        <w:rPr>
          <w:rFonts w:ascii="arial" w:eastAsia="arial" w:hAnsi="arial" w:cs="arial"/>
          <w:color w:val="000000"/>
          <w:sz w:val="20"/>
          <w:lang w:val="en-US" w:eastAsia="en-US" w:bidi="ar-SA"/>
        </w:rPr>
        <w:t xml:space="preserve"> at para.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3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provided a non-exhaustive list of factors to consider in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8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Comparators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To provide further guidance to me in my assessment of Ms. Dubitz's non-pecuniary damages, Ms. Dubitz relies on: </w:t>
      </w: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Cikojevic v. Timm</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BCSC 800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Gabor v. Boilard</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2015 BCSC 1724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In response, Mr. Knoebel relies on: </w:t>
      </w:r>
      <w:r>
        <w:rPr>
          <w:rFonts w:ascii="arial" w:eastAsia="arial" w:hAnsi="arial" w:cs="arial"/>
          <w:i/>
          <w:color w:val="000000"/>
          <w:sz w:val="20"/>
          <w:lang w:val="en-US" w:eastAsia="en-US" w:bidi="ar-SA"/>
        </w:rPr>
        <w:t>Yang v. Engen</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2014 BCSC 1332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Neyman v. Wouterse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2013 BCSC 741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 summarize the essential features of these cases below: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8" type="#_x0000_t75" style="width:432.06pt;height:482.32pt">
            <v:imagedata r:id="rId137" o:title=""/>
          </v:shape>
        </w:pict>
      </w:r>
      <w:r>
        <w:rPr>
          <w:rFonts w:ascii="arial" w:eastAsia="arial" w:hAnsi="arial" w:cs="arial"/>
          <w:sz w:val="20"/>
          <w:lang w:val="en-US" w:eastAsia="en-US" w:bidi="ar-SA"/>
        </w:rPr>
        <w:t xml:space="preserve">  </w:t>
      </w:r>
      <w:r>
        <w:pict>
          <v:shape id="_x0000_i1039" type="#_x0000_t75" style="width:417.81pt;height:586.58pt">
            <v:imagedata r:id="rId138" o:title=""/>
          </v:shape>
        </w:pict>
      </w:r>
      <w:r>
        <w:pict>
          <v:shape id="_x0000_i1040" type="#_x0000_t75" style="width:432.06pt;height:124.52pt">
            <v:imagedata r:id="rId139" o:title=""/>
          </v:shape>
        </w:pict>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Assessing non-pecuniary damages is a highly individualized process. While each case relied on by the parties has some degree of similarity to Ms. Dubitz's case, no two cases are exactly the same. Having said that, the cases establish a broad range for awards of non-pecuniary damages to young, active, happy adults who have suffered some combination of MTBI, chronic physical injuries and/or psychological distress that limit their work, recreational and/or domestic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Prior to the accident, Ms. Dubitz was a happy, healthy 25-year-old who was employed full-time in an administrative/accounting role with a local heavy equipment sales and service dealership. She was fun, funny, friendly, active and energetic. She had a real spark and was up for anything. She was the type of person who could brighten a gloomy day. She was well-liked by her family, friends and co-workers. She was valued by her employer, demonstrated a capacity to take on increasing responsibilities and was identified as a possible future controller.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As a result of the accident, she suffered facial bruising, temporary ringing in her ears, a concussion (MTBI), headaches, and neck and back pain. She had flashbacks, nightmares and anxiety. She had trouble sleeping and felt fatigued. She had difficulties concentrating and remembering things. She tried very hard but was unable to function to the same level at work. Her employer removed, rather than added, to her responsibilities. She was unable to cope with other stressors. She has developed chronic myofascial pain and CNS hypersensitivity. She has GAD and is depressed about the impact her injuries have had on her. She has symptoms of post-traumatic stress and, at times, has experienced full-blown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Ms. Dubitz had pre-existing vulnerabilities to suffering a further traumatic brain injury and a psychiatric disorder but, absent the accident, I am satisfied that neither would have arisen. Absent the accident, she would have experienced temporary setbacks from time to time, as we all do, but she would not have developed chronic myofascial pain, CNS hypersensitivity, GAD, depression, symptoms of post-traumatic stress and, at times, full-blown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Ms. Dubitz has been highly compliant with all suggested forms of treatment. At times she has put a lower priority on her self-care than recommended but there can be no serious suggestion that she has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Ms. Dubitz's condition has improved over time. In fact, at times, she has functioned reasonably well. Nevertheless, she has plateaued. Looking into the future, Ms. Dubitz's injuries will continue to wax and wane depending on her level of activity, cognitive demands and the presence of other stressors. Her injuries will continue to interact causing serious adverse impacts to her activities, career, relationships, disposition and outlook. She will have to modify her life and lower her expectations. She is simply not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Based on my findings, the cases identified by Ms. Dubitz are reasonable comparators. The cases identified by Mr. Knoebel are not. I award non-pecuniary damages of $185,000.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Mr. Knoebel acknowledges that Ms. Dubitz suffered a gross loss of income of $7,760 from the date of the accident through to her return to full-time work on August 18, 2014. After that, Mr. Knoebel submits that the accident did not prevent Ms. Dubitz from continuing to work on a full-time basis. Given my findings on the impact of the accident on Ms. Dubitz,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Ms. Dubitz's parents instilled a strong work ethic in her. At the time of the accident, she had been employed full-time at Woodland for almost three years. She was earning $20 per hour. She liked her job and was advancing. She was a dedicated employee who was well-liked by her employer and co-workers. She testified that she intended to continue working full-time at Woodland and Ms. Walker testified that her employment was secure. In fact, as has been noted, Ms. Walker identified Ms. Dubitz as her likely future replacement as the controller at Woodland and Ms. Dubitz had enrolled in part-time business studies at TRU to put herself in a position to take on that role. Ms. Walker testified that, without taking on any additional responsibilities, Ms. Dubitz could expect annual raises of $1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Due to her accident-related injuries, Ms. Dubitz was unable to maintain her full-time employment at Woodland. She reasonably took the medical advice of Drs. Barnard, Pusztai and Raghavan to reduce her hours of work in August 2016 and then go off work completely in October 2016. Ms. Dubitz then focused on her recovery, including her regular appointments with Dr. Pusztai, Mr. Darwin and, starting in July 2017, Ms. Saari.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Ms. Dubitz again reasonably followed medical advice as she gradually returned to full-time work. In the fall of 2017, she began modest and not cognitively demanding volunteer work. In early 2018, she took available casual work at Parkside. Finally, in the summer of 2018, she was successful in finding full-time work with the Village. When her landscaping job with the Village ended, she reasonably dedicated herself to her TRU course and then the H&amp;R Block program. Unable to find other employment, she took a position with H&amp;R Block in 2019. I do not know how much she earned at H&amp;R Block to the date of trial, but it must have been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evidence satisfies me that, in the absence of the accident, Ms. Dubitz would have continued to be employed on a full-time basis at Woodland, receiving annual increases, while at the same time taking on-line business courses at TRU. I am also satisfied that all of the time Ms. Dubitz has been off work since the accident is due to her accident-related injuries. Between the accident and October 2016, Ms. Dubitz had one week of bereavement leave when her father passed away but otherwise worked full-time, despite other stressors. There is simply no reason for me to think that, absent the accident, Ms. Dubitz would have missed any other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In these circumstances, I agree with Ms. Dubitz that it is appropriate to simply calculate her past loss of income by subtracting her actual earnings from what she would have earned if employed by Woodland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If Ms. Dubitz had continued to be employed by Woodland on a full-time basis to the time of trial, she would have earned the following:</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2, 2014 - Oct. 31,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weeks x 40 hours/week x $20.00/hour = $62,400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 1, 2015 - Oct. 31,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weeks</w:t>
      </w:r>
      <w:bookmarkStart w:id="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9"/>
      <w:r>
        <w:rPr>
          <w:rFonts w:ascii="arial" w:eastAsia="arial" w:hAnsi="arial" w:cs="arial"/>
          <w:color w:val="000000"/>
          <w:sz w:val="20"/>
          <w:lang w:val="en-US" w:eastAsia="en-US" w:bidi="ar-SA"/>
        </w:rPr>
        <w:t xml:space="preserve"> x 40 hours/week x $21.00/hour = $43,680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 1, 2016 - Oct. 31,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weeks x 40 hours/week x $22.00/hour = $45,760</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 1, 2017 - Oct. 31, 2018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weeks x 40 hours/week x $23.00/hour = $47,840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 1, 2018 - March 4, 2019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weeks x 40 hours/week x $24.00/hour = $16,320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addition, Ms. Walker testified that Ms. Dubitz would have received annual bonuses of $1,000 to $1,500. As a result, I find that if Ms. Dubitz had not been injured in the accident, she would have earned $220,000 from Woodland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As it was, Ms. Dubitz earned the following employment income after the accident: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2014 - $20,576</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2015 - $43,739</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2016 - $32,253</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 $0</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 $21,784</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 $2,000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This totals $120,352. As a result, I find that Ms. Dubitz experienced a gross (before-tax) past wage loss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 have considered adjusting Ms. Dubitz's gross past wage loss to reflect contingencies. Given Ms. Dubitz's dedication to her job and strong attachment to work, the negative contingencies are minimal and offset by similar positive contingencies, such as the contingency that Ms. Dubitz may have received a promotion or found higher paying work. As a result, I am not making any adjustment for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Of course, past wage losses are awarded on the basis of after-tax income: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152-158. During submissions, the parties agreed that, for a past wage loss award of this size, I ought to use a tax rate of 13%. Accordingly, I award Ms. Dubitz $87,000 for her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our Court of Appeal succinctly summarized the relevant legal principles for determining an award for loss of future earning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...The standard of proof in relation to future events is simple probability, not the balance of probabilities, and hypothetical events are to be given weight according to their relative likelihood. A plaintiff is entitled to compensation for real and substantial possibilities of loss, which are to be quantified by estimating the chance of the loss occurring. The valuation of the loss of earning capacity may involve a comparison of what the plaintiff would probably have earned but for the accident with what he will probably earn in his injured condition. However, that is not the end of the inquiry; the overall fairness and reasonableness of the award must be considered. Moreover, the task of the Court is to assess the losses, not to calculate them mathematically. Finally, since the course of future events is unknown, allowance must be made for the contingency that the assumptions upon which the award is based may prove to be wrong... [Cites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There are a number of ways to assess a plaintiff's loss of future earning capacity. An "earnings approach" may be appropriate in cases where the loss is relatively easy to measure in a mathematical way. The "capital asset" approach is more appropriate in cases where the loss is not as easily measured, for example in the case of a young person whose career path is uncertain: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12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the circumstances of this case, the capital asset approach is appropriate because:</w:t>
      </w:r>
      <w:r>
        <w:rPr>
          <w:rFonts w:ascii="arial" w:eastAsia="arial" w:hAnsi="arial" w:cs="arial"/>
          <w:sz w:val="20"/>
          <w:lang w:val="en-US" w:eastAsia="en-US" w:bidi="ar-SA"/>
        </w:rPr>
        <w:cr/>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Dubitz is relatively young;</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Though Ms. Dubitz had been identified as an ideal candidate to take over as controller of Woodland, absent the accident, there is uncertainty as to whether that would have occurred;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I were to find that Ms. Dubitz would have become the controller of Woodland, there is uncertainty as to how much she would have been paid;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Dubitz has a residual capacity to earn income, which is also somewhat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10, our Court of Appeal held that all relevant factors must be taken into consideration in assessing a future loss of earning capacity,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With the greatest respect to Mr. Knoebel's detailed and thoughtful submissions otherwise, the evidence decidedly supports a finding that Ms. Dubitz has suffered a substantial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First of all, Ms. Dubitz has sincerely tried to return to work in an office environment on a full-time basis but failed, including after taking substantial time off work to focus exclusively on her recovery. While she managed reasonably well in a physical, non-cognitively demanding position with the Village in the summer of 2018, she struggled with the cognitive demands of a single on-line university business course in the fall of last year and, at the time of trial, appeared to be utterly unable to handle full-time employment with H&amp;R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Next, the experts agree that Ms. Dubitz's vocational functioning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Dr. Pirolli's opinion, Ms. Dubitz is not competitively employable and not able to participate in a normal academic workload due her psychological distress, chronic pain and fatigue. Ms. Dubitz will need a compassionate employer and work modifications in order to maintain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Dr. O'Breasail's opinion, Ms. Dubitz will be restricted in her vocational functioning due to her anxiety and cognitive difficulties. That said, Dr. O'Breasail considers Ms. Dubitz capable of returning to work on a full-time basis in an administrative-type position in an office setting. On this latter point, I prefer the opinions of the experts who more specifically assessed Ms. Dubitz's physical limitations. In addition, I do not take Dr. O'Breasail's opinion regarding Ms. Dubitz's ability to return to full-time administrative work to mean that he thinks she could function at the same level as if the accident had not occurred. Such a take on Dr. O'Breasail's opinion would be at complete odds with the overall thrust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Dr. Etheridge's opinion, administrative or accounting work will probably aggravate Ms. Dubitz's neck and back pain such that she would need accommodations from a future employer. He foresees Ms. Dubitz requiring time off work in the future when her pain flares up. He believes there is a substantial possibility that Ms. Dubitz will not be able to work full-time in a sedentary job due to her chronic pain and that Ms. Dubitz will remain limited from doing strenuous physically demanding work in the future. He acknowledges that Ms. Dubitz will probably be able to manage part-time work over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Both Ms. Saari and Ms. White identified functional limitations that impair Ms. Dubitz's ability to manage full-time work in an office setting and/or the heavier aspects of more physically demanding work. Ms. White specifically found Ms. Dubitz to be not competitively employable as an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Mr. Knoebel notes that Ms. Saari assessed Ms. Dubitz as being able to sit for one hour and that Ms. Dubitz sat for a two hour interview with Ms. White. Mr. Knoebel also submits that many jobs in an office setting do not require continuous sitting for stretches of two hours or more. While all of that may be so, these facts do not lead to the conclusion that Ms. Dubitz could work in a relatively sedentary environment day after day, week after week, month after month and year after year. During the trial, I observed for myself how physically uncomfortable Ms. Dubitz became over the course of the trial day. She was unable to comfortably maintain a static position, whether sitting or standing, for even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Finally, returning to the factors identified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I am compelled by the evidence to find that they are all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Ms. Dubitz has been rendered less capable overall from earning income from all types of employment. Her ongoing cognitive impairments and chronic pain limit her ability to work in a sedentary office environment, particularly one with cognitive demands, on a full-time basis. Her chronic pain also limits her ability to engage in the heavier aspects of physically demanding work. Further, even if Ms. Dubitz works in a more active and physically demanding field, such work often pays a modest hourly wage and is seasonal.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Ms. Dubitz is less marketable or attractive as an employee to potential employers. Based on my findings, Ms. Dubitz will require accommodations from a sympathetic employer to work in either an office environment or in a more active and physically demanding position. She simply cannot market herself as able to handle the same scope of work as she could have if she had not been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For the reasons I have just given, Ms. Dubitz has lost the ability to take advantage of all job opportunities that would have been open to her if she had not been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Ms. Dubitz is less valuable to herself as a person capable of earning income in a competitive labour market. In fact, Ms. Dubitz places so much value on her work ethic and ability to make a meaningful contribution on the job that her injuries have seriously affected her self-esteem and contributed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now turn to various scenarios, projections and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Ms. Walker testified that, if Ms. Dubitz had not been injured in the accident and continued with the same job responsibilities, she would now be making $25 per hour. Ms. Walker testified this represents the maximum wage Woodland would pay for Ms. Dubitz's position. Ms. Walker also testified that Ms. Dubitz would be entitled to an annual bonus of between $1,000 and $1,500. In his uncontested expert report, Mr. Carson estimates that employee benefits are typically worth 10% of an employee's salary. In this scenario, Ms. Dubitz would have earned a minimum of $58,000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Mr. Carson has provided "multipliers" in his report which can be used to calculate present values of projected future earnings. In this case, the multiplier to determine the present value of a future of a sum of $1,000 in each year from the date of trial to Ms. Dubitz's 65th birthday is $26,361.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multipliers use the statutorily mandated discount rate and are adjusted for survival rates but not negative labour market contingencies. In certain projections in his report, Mr. Carson uses an average negative labour market contingency of 22.5%. Using the same contingency for Ms. Dubitz, the present value of annual earnings of $58,000 from the date of trial to Ms. Dubitz's 65th birthday is $1,185,000</w:t>
      </w:r>
      <w:bookmarkStart w:id="1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0"/>
      <w:r>
        <w:rPr>
          <w:rFonts w:ascii="arial" w:eastAsia="arial" w:hAnsi="arial" w:cs="arial"/>
          <w:color w:val="000000"/>
          <w:sz w:val="20"/>
          <w:lang w:val="en-US" w:eastAsia="en-US" w:bidi="ar-SA"/>
        </w:rPr>
        <w:t>. Given Ms. Dubitz's strong attachment to the workforce, a lower negative contingency may be appropriate. In such circumstances, Mr. Carson suggests the use of a 20% negative labour market contingency. Using this lower contingency, the present value of annual earnings of $58,000 from the date of trial to Ms. Dubitz's 65th birthday is $1,223,000</w:t>
      </w:r>
      <w:bookmarkStart w:id="11"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1"/>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Ms. Walker saw great potential in Ms. Dubitz and, absent the accident, intended to groom her to assume her role as controller upon retirement this spring. Ms. Walker testified that her 2018 salary was over $100,000 plus bonus, despite working only 20 - 30 hours per week. She confirmed that Woodland is currently advertising for her position. The starting salary for the perfect candidate would be $80,000 - $100,000 per year. That candidate would have an accounting designation and industry experience. She testified that industry experience is the most important criteria and the successful candidate may well not have completed their accounting designation.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Ms. Walker obtained her accounting designation while working full-time at Woodland. It took approximately ten years for her to do so. As long as Ms. Dubitz continued to perform as she had prior to her injury and had continued to take accounting courses, Ms. Walker testified that she would have been a "shoo-in" to replace her. Having industry experience, and specifically experience with Woodland, plus mentorship from Ms. Walker, would have been of most importance. Ms. Walker is on the interviewing committee and testified that her vote is "weighted 90% toward the decision." Ms. Walker also testified that she would have recommended Ms. Dubitz for her replacement. Ms. Walker testified that, without an accounting designation, Ms. Dubitz could have expected a starting annual salary of $60,000 -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Mr. Knoebel submits that Ms. Dubitz did not have the potential to obtain an accounting designation. I do not agree. More specifically, I do not consider Ms. Dubitz's extremely low numerical aptitude test results to reflect her true pre-accident numerical aptitude. Quite simply, no one at the third percentile in numerical aptitude could pass Math 11 and 12 as Ms. Dubitz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Ms. Dubitz's high school grades, performance in accounting functions at Woodland and verbal aptitude test results with Mr. Nordin satisfy me that she had the potential to obtain an accounting designation of some sort. The evidence falls short, however, of satisfying me that she likely would have become a CPA. She may not have been fully focused on her academic courses in grade 12, but her C- in Math 12 suggests that she would have struggled to meet the very high demands associated with becoming a CPA. There was no more than a remote possibility in my view that, absent the accident, at some point Ms. Dubitz would have become a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If Ms. Dubitz had become the controller at Woodland in the spring of this year, her salary, bonus and benefits would have been in the range of $75,000 per year. Using a 22.5% negative labour market contingency, the present value of annual earnings of $75,000 from the date of trial to Ms. Dubitz's 65th birthday is $1,532,000</w:t>
      </w:r>
      <w:bookmarkStart w:id="12"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2"/>
      <w:r>
        <w:rPr>
          <w:rFonts w:ascii="arial" w:eastAsia="arial" w:hAnsi="arial" w:cs="arial"/>
          <w:color w:val="000000"/>
          <w:sz w:val="20"/>
          <w:lang w:val="en-US" w:eastAsia="en-US" w:bidi="ar-SA"/>
        </w:rPr>
        <w:t>. Using a 20% negative labour market contingency, the present value of annual earnings of $75,000 from the date of trial to Ms. Dubitz's 65th birthday is $1,582,000</w:t>
      </w:r>
      <w:bookmarkStart w:id="13"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3"/>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Mr. Carson also provided present value lifetime earnings for British Columbia residents having various levels of education working in the field of business administration and/or accounting. Mr. Carson used the statutorily mandated discount rate, fully adjusted for the usual negative labour market contingencies, included non-wage benefits (estimated at 10% of salary) and cut-off earnings at age 70. The results are as follows: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College diploma requiring three months to a year of post-secondary study, whose major field of study included business administration - $1,416,200</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College diploma requiring one to two years of post-secondary study, whose major field of study included accounting - $1,438,200</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CPA designation - $2,585,437.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Turning to Ms. Dubitz's residual earning capacity, I accept the opinions of Drs. Pirolli and O'Breasail that Ms. Dubitz will have ongoing cognitive impairments and the opinions of Dr. Etheridge, Ms. Saari and Ms. White that Ms. Dubitz will also have ongoing physical limitations. Further, I note that despite all of her rehabilitation (including counselling and medication), very strong work ethic and desire to work full-time, Ms. Dubitz has not functioned well or, at times, at all in full-time work. In fact, she has not come close to functioning at the level of her pre-accident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Going forward, I do not consider Ms. Dubitz's extremely low numerical aptitude test results to reflect her true post-accident numerical aptitude either. I am confident that she performed badly on that aspect of her aptitude testing as the result of some combination of test anxiety and not having the foundations to perform certain computations (that she could easily do with a calculator) long-hand. Further, she passed her on-line business course at TRU and the H&amp;R Block course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Given her interests and residual aptitudes, I think it is most likely that Ms. Dubitz will complete some further college level business-related schooling and work on a part-time basis in the field of administration and/or accounting. If she does, as noted by Mr. Carson, she will suffer a direct loss of income related to working fewer hours and an indirect loss of income related to reduced wages associated with her reduced accumulated work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Ms. Dubitz's wage at H&amp;R Block at the time of trial was only $13.25 per hour. Nevertheless, I am confident that Ms. Dubitz will perform better at work as she gains experience, and when she is not faced with the stress and demands of this litigation. I am also confident that she will eventually find higher paying work that suits her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On the whole of the evidence, I think it is reasonable to project that Ms. Dubitz will earn in the range of 50 - 60% of her expected lifetime earnings at Woodland had the accident not occurred and had Ms. Dubitz remained in the same position. If so, using a 22.5% negative labour market contingency, her lifetime earnings from the date of trial to her 65th birthday would be $592,000</w:t>
      </w:r>
      <w:bookmarkStart w:id="14"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4"/>
      <w:r>
        <w:rPr>
          <w:rFonts w:ascii="arial" w:eastAsia="arial" w:hAnsi="arial" w:cs="arial"/>
          <w:color w:val="000000"/>
          <w:sz w:val="20"/>
          <w:lang w:val="en-US" w:eastAsia="en-US" w:bidi="ar-SA"/>
        </w:rPr>
        <w:t xml:space="preserve"> to $711,000</w:t>
      </w:r>
      <w:bookmarkStart w:id="15"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5"/>
      <w:r>
        <w:rPr>
          <w:rFonts w:ascii="arial" w:eastAsia="arial" w:hAnsi="arial" w:cs="arial"/>
          <w:color w:val="000000"/>
          <w:sz w:val="20"/>
          <w:lang w:val="en-US" w:eastAsia="en-US" w:bidi="ar-SA"/>
        </w:rPr>
        <w:t>. Using a 20% negative labour market contingency, her lifetime earnings from the date of trial to her 65th birthday would be $612,000</w:t>
      </w:r>
      <w:bookmarkStart w:id="16"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6"/>
      <w:r>
        <w:rPr>
          <w:rFonts w:ascii="arial" w:eastAsia="arial" w:hAnsi="arial" w:cs="arial"/>
          <w:color w:val="000000"/>
          <w:sz w:val="20"/>
          <w:lang w:val="en-US" w:eastAsia="en-US" w:bidi="ar-SA"/>
        </w:rPr>
        <w:t xml:space="preserve"> to $734,000</w:t>
      </w:r>
      <w:bookmarkStart w:id="17"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7"/>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Prior to the accident, Ms. Dubitz was a highly competent and valued employee at Woodland. She was organized, diligent and hard-working. She got along well with her co-workers and management. She brought positive energy to her workplace and had established an upward trajectory. There is a good chance that she would have completed an accounting designation of some sort and worked as the controller at Woodland, or in a similar position elsewhere. There is no more than a remote possibility that she would have become a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On the other hand, Ms. Dubitz had a number of pre-accident vulnerabilities that were inherent in her original position. She had childhood anxiety, had suffered a moderate traumatic brain injury in her teens and had experienced abuse in an intimate relationship. In assessing her loss of future earning capacity, I cannot ignore her increased risk of developing psychological symptoms if exposed to significant stress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Overall, I consider Ms. Dubitz's pre-accident earning capacity to have been between $1,200,000 and $1,500,000. I consider Ms. Dubitz's post-accident earning capacity to be $500,000 to $800,000. I award Ms. Dubitz $700,000 for her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The purpose of an award for cost of future care is to restore the injured party, as best as a monetary award can do, to the position they would have been if the accident had not occurred: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Claims for future care must be medically justified, reasonable and fair to both parties. The court must determine the services, medications, and aids that are reasonably necessary to promote the health of the injured party and assess the likelihood that they will use them in the future: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Future care costs awards should be adjusted for contingencies. These may be positive or negative and will depend on the particular facts of the case: </w:t>
      </w:r>
      <w:r>
        <w:rPr>
          <w:rFonts w:ascii="arial" w:eastAsia="arial" w:hAnsi="arial" w:cs="arial"/>
          <w:i/>
          <w:color w:val="000000"/>
          <w:sz w:val="20"/>
          <w:lang w:val="en-US" w:eastAsia="en-US" w:bidi="ar-SA"/>
        </w:rPr>
        <w:t>Peters v. Ortner</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xml:space="preserve"> at para. 144.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Ms. White provided annual cost estimates of Ms. Dubitz's current medications and for those that have been recommended. Mr. Carson then calculated the present value of these costs to the end of Ms. Dubitz's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Using average values for Ms. Dubitz's current medications, the results are:</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Zopiclone (for sleep) - $448</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Prozac (for PTSD/anxiety) - $9,580</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Ativan (for anxiety) - $79</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Advil or Aleve (for pain) - $1,138</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Robaxacet (for pain) - $2,486</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Dispensing fees - $9,842</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 $23,573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Using average values for the medications recommended by Dr. Etheridge, the results are:</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Gabapentin/Lyrica/Amitriptyline/Cymbalta - $29,211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Using the cost of Ms. Dubitz's initial supply of CBD oil and multipliers provided by Mr. Carson, for the CBD oil recently prescribed for Ms. Dubitz by Dr. Pusztai, the results are:</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CBD Oil - $157,801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my view, it is reasonable to expect Ms. Dubitz to continue using the full suite of medications she is currently using in the long-term. It has taken significant time and effort to find a combination of medications that provide reasonable relief to Ms. Dubitz.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In Dr. Etheridge's opinion, the medications he has recommended achieve 30% relief in one third of patients and can have significant side effects. In these circumstances, I consider it unlikely that Ms. Dubitz will use any of these medications in the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Given its extremely high cost, I consider it unreasonable and unfair to expect Mr. Knoebel to pay for Ms. Dubitz to use CBD oil when it is so expensive and there is no clear evidence that it will provide superior relief to Prozac and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In the future, Ms. Dubitz's accident-related use of medication may go up or may go down. Overall, I consider an award of $24,000 for medications to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Passive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Ms. White provided annual cost estimates for passive therapies recommended by Dr. Etheridge. Mr. Carson calculated the present value of these costs to the end of Ms. Dubitz's life expectancy. Using average costs, Ms. Dubitz claims $50,195. Ms. Dubitz submits this claim is reasonable, particularly in light of the fact that it does not include the cost of an exercise program overseen by a kinesiologist as recommended by Dr. Etheridge.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Ms. Dubitz has not engaged in passive therapies since 2015 and Ms. Saari has already provided Ms. Dubitz with an exercise program. While Ms. Dubitz would undoubtedly benefit from some additional passive therapy as recommended by Dr. Etheridge, I simply do not think that Ms. Dubitz will utilize such therapies to the extent identified by Dr. Etheridge for the rest of her life. I also do not consider it fair or reasonable for Mr. Knoebel to pay for further services of a kinesiologist. Overall, I consider an award of $10,000 to be appropriate for the cost of future passive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Drs. Etheridge and Pirolli both recommended future OT involvement for Ms. Dubitz. Ms. White recommended OT assistance with an ergonomic assessment, and equipment prescription and implementation at a future workplace, and chronic pain management education. Ms. White estimated that a total of 15 hours at $100 per hour would be needed. Given that Ms. Dubitz is likely to have more than one future employer and may need additional OT assistance in the future, I consider Ms. Dubitz's claim for $2,500 for OT assistance to be reasonable and fair.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Dr. Pirolli, Dr. O'Breasail and Mr. Darwin all recommend that Ms. Dubitz continue with counselling. In February 2017, Dr. Pirolli recommended 25-35 sessions, plus an additional two to eight sessions per year into the future. Dr. O'Breasail recommended 12 counselling sessions per year over the next five years. Mr. Darwin recommended at least ten sessions prior to and following the trial plus two to five sessions every few years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Ms. Dubitz seeks an award for counselling based on 20 sessions at $160 per hour over the next two years, followed by four sessions per year into the future. Using Mr. Carson's multipliers, Ms. Dubitz makes a total claim for $24,200.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In my view, Mr. Darwin has already fulfilled Dr. Pirolli's recommendation of an initial 25-35 counselling sessions. Given that the effects of the accident are lasting and have made Ms. Dubitz less able to cope with future stressors, I consider it reasonable and fair to make an award for future counselling in line with Mr. Darwin's recommendations. He has worked closely with Ms. Dubitz and knows her needs the best. I consider an award of $10,000 to be appropriate. I note that this award is not much higher than the present value of the minimum number of sessions recommended by Dr. O'Breasail.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Ms. Dubitz lives alone on a five and a half acre parcel of land in Chase that she will inherit from her mother. Based on Ms. White's findings of Ms. Dubitz's functional limitations, Ms. White has recommended that Ms. Dubitz purchase a snow blower and a harness for her weed whacker. Ms. White has priced a snow blower at $998 and a harness at $157. With replacement of each every ten years, Mr. Carson has calculated the present value of the lifetime cost of these items to be $4,325. Ms. White has also recommended $1,500 to cover the cost of an ergonomic desk and chair for Ms. Dubitz's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To this point, Ms. Dubitz has apparently not used either a snow blower or a harness for her weed whacker. At some point in the future, she might. I consider it perfectly reasonable to make some allowance for ergonomic office equipment for Ms. Dubitz. Taking contingencies into account, I consider an award of $3,500 to be reasonable and fair.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Based on the above, I award Ms. Dubitz $50,000 for her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In its recent decision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paras. 31-33, our Court of Appeal reaffirmed that a true loss of housekeeping capacity is a compensable pecuniary loss that should be valued as the loss of an asset. That means it should be compensated regardless of whether the replacement services which are used to value the loss and determine the quantum of the award are actually purchased. The Court also held that a loss of housekeeping capacity that is more in line with a loss of amenities may be compensated through an appropriate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As I read the Court's judgment, a cautious approach grounded in reasonableness is to be taken but "[s]o long as the award is justified on the basis of evidence of the plaintiff's incapacity it will be commensurate with the plaintiff's loss": paras. 33-37.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Handyman and yard maintenance work are a necessary part of Ms. Dubitz's housekeeping. The evidence clearly establishes that Ms. Dubitz's capacity to perform these functions has been permanently impaired due to her chronic myofascial pain. At the same time, the evidence is clear that Ms. Dubitz has not utilized any hired help to maintain her property since the accident and would have required some amount of help even if she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Ms. White has recommended 20 hours of handyman services annually at a cost of $800 - $1,000 and 30 hours of assistance with yard work annually at a cost of $900 - $1,050. Ms. Dubitz seeks an award for her loss of housekeeping capacity at an annual value of $2,000 truncated at age 75 representing an age that Ms. Dubitz may have reduced her performance of these activities. Using Mr. Carson's multipliers, Ms. Dubitz seeks an award of $57,650.00.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Ms. Dubitz has mostly maintained her property and assisted with the maintenance of her mother's property on her own. At times, she has relied on a boyfriend, who she is no longer with. She was frank that she would have needed help with certain work done by her former boyfriend even if she had not been injured. Further, though she is slated to inherit the property that she currently lives on as well as the property that her mother lives on, there is no certainty that she will reside on one or both of these properties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In all of the circumstances, I consider Ms. Dubitz's chronic pain to have reduced her homemaking capacity. I also consider it appropriate to value that loss as the loss of a valuable capital asset rather than as the loss of an amenity. Considering the various factors I have identified, I consider an award of $20,000 to reasonably reflect Ms. Dubitz's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Causation having been established, Mr. Knoebel agrees that Ms. Dubitz be awarded special expenses of $6,160.72</w:t>
      </w:r>
      <w:bookmarkStart w:id="18"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In summary, I award Ms. Dubitz the following:</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$185,000;</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 $87,000;</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 $700,000;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$50,000;</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 $20,000;</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expenses - $6,160.72.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My award totals $1,048,160.72.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Unless there are issues relating to offers to settle, I award Ms. Dubitz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 thank counsel for their able assistance and wish Ms. Dubitz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MARCHAND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41" style="position:absolute;z-index:25176268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9"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9"/>
      <w:r>
        <w:rPr>
          <w:rFonts w:ascii="arial" w:eastAsia="arial" w:hAnsi="arial" w:cs="arial"/>
          <w:sz w:val="20"/>
          <w:lang w:val="en-US" w:eastAsia="en-US" w:bidi="ar-SA"/>
        </w:rPr>
        <w:tab/>
      </w:r>
      <w:r>
        <w:rPr>
          <w:rFonts w:ascii="arial" w:eastAsia="arial" w:hAnsi="arial" w:cs="arial"/>
          <w:color w:val="6D6E71"/>
          <w:sz w:val="18"/>
          <w:lang w:val="en-US" w:eastAsia="en-US" w:bidi="ar-SA"/>
        </w:rPr>
        <w:t>I assume that Ms. Dubitz's statutory vacation pay would make up for any vacation days taken by Ms. Dubitz.</w:t>
      </w:r>
    </w:p>
    <w:p>
      <w:pPr>
        <w:spacing w:before="120" w:after="20" w:line="240" w:lineRule="atLeast"/>
        <w:ind w:left="720" w:hanging="360"/>
        <w:jc w:val="both"/>
        <w:rPr>
          <w:rFonts w:ascii="arial" w:eastAsia="arial" w:hAnsi="arial" w:cs="arial"/>
          <w:sz w:val="20"/>
          <w:lang w:val="en-US" w:eastAsia="en-US" w:bidi="ar-SA"/>
        </w:rPr>
      </w:pPr>
      <w:bookmarkStart w:id="20"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0"/>
      <w:r>
        <w:rPr>
          <w:rFonts w:ascii="arial" w:eastAsia="arial" w:hAnsi="arial" w:cs="arial"/>
          <w:sz w:val="20"/>
          <w:lang w:val="en-US" w:eastAsia="en-US" w:bidi="ar-SA"/>
        </w:rPr>
        <w:tab/>
      </w:r>
      <w:r>
        <w:rPr>
          <w:rFonts w:ascii="arial" w:eastAsia="arial" w:hAnsi="arial" w:cs="arial"/>
          <w:color w:val="6D6E71"/>
          <w:sz w:val="18"/>
          <w:lang w:val="en-US" w:eastAsia="en-US" w:bidi="ar-SA"/>
        </w:rPr>
        <w:t>58 x $26,361 x 0.775 = $1,184,926.95</w:t>
      </w:r>
    </w:p>
    <w:p>
      <w:pPr>
        <w:spacing w:before="120" w:after="20" w:line="240" w:lineRule="atLeast"/>
        <w:ind w:left="720" w:hanging="360"/>
        <w:jc w:val="both"/>
        <w:rPr>
          <w:rFonts w:ascii="arial" w:eastAsia="arial" w:hAnsi="arial" w:cs="arial"/>
          <w:sz w:val="20"/>
          <w:lang w:val="en-US" w:eastAsia="en-US" w:bidi="ar-SA"/>
        </w:rPr>
      </w:pPr>
      <w:bookmarkStart w:id="21"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1"/>
      <w:r>
        <w:rPr>
          <w:rFonts w:ascii="arial" w:eastAsia="arial" w:hAnsi="arial" w:cs="arial"/>
          <w:sz w:val="20"/>
          <w:lang w:val="en-US" w:eastAsia="en-US" w:bidi="ar-SA"/>
        </w:rPr>
        <w:tab/>
      </w:r>
      <w:r>
        <w:rPr>
          <w:rFonts w:ascii="arial" w:eastAsia="arial" w:hAnsi="arial" w:cs="arial"/>
          <w:color w:val="6D6E71"/>
          <w:sz w:val="18"/>
          <w:lang w:val="en-US" w:eastAsia="en-US" w:bidi="ar-SA"/>
        </w:rPr>
        <w:t>58 x $26,361 x 0.80 = $1,223,150.40</w:t>
      </w:r>
    </w:p>
    <w:p>
      <w:pPr>
        <w:spacing w:before="120" w:after="20" w:line="240" w:lineRule="atLeast"/>
        <w:ind w:left="720" w:hanging="360"/>
        <w:jc w:val="both"/>
        <w:rPr>
          <w:rFonts w:ascii="arial" w:eastAsia="arial" w:hAnsi="arial" w:cs="arial"/>
          <w:sz w:val="20"/>
          <w:lang w:val="en-US" w:eastAsia="en-US" w:bidi="ar-SA"/>
        </w:rPr>
      </w:pPr>
      <w:bookmarkStart w:id="22"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2"/>
      <w:r>
        <w:rPr>
          <w:rFonts w:ascii="arial" w:eastAsia="arial" w:hAnsi="arial" w:cs="arial"/>
          <w:sz w:val="20"/>
          <w:lang w:val="en-US" w:eastAsia="en-US" w:bidi="ar-SA"/>
        </w:rPr>
        <w:tab/>
      </w:r>
      <w:r>
        <w:rPr>
          <w:rFonts w:ascii="arial" w:eastAsia="arial" w:hAnsi="arial" w:cs="arial"/>
          <w:color w:val="6D6E71"/>
          <w:sz w:val="18"/>
          <w:lang w:val="en-US" w:eastAsia="en-US" w:bidi="ar-SA"/>
        </w:rPr>
        <w:t>75 x $26,361 x 0.775 = $1,532,233.12</w:t>
      </w:r>
    </w:p>
    <w:p>
      <w:pPr>
        <w:spacing w:before="120" w:after="20" w:line="240" w:lineRule="atLeast"/>
        <w:ind w:left="720" w:hanging="360"/>
        <w:jc w:val="both"/>
        <w:rPr>
          <w:rFonts w:ascii="arial" w:eastAsia="arial" w:hAnsi="arial" w:cs="arial"/>
          <w:sz w:val="20"/>
          <w:lang w:val="en-US" w:eastAsia="en-US" w:bidi="ar-SA"/>
        </w:rPr>
      </w:pPr>
      <w:bookmarkStart w:id="23"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3"/>
      <w:r>
        <w:rPr>
          <w:rFonts w:ascii="arial" w:eastAsia="arial" w:hAnsi="arial" w:cs="arial"/>
          <w:sz w:val="20"/>
          <w:lang w:val="en-US" w:eastAsia="en-US" w:bidi="ar-SA"/>
        </w:rPr>
        <w:tab/>
      </w:r>
      <w:r>
        <w:rPr>
          <w:rFonts w:ascii="arial" w:eastAsia="arial" w:hAnsi="arial" w:cs="arial"/>
          <w:color w:val="6D6E71"/>
          <w:sz w:val="18"/>
          <w:lang w:val="en-US" w:eastAsia="en-US" w:bidi="ar-SA"/>
        </w:rPr>
        <w:t>75 x $26,361 x 0.80 = $1,581,660</w:t>
      </w:r>
    </w:p>
    <w:p>
      <w:pPr>
        <w:spacing w:before="120" w:after="20" w:line="240" w:lineRule="atLeast"/>
        <w:ind w:left="720" w:hanging="360"/>
        <w:jc w:val="both"/>
        <w:rPr>
          <w:rFonts w:ascii="arial" w:eastAsia="arial" w:hAnsi="arial" w:cs="arial"/>
          <w:sz w:val="20"/>
          <w:lang w:val="en-US" w:eastAsia="en-US" w:bidi="ar-SA"/>
        </w:rPr>
      </w:pPr>
      <w:bookmarkStart w:id="24"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4"/>
      <w:r>
        <w:rPr>
          <w:rFonts w:ascii="arial" w:eastAsia="arial" w:hAnsi="arial" w:cs="arial"/>
          <w:sz w:val="20"/>
          <w:lang w:val="en-US" w:eastAsia="en-US" w:bidi="ar-SA"/>
        </w:rPr>
        <w:tab/>
      </w:r>
      <w:r>
        <w:rPr>
          <w:rFonts w:ascii="arial" w:eastAsia="arial" w:hAnsi="arial" w:cs="arial"/>
          <w:color w:val="6D6E71"/>
          <w:sz w:val="18"/>
          <w:lang w:val="en-US" w:eastAsia="en-US" w:bidi="ar-SA"/>
        </w:rPr>
        <w:t>$1,184,926.40 x 0.50 = $592,463.20</w:t>
      </w:r>
    </w:p>
    <w:p>
      <w:pPr>
        <w:spacing w:before="120" w:after="20" w:line="240" w:lineRule="atLeast"/>
        <w:ind w:left="720" w:hanging="360"/>
        <w:jc w:val="both"/>
        <w:rPr>
          <w:rFonts w:ascii="arial" w:eastAsia="arial" w:hAnsi="arial" w:cs="arial"/>
          <w:sz w:val="20"/>
          <w:lang w:val="en-US" w:eastAsia="en-US" w:bidi="ar-SA"/>
        </w:rPr>
      </w:pPr>
      <w:bookmarkStart w:id="25"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5"/>
      <w:r>
        <w:rPr>
          <w:rFonts w:ascii="arial" w:eastAsia="arial" w:hAnsi="arial" w:cs="arial"/>
          <w:sz w:val="20"/>
          <w:lang w:val="en-US" w:eastAsia="en-US" w:bidi="ar-SA"/>
        </w:rPr>
        <w:tab/>
      </w:r>
      <w:r>
        <w:rPr>
          <w:rFonts w:ascii="arial" w:eastAsia="arial" w:hAnsi="arial" w:cs="arial"/>
          <w:color w:val="6D6E71"/>
          <w:sz w:val="18"/>
          <w:lang w:val="en-US" w:eastAsia="en-US" w:bidi="ar-SA"/>
        </w:rPr>
        <w:t>$1,184,926.40 x 0.60 = $710,955.84</w:t>
      </w:r>
    </w:p>
    <w:p>
      <w:pPr>
        <w:spacing w:before="120" w:after="20" w:line="240" w:lineRule="atLeast"/>
        <w:ind w:left="720" w:hanging="360"/>
        <w:jc w:val="both"/>
        <w:rPr>
          <w:rFonts w:ascii="arial" w:eastAsia="arial" w:hAnsi="arial" w:cs="arial"/>
          <w:sz w:val="20"/>
          <w:lang w:val="en-US" w:eastAsia="en-US" w:bidi="ar-SA"/>
        </w:rPr>
      </w:pPr>
      <w:bookmarkStart w:id="26"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6"/>
      <w:r>
        <w:rPr>
          <w:rFonts w:ascii="arial" w:eastAsia="arial" w:hAnsi="arial" w:cs="arial"/>
          <w:sz w:val="20"/>
          <w:lang w:val="en-US" w:eastAsia="en-US" w:bidi="ar-SA"/>
        </w:rPr>
        <w:tab/>
      </w:r>
      <w:r>
        <w:rPr>
          <w:rFonts w:ascii="arial" w:eastAsia="arial" w:hAnsi="arial" w:cs="arial"/>
          <w:color w:val="6D6E71"/>
          <w:sz w:val="18"/>
          <w:lang w:val="en-US" w:eastAsia="en-US" w:bidi="ar-SA"/>
        </w:rPr>
        <w:t>$1,223,150.40 x 0.50 = $611,575.20</w:t>
      </w:r>
    </w:p>
    <w:p>
      <w:pPr>
        <w:spacing w:before="120" w:after="20" w:line="240" w:lineRule="atLeast"/>
        <w:ind w:left="720" w:hanging="360"/>
        <w:jc w:val="both"/>
        <w:rPr>
          <w:rFonts w:ascii="arial" w:eastAsia="arial" w:hAnsi="arial" w:cs="arial"/>
          <w:sz w:val="20"/>
          <w:lang w:val="en-US" w:eastAsia="en-US" w:bidi="ar-SA"/>
        </w:rPr>
      </w:pPr>
      <w:bookmarkStart w:id="27"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27"/>
      <w:r>
        <w:rPr>
          <w:rFonts w:ascii="arial" w:eastAsia="arial" w:hAnsi="arial" w:cs="arial"/>
          <w:sz w:val="20"/>
          <w:lang w:val="en-US" w:eastAsia="en-US" w:bidi="ar-SA"/>
        </w:rPr>
        <w:tab/>
      </w:r>
      <w:r>
        <w:rPr>
          <w:rFonts w:ascii="arial" w:eastAsia="arial" w:hAnsi="arial" w:cs="arial"/>
          <w:color w:val="6D6E71"/>
          <w:sz w:val="18"/>
          <w:lang w:val="en-US" w:eastAsia="en-US" w:bidi="ar-SA"/>
        </w:rPr>
        <w:t>$1,223,150.40 x 0.60 = $733,890.24</w:t>
      </w:r>
    </w:p>
    <w:p>
      <w:pPr>
        <w:spacing w:before="120" w:after="20" w:line="240" w:lineRule="atLeast"/>
        <w:ind w:left="720" w:hanging="360"/>
        <w:jc w:val="both"/>
        <w:rPr>
          <w:rFonts w:ascii="arial" w:eastAsia="arial" w:hAnsi="arial" w:cs="arial"/>
          <w:sz w:val="20"/>
          <w:lang w:val="en-US" w:eastAsia="en-US" w:bidi="ar-SA"/>
        </w:rPr>
      </w:pPr>
      <w:bookmarkStart w:id="28"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28"/>
      <w:r>
        <w:rPr>
          <w:rFonts w:ascii="arial" w:eastAsia="arial" w:hAnsi="arial" w:cs="arial"/>
          <w:sz w:val="20"/>
          <w:lang w:val="en-US" w:eastAsia="en-US" w:bidi="ar-SA"/>
        </w:rPr>
        <w:tab/>
      </w:r>
      <w:r>
        <w:rPr>
          <w:rFonts w:ascii="arial" w:eastAsia="arial" w:hAnsi="arial" w:cs="arial"/>
          <w:color w:val="6D6E71"/>
          <w:sz w:val="18"/>
          <w:lang w:val="en-US" w:eastAsia="en-US" w:bidi="ar-SA"/>
        </w:rPr>
        <w:t>$6,168.75 as claimed, less $8.03 for one propranolol prescription refill.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108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Gadsby v. Khan, [2003] B.C.J. No. 2582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4 - 8, 12, 18 - 22, 25 - 29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2 - 5,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C985463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1697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715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Gadsby, plaintiff, and Shirley Khan carrying on business at Carr-Harris &amp; Company and the said Carr-Harris &amp;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jc w:val="both"/>
        <w:rPr>
          <w:rFonts w:ascii="arial" w:eastAsia="arial" w:hAnsi="arial" w:cs="arial"/>
          <w:sz w:val="20"/>
          <w:lang w:val="en-US" w:eastAsia="en-US" w:bidi="ar-SA"/>
        </w:rPr>
      </w:pPr>
      <w:bookmarkStart w:id="29" w:name="Counsel_2"/>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 Taylor, for the plaintiff. J.C. Grauer and E.J.A. Stanger,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2"/>
      <w:bookmarkEnd w:id="30"/>
      <w:r>
        <w:pict>
          <v:line id="_x0000_s1044" style="position:absolute;z-index:251712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GILL J."/>
            <w:bookmarkEnd w:id="31"/>
            <w:r>
              <w:rPr>
                <w:rFonts w:ascii="arial" w:eastAsia="arial" w:hAnsi="arial" w:cs="arial"/>
                <w:b/>
                <w:color w:val="000000"/>
                <w:sz w:val="30"/>
                <w:lang w:val="en-US" w:eastAsia="en-US" w:bidi="ar-SA"/>
              </w:rPr>
              <w:t>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Joan Gadsby, sues her former counsel, Ms. Khan, and the law firm of Carr-Harris &amp; Company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Ms. Khan acted for Ms. Gadsby in an action against Ms. Gadsby's family physician, Dr. MacGillivray. That action went to trial commencing February 24, 1997. Ms. Gadsby's claim was dismissed by Clancy J. on June 30, 1997, </w:t>
      </w:r>
      <w:hyperlink r:id="rId152" w:history="1">
        <w:r>
          <w:rPr>
            <w:rFonts w:ascii="arial" w:eastAsia="arial" w:hAnsi="arial" w:cs="arial"/>
            <w:i/>
            <w:color w:val="0077CC"/>
            <w:sz w:val="20"/>
            <w:u w:val="single"/>
            <w:shd w:val="clear" w:color="auto" w:fill="FFFFFF"/>
            <w:lang w:val="en-US" w:eastAsia="en-US" w:bidi="ar-SA"/>
          </w:rPr>
          <w:t>[1997] B.C.J. No. 1564</w:t>
        </w:r>
      </w:hyperlink>
      <w:r>
        <w:rPr>
          <w:rFonts w:ascii="arial" w:eastAsia="arial" w:hAnsi="arial" w:cs="arial"/>
          <w:color w:val="000000"/>
          <w:sz w:val="20"/>
          <w:lang w:val="en-US" w:eastAsia="en-US" w:bidi="ar-SA"/>
        </w:rPr>
        <w:t>. It is Ms. Gadsby's position that the adverse liability findings were the result of Ms. Khan's failure to place important evidence before the court, the most significant being evidence that Dr. MacGillivray's treatment fell below the requisite standard of care and evidence as to causation. It is alleged in the statement of claim that Ms. Khan failed to take adequate steps to ensure that the proper expert medical reports and financial reports were available, that she failed to properly brief witnesses in preparation for trial and that she failed to advise the plaintiff of the difficulties she faced in preparing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will begin by referring to the findings of Clancy J. and certain of the evidence before him. I will then refer to Ms. Khan's preparation for trial and the new evidence presented in these proceedings and its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 BEFORE CLANCY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Gadsby was Dr. MacGillivray's patient from 1964 to 1990. For approximately 18 years, he prescribed benzodiazepines for her. In 1990, she voluntarily ceased using these drugs and went through a difficult period of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1992, apparently at the recommendation of her disability insurer, Ms. Gadsby underwent psychological testing. It revealed a cognitive deficit. There was improvement as a result of an intense cognitive retraining program, but she remains impaired. In her action against Dr. MacGillivray, she alleged that this deficit was due to the ingestion of benzodiazepines over an excessively long period of time and was the reason why she had not been able to return to her regular employment, thereby resulting in a sizeable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important factual issue at trial was whether Ms. Gadsby suffered from cognitive impairment, altered mood and emotional distress. While Clancy J. was satisfied that she suffered from a diminished level of cognitive functioning, he found that she had failed to show that the use of benzodiazepines had caused or contributed to the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Clancy J. described the possible contributing causes as being a pre-existing and underlying mood disorder or a condition falling short of a diagnosis of mood disorder, the excessive consumption of alcohol and the long term consumption of benzodiazepines. He reviewed the evidence on this issue, including that of Dr. Schmidt, Dr. Beyerstein and Dr. Wild, three psychologists who had testified on behalf of the plaintiff. He also referred to the evidence of a number of other medical witnesses, including several psychiatrists. He then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foregoing summary does not include all of the medical evidence but serves to illustrate the thrust of that evidence. Given the early concerns of Dr. Hirt and Dr. Richardson, the treatment of Ms. Gadsby by Dr. MacGillivray for chronic anxiety, the well documented excessive use of alcohol by Ms. Gadsby and the psychiatric evidence as to the mood disorder or cyclothymic personality from which Ms. Gadsby suffers I conclude that she has failed to show on a balance of probabilities that the long-term ingestion of benzodiazepines is the cause of whatever cognitive deficits she may have. The medical evidence does not support that conclusion. Given her history I find it far more likely that the interplay between her personality problems and her excessive use of alcohol have caused the psychological deficits from which she suffers today.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conclude as well that Ms. Gadsby suffered short-term withdrawal symptoms which were undoubtedly the result of discontinuing the use of benzodiazepines. The extent and severity of her symptoms are contested and I find, on the evidence, that it is highly unlikely that the discontinuance of benzodiazepines would cause withdrawal symptoms for a period in excess of one year and more likely the period would be for a period of six months or less. There was, as well, a further major contributing cause of withdrawal symptoms: Ms. Gadsby's discontinuance of the use of alcohol. Yet a further contributing factor to the exacerbation of withdrawal symptoms was in all likelihood, the re-emergence of the symptoms of chronic anxiety previously controlled by the use of benzodiazepines. Those conclusions are not contradicted by Ms. Gadsby's evidence that today she feels wonderful. Her sense of well being is entirely consistent with her altered lifestyle. She now exercises regularly, eats a healthy diet, has had the support of Alcoholics Anonymous and the benefit of counselling from Dr. Wild and Dr. Moore-Stewart.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Clancy J. also considered whether Dr. MacGillivray was negligent in prescribing benzodiazepines over the period in question, as liability was relevant because of the causative link between the taking of benzodiazepines and episodes of bizarre and embarrassing behaviour and the emotional distress Ms. Gadsby suffered during her withdrawal period. He concluded that Ms. Gadsby had not established that Dr. MacGillivray's conduct was negligent. He was satisfied that on the basis of the available knowledge, Dr. MacGillivray had "exercised clinical judgment appropriately in prescribing benzodiazepines initially and in continuing their prescription throughout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his discussion of liability, Clancy J. referred to the expert medical evidence, including the evidence of Dr. Wright and Dr. Watt, who testified for the plaintiff. Dr. Watt's brief report of November 27, 1996 was also in evidence. It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1950 I graduated from University of Toronto with an M.D. and did two years post-grad training in their General Practitioner's course and then came to B.C. where I practised as a family physician for the next eleven years in small Mission Hospitals in Queen Charlotte City and in Bella Coola, with The United Church of Canada. In 1964 I was appointed Supt. of Med. Work for the Church, in Canada. For the next 26 years I supervised our Hospital work and filled in as a family physician as a Locum relief for holiday times and post-grad absences of our staff physicians. We averaged approximately 6 hospitals with approx. 15 full time staff physicians.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1990 I retired from the practice of Medicine.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1959 I have been an active member of the College of Family Physicians of Canada. In order to maintain membership in this College one must maintain an average of 50 hrs a year of post-grad studies at a teaching facility. I was able to do so. This usually meant taking two 3 day courses a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least annually at one of these courses, guest faculty would include a Clinical Pharmacologist cautioning about the new drugs and warming about abuse of the older drugs. In the '60s it would be the barbitals and amphetamines and codeine &amp; the appearances of the psycho-active drugs which by the early '70s were appearing to be addictive. Through the '70s and into the '80s as more new benzodiazepines appeared we were increasingly warned that long term use of these drugs was not in the best interest of the patient in view of their addictive qualities for many of the users.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sources of this knowledge were readily available for any physician who read the medical journals of the day or who availed themselves of the many post-grad courses put on by the teaching centres. These courses were readily available to anyone practising in the lower mainland especially.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of the problem lay in the fact that Librium and other early drugs of their type were very helpful in dealing with alcoholics in the inebriated state and during withdrawl symptoms. Once over the acute phase the alcoholic found it hard to drop dependence on a drug that brought 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benzodiazepines were useful drugs for short term use but were not in the patient's best interest when used repeatedly or continuously over time - because of their addictive qualities, which could be severe.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retired I cleaned out my files and don't have any records that would be useful for earlier times. I do have the enclosed which was published in the Canad. Med. Journal July 15th/98. Please return after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not apparent from the report, Dr. Watt had not reviewed Dr. MacGillivray's clinical records and could not specifically comment on whether long term use was appropriate for Ms. Gadsby. Ms. Khan testified that this was not of concern to her as in their discussions, Dr. Watt said that he could not think of a reason why any general practitioner would prescribe for the long term in the 1970s or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Watt was extensively cross-examined. He agreed with defence counsel that there were other family physicians who prescribed benzodiazepines on a long term basis and that there was at least a small body of professional opinion that in some circumstances, long term use was appropriate. He also agreed that if a psychiatrist thought it appropriate for a patient to use benzodiazepines on a long term basis, a general practitioner would be expected to "go along with what the consultant had recommended unless he had reason to think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Wright was called as a rebuttal witness. As to how that came about, Dr. Wright had prepared a report dated December 10, 1996, which was served pursuant to Rule 40A. Dr. Wright's report responded to questions set out in Ms. Khan's letter of November 20, 1996, including questions as to the appropriateness of Dr. MacGillivray having prescribed benzodiazepines for many years and the existing knowledge of the effects of long term use. To assist, she had also forwarded a schedule delineating the drugs which had been prescribed. Dr. Wright responded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reviewing Mrs. Gadsby's prescriptions in the 1970s and 1980s it is clear that the dose of the different Benzodiazepines used was within the recommended daily doses at that time. These doses would have been considered appropriate for short-term therapy for anxiety or for short-term therapy for sleep disorder. The main question in this case therefore is the duration of therapy and the rationale for switching from one benzodiazepine to another over the years. It was known at that time that long-term use leads to tolerance to the medication and potential psychological dependence. It is important to know how the continued use of these drugs over this long period of time was substantiated.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what is known today again the doses are appropriate, but again the main question would be the value of and safety of the long-term prescribing. We are better aware today of the dangers of these drugs in increasing the risk of motor vehicle accidents or falls, particularly in the elderly.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1970s and 1980s the family doctor would have been aware of the long-term risks of cognitive impairment and of tolerance and dependence. The physician would also have been aware of the risk of over-dose, particularly since there were repeated drug over-dose experiences during that time, which might have been prevented by not having the drugs available to 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I can tell the doses taken when calculated over the intervals between prescriptions does not exceed the maximum daily dose according to the DUR specifications for patients under the age of sixty-five.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Khan testified that she later concluded that Dr. Wright's evidence that dosages were appropriate was harmful and decided not to tender his report. However, Ms. Gadsby insisted that his evidence was important. Therefore, a second report was sought, but not until after the trial commenced. It was not admitted into evidence, but Dr. Wright gave oral evidence. He testified that at the time in question, benzodiazepines were recommended for short term use, meaning two to four weeks, and he described the potential risks and effects of long term therapy. Significantly, his cross-examination by Dr. MacGillivray's counsel concluded with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Doctor, and can we agree that in some cases, and as you've said, it's in the minority of cases, but in some cases long-term therapy is called for?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 cases,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was the case with Dr. Watt, Dr. Wright had not been provided with the plaintiff's clinical records. Dr. Wright did not offer the opinion that Ms. Gadsby's impairment had been caused by the consumption of benzodiazepines.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Returning to the reasons of Clancy J., as stated, he rejected the argument that Dr. MacGillivray had breached the standard of care by prescribing benzodiazepines for long term use. It was his conclusion that there was "clearly a body of medical practitioners who believe that benzodiazepines may be used in the long-term". He addressed the evidence of Dr. Wright and Dr. Watt in his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 some qualified support for the suggestion that benzodiazepines should be prescribed in the short-term only. Dr. James Wright testified that when prescribing benzodiazepines a physician should explain the problems with long-term use and why it is important to discontinue them. He felt that the risk of long-term use usually outweighs the benefits. On cross-examination he conceded that prescription for long-term use involved clinical judgment and that there are cases where long-term therapy is appropriate.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principal witness for the plaintiff in this area was Dr. John Watt who, on the basis of the literature he had read and lectures he had attended, testified that benzodiazepines are for short-term use and for a specific purpose. To use them for a long time is not a good policy. He agreed that he had not practiced in a large urban setting. He was not aware that there was a body of physicians who believe that the use of benzodiazepines over a long period are an appropriate treatment for chronic anxiety. He did not believe that there was a split in the profession and felt that the majority opinion was represented by his views although some specialists might think careful long-term use is appropriate. He finally conceded that some reputable general practitioners prescribed the use of benzodiazepines in the long term in the 1970's and 1980's although he could not say how large a percentage of the profession that group of physicians constituted.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no doubt that Dr. Watt is a conscientious and competent physician but it was clear from his evidence that his knowledge of prescribing practices for benzodiazepines was limited. I prefer the evidence of Dr. Pankratz, Dr. Dwyer and Dr. Farrall. Dr. Pankratz confirmed that the long-term use of benzodiazepines to treat chronic anxiety was appropriate. He said that it was important to bring anxiety under control before discontinuing their use. Dr. Farrall expressed the view that a doctor should assess the situation to determine whether continued use of benzodiazepines was appropriate. In other words a doctor was expected to use clinical judgment. Dr. Dwyer was more specific and gave the opinion that it is, "common practice for prescribing physicians to continue long-term use of Benzodiazepines for that sub-group population with chronic anxiety, depression, insomnia."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way of explanation, Drs. Farrall, Dwyer and Pankratz were defence witnesses. Dr. Farrall's opinion was that Dr. MacGillivray gave Ms. Gadsby appropriate medical care. He had been in general practice since 1968. Dr. Dwyer was in full time family and general practice in Vancouver and had been a Clinical Assistant Professor in the Department of Family Practice at the University of British Columbia since 1986. He commented on the standard of care as well as Ms. Gadsby's continuing psychological problems. Dr. Pankratz was one of several psychiatrists who had treated Ms. Gadsby during the years in question. He had been subpoenaed to testify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KHAN'S PREPARATION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turn next to Ms. Khan's representation of Ms. Gadsby, with emphasis on the steps taken to obtain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Gadsby's action against Dr. MacGillivray was commenced in May, 1992. Ms. Harper, who practised in Victoria, drafted the pleadings for Ms. Gadsby but did not wish to act on a contingency basis. For a time, Ms. Gadsby acted on her own behalf. In 1995, Russ Stanton became her counsel. By that point, the trial date had twice been adjourned. It was reset for 15 days commencing February 24, 1997. On October 31, 1996, less than four months before trial, Mr. Stanton advised Ms. Gadsby that he could not continue to act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Ms. Gadsby and Ms. Khan met for the first time on November 5, 1996. It was Ms. Gadsby's evidence that she understood that Ms. Khan was associated with the law firm of Carr-Harris &amp; Company and had experience with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Ms. Khan was also willing to act on a contingency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Khan began working on the matter almost immediately, although she did not have Ms. Gadsby's file and did not obtain it from Mr. Stanton until December 6, 1996. However, Ms. Gadsby was by then very knowledgeable regarding the use of benzodiazepines. She provided Ms. Khan with copies of medical literature, and was able to give Ms. Khan a list of possible expert witnesses. That list included Dr. Watt and Dr. Wright, as well as Dr. Hunter, a family practitioner with an interest in addiction medicine and Dr. Beyerstein, who had a doctorate in biological pharmacology, a discipline that studies the anatomy and physiology of the brain in relation to consciousness and behaviour. At the time Ms. Khan was retained, only one expert report had actually been obtained. That was from Dr. Schmidt, a neuropsychologist, who expressed opinions about the cause of the cognitive impairment he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Gadsby had been treated by a number of professionals over the years. Dr. Moore replaced Dr. MacGillivray as Ms. Gadsby's family physician in 1990. She had referred Ms. Gadsby to a psychiatrist, Dr. Parkinson, who saw her for a number of years commencing in May, 1991. Dr. Wild, a registered psychologist, had been involved with the plaintiff since the spring of 1993. Ms. Gadsby undertook cognitive retraining with Dr. Wild and when that was concluded, continued to see Dr. Wild. This information was given to Ms. Khan.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obvious difficulty facing Ms. Khan was the approaching trial date and the lack of expert evidence. The pre-trial management judge had directed that expert reports be delivered by December 10, 1996, although counsel later agreed to extend this deadline by three days. Thus, given the nature of the task, time was very, very short. Ms. Khan testified that her first reaction was that there was simply too much to do and she suggested to Ms. Gadsby that the trial be adjourned. Ms. Gadsby disputes that assertion, but agrees that her belief was that the matter could be prepared in time as she had the names of suitable and ready expert witnesses. Whether or not there was any discussion of an adjournment in the early days of Ms. Khan's involvement, Ms. Khan agreed that she did not bring up the topic again and there was no discussion of an adjournment when it became known what expert evidence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Returning to Ms. Khan's preparation, she immediately began familiarizing herself with the medical literature. She then began contacting potential expert witnesses and those who had been involved with Ms. Gadsby's care. By December 13, she had reports from Dr. Watt, Dr. Wright, Dr. Hunter, Dr. Beyerstein, Dr. Moore, Dr. Wild and Dr. Parkinson. On that date, these reports, together with the report of Dr. Schmidt and a report prepared by Dr. Klonoff in December, 1992, were served on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Reference has already been made to the reports of Drs. Watt and Wright. The report of Dr. Hunter also addressed the standard of care. Dr. Hunter is a family physician with a special interest in addiction medicine, who practised in Ladner. As with Dr. Wright, Ms. Khan asked Dr. Hunter for comments on a series of questions, including the effect of Ms. Gadsby's consumption of benzodiazepines when combined with large amounts of alcohol. As will be referred to later in these reasons, the use of alcohol by Ms. Gadsby was an issue at the earlier trial and necessarily a matter that had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Hunter was also asked to comment on the long term use of and withdrawal from benzodiazepines. His opinion was that long term use is indicated only in very highly specialized situations and should be managed by specialized physicians. He stated that it was now generally regarded that to prescribe benzodiazepines for longer than three weeks was inappropriate unless there was a good and highly specialized reason. His report did not state what that reason might be. It is not entirely clear from his report whether Dr. Hunter was addressing only present views and present standards, but that would seem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reports of Dr. Schmidt and Dr. Beyerstein addressed the issue of causation. I will refer further to their opinions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the commencement of trial, Ms. Khan determined that she would not rely upon certain of the reports which had been prepared. What occurred in respect of Dr. Wright has already been described. She testified that the report of Dr. Hunter was not placed into evidence because of her belief that his experience was quite different than that of Dr. MacGillivray and therefore his report would not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Moore gave evidence at trial, but her report was not tendered. I agree with Ms. Khan's view that she was not qualified to give evidence as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of Dr. Parkinson was taken by way of deposition and Ms. Khan omitted to enter his report as an exhibit. However, the contents of his report were substantially covered by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Khan's decisions about reliance on the various expert opinions has been called into question for various reasons. While it was argued that her decision not to rely on four of the reports that she had requisitioned and delivered drastically diminished the strength of Ms. Gadsby's case, I do not agree with that proposition, and in fact, the thrust of submissions on behalf of the plaintiff in the present action relates to what was missing from any of the reports. I therefore do not consider it necessary to further consider the decision not to rely on certain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argued that in order to succeed, Ms. Gadsby required a medical opinion to the effect that no reasonable family physician would have prescribed benzodiazepines to her for 18 years. That opinion had to address Ms. Gadsby's particular circumstances and no physician could have done so without reference to her clinical records. It is further argued that witnesses were available to testify on Ms. Gadsby's behalf that there was no legitimate second school of thought regarding long term use when Ms. Gadsby's particular circumstances were understood. On the issue of causation, it is argued that there was available evidence to challenge the diagnosis made by Dr. MacGillivray of a chronic anxiety disorder and to deal with the question of whether consumption of alcohol was a contributing cause. Ms. Gadsby's position in the present case is that Ms. Khan ought to have understood what was required and that the reports which were obtained were insufficient. Such evidence was available and if time was too short, Ms. Khan should have counselled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consists of the reports and testimony of Dr. Wright and Dr. Thorsteinson.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Thorsteinson is a family physician and was asked to provide his opinion with regard to the standard of medical practice in the period 1973 to 1990 and the minimum standard of care that might be expected of a family physician during this time with regard to the care provided by Dr. MacGillivray to Ms. Gadsby. Dr. Thorsteinson practised as a family physician in Winnipeg commencing in 1975 and also taught family practice residents until his departure in December, 1991. He was president of the B.C. College of Family Physicians for two years in the mid-1990s. In his report of March 14, 2002, he referred to aspects of the care provided by Dr. MacGillivray which gave him concern. These included the extensive use of sedative medications, years of concurrent use of two drugs of the same class, no reference in the clinical records to communications to Ms. Gadsby about risks or risk/benefit considerations, continued prescription of benzodiazepines despite several overdoses and outbursts causing adverse legal and social consequences for Ms. Gadsby, Ms. Gadsby's use of alcohol and what he described as the puzzling diagnosis of fatigue state. Dr. Thorsteinson's report includes the following comments on long term use of benzodiazepines: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the circumstances within which long-term (up to 20+ years) use of benzodiazepines might be justified, it is my opinion that such long-term use of benzodiazepines should only be considered in the case of an established diagnosis of chronic anxiety. (As noted above, the main, recurring diagnosis was "Fatigue State NYD", interspersed with other terms including "Depressive Reaction", and "Anxiety Rx" or "(Chronic) Anxiety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within the situation of established chronic anxiety, continued use should be in the context of a comprehensive assessment and treatment plan, including psychiatric referral and in which the use of the drug alone is not a sufficient response. The psychiatric colleague should actively guide, if they supported long term use, continued use of this extent, so far beyond the recommended pattern of use for benzodiazepines and in the face of a lack of proven efficacy on the part of benzodiazepines for chronic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Overdose is a major 'red flag'. Continued use should certainly be most guarded, and in the context of joint management with a psychiatric colleague. Further overdoses only emphasize the risk of continued use of the drug and its 'failure' as a therapeutic modality and an indication that the continued use is itself a hazard. This said, reliance on using more than one similar drug in such a context is even more fraught with difficulties. Habituation, even addiction to benzodiazepines has long been recognised. The risks of use in the context of concurrent alcohol use have been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Thorsteinson also commented that it is problematic to make almost any definitive psychiatric diagnosis in the face of concurrent psychoactive drug use, including drugs such as alcohol and benzodiazepines.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Wright is a clinical pharmacologist and internist and also has a Ph.D. in Pharmacology. He testified that in the 1970s and 1980s, 75 percent of his time was spent practising general internal medicine. The balance was spent teaching, which he has done since 1977. It was his evidence that the same standards applied to him as applied to general practitioners and that his teaching has been to the standard of a primary or general care physician. Based on that evidence, he was permitted to testify about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Dr. Wright's view, Dr. MacGillivray breached medical standards in a number of ways, including:</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not recognizing that Ms. Gadsby's inappropriate behaviour could be entirely explained by long term use of benzodiazepines, either alone or in combination with alcohol;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continuing to prescribe benzodiazepines when he was aware that Ms. Gadsby was using alcohol;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prescribing two benzodiazepines (a daytime tranquillizer and night time sleeping) at the same time;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continuing to prescribe benzodiazepines after she had overdosed on at least three occasions;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attempt to withdraw benzodiazepines at least once every year to establish whether they were contributing to Ms. Gadsby's ongoing substantial emotional and behavioural problems;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offer and provide non-drug therapies instead or in an attempt to reduce dependence of the drug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report, Dr. Wright commented on cognitive impairment and at trial, testified at some length on various studies of users of benzodiazepines. His report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known side effects of short and long-term use of benzodiazepines in the 70's and 80's were known to include cognitive impairment, paradoxical excitement including elevation of mood and rage, and withdrawal symptoms, including but not limited to anxiety and insomnia. Many of these effects including cognitive impairment, anxiety, insomnia, mood disorders and a wide range of somatic complaints persist for months to years of complete benzodiazepine abstinence. In most patients the worst withdrawal symptoms are gone within 6 months of stopping, however, in some patients some symptoms persist for 2 years and longer. Protracted cognitive impairment after benzodiazepine withdrawal is a recognized phenomenon [Tata et al. Psychological Medicine 1994;24:203-213, Ashton H. Protracted withdrawal from benzodiazepines: The post-withdrawal syndrome. Psychiatric Annals 1995;25:174-179]. The cognitive problems identified in the neuropsychological testing of Mrs. Gadsby by Klonoff, Schmidt and Wild are in keeping with the types of cognitive impairment that have been described in patients with a withdrawal syndrome after long-term benzodiazepine ingestion.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Wright also commented on long term use,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recommended duration of use of benzodiazepines when they were first introduced was for short-term therapy both for the treatment of insomnia and for anxiety. The usual maximum recommended duration was 6 weeks. These recommendations have basically not changed over the years and if anything many experts have urged shorter durations. As far as I am aware none of the benzodiazepines have a specific indication for long-term therapy. Psychiatrists will sometimes justify long-term benzodiazepine use in patients where all other treatments have been tried and are unsuccessful. In those instances the psychiatrist is balancing the benefit of improved function achieved with the benzodiazepine against the risks of long-term use. In my opinion after review of the clinical chart, Mrs. Gadsby did not meet any risk benefit criteria for long-term use nor was any risk benefit considered or substantiated in the records. In fact the evidence is just the opposite; the harms of continued benzodiazepine use in Mrs. Gadsby's case should have been very evident to Dr. MacGillivray.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Wright also gave the opinion it is not possible to distinguish general anxiety disorder from chronic anxiety induced by long term regular or intermittent benzodiazepine ingestion and it would be necessary to cease the use of these drugs for at least three to six months to establish that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Before turning to the significance of the new evidence, I will comment on the evidence of Dr. Wright and Dr. Thorsteinson about the difficulty in diagnosing psychiatric disorders when the patient is taking benzodiazepines.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is apparent from that portion of the judgment quoted above, in reaching his conclusion that Ms. Gadsby had failed to establish that the long term use of benzodiazepines in her treatment was not appropriate, Clancy J. considered the evidence of various physicians relating to Ms. Gadsby's psychiatric or emotional difficulties. He referred to Dr. MacGillivray's testimony that he treated Ms. Gadsby for chronic anxiety and other evidence that Dr. MacGillivray's records confirmed that this was the basis for his long term prescription of the drugs. Clancy J. noted that many physicians supported his diagnosis. However, he also referred to the fact that a number of physicians found that Ms. Gadsby suffered from a personality disorder which may have required a different course of treatment. His Lordship commented on this evidence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Ms. Gadsby should have been treated for a personality disorder rather than chronic anxiety, that was for the psychiatrist to decide and none did so. The evidence of Dr. Pankratz rules out that suggestion. He was of the view that benzodiazepines should have been continued even if there were mood disorders. When the mood disorder was brought under control with other medications then the benzodiazepines could be discontinued. Dr. Pankratz also indicated that it was appropriate for Dr. MacGillivray to treat Ms. Gadsby for chronic anxiety.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endorse the statement that if the plaintiff should have been treated for something else, that was for a psychiatrist to state. Further, if there is an issue about diagnosing disorders when a patient is taking benzodiazepines, one would expect to hear such evidence from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fact, there were four psychiatrists involved in Ms. Gadsby's treatment before 1990, including Dr. Pankratz. Dr. Vallance, also a psychiatrist, testified before Clancy J. as a defence witness, as he did in the present proceedings. Dr. Vallance did not agree that an accurate psychiatric diagnosis could not be made when an individual is taking benzodiazepines.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all of the circumstances, I am not prepared to conclude, based on the evidence of someone who is not a psychiatrist, that a definitive psychiatric diagnosis could not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SIGNIFICANCE OF THE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will deal, first, with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One of the topics addressed at some length in the present proceedings is whether long term use of benzodiazepines can, in fact, result in permanent or at least long term cognitive impairment. A number of studies were referred to by Dr. Wright during his evidence. Dr. Sutter, who has a Ph.D. in Pharmacology as well as a medical degree, testified in both proceedings and also referred to a number of studies. Dr. Vallance was also questioned about this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evidence of any study that has looked at users of benzodiazepines more than one year after usage ceased. In a study which looked at users one year later, the researchers noted that some individuals were still impaired. No witness testified as to any study which rules out the possibility that long term use of benzodiazepines may cause long term or permanent cognitive impairment. Thus, while it would not be expected, the medical literature referred to by the various witnesses does not rule out the possibility that for some small percentage of individuals, impairment may be long term or permanent. As I read the reasons of Clancy J., he did not base his conclusion as to causation on studies that indicated that cognitive function recovered within a year of cessation of the benzodiazepines. Rather, he based it upon a consideration of all of the evidence before him. It is therefore my view that the additional evidence on this point is of limited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issue of causation, it is necessary to address Ms. Gadsby's use of alcohol. Clancy J. described it as "excessive". He stated it was impossible to accept Ms. Gadsby's assurance that she was a moderate drinker. There is no question that there was evidence supporting his conclusions. It is nevertheless now argued that there is no evidence of a pattern of excessive consumption of alcohol such as would be required to be causative of long term cognitive impairment. That submission is based, in part, on additional evidence from Dr. Vallance.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these proceedings, Dr. Vallance testified that whether cognitive impairment will result from alcohol consumption is dose dependent. He described the pattern of drinking as excessive in amount, with periods of binge drinking. He testified that because of potentiation, the consumption of a relatively small amount of alcohol by an individual taking benzodiazepines may produce symptoms of impairment which are misleading in terms of the amount of alcohol consumed. Dr. Vallance agreed that the clinical records disclosed a few incidents of what could be described as binge drinking, but otherwise disclosed only moderate social drinking. There were also periods following certain unfortunate incidents when the plaintiff did not drink alcohol for months or years. I note, however, it remains his view that Ms. Gadsby's impairment is more likely associated with her use of alcohol, as opposed to her use of benzodiazepines, together with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argument made on Ms. Gadsby's behalf is that based on the evidence now before the court, the "correct interpretation" to be placed on the experiences of Ms. Gadsby with alcohol is that she had developed a cross-addiction to alcohol as a result of taking benzodiazepines and the conclusion that there was a pattern of alcohol consumption that could have contributed to her impairment is at least questionable. I agree that there is some evidence in support of that argument, but in my view, this is an issue which is being analyzed with the benefit of hindsight and particularly, with the benefit of having the reasons of Clancy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of significance that Clancy J. rejected the plaintiff's evidence as it related to the use of alcohol, and also rejected her evidence that she had never been informed by Dr. MacGillivray of the dangers of mixing alcohol with benzodiazepines. She testified to the same effect in the present proceedings and I would reject her evidence for the same reasons. Ms. Gadsby's description of herself as a social drinker and her denials that she consumed large quantities of alcohol are referred to in the reasons of Clancy J. To now argue in the face of a previous adverse finding on credibility that Ms. Gadsby had developed a cross-addiction to alcohol is, in my view, particularly inappropriate. As counsel for Ms. Khan argued, it would be surprising if, having read the reasons of the trial judge, it could not be said that something more or better could have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My sense of the present proceedings is that the plaintiff is attempting to re-litigate the issue of causation, rather than focussing on what was done by Ms. Khan in preparation for trial. There was, in fact, evidence regarding causation offered on the plaintiff's behalf. It was given, in the main, by Dr. Schmidt and Dr. Beyerstein, both of whom expressed the opinion that the long term use of benzodiazepines contributed to the plaintiff's cognitive difficulties. There was also evidence from Dr. Parkinson. I note that in the plaintiff's written argument, it is suggested that the opinion of Dr. Parkinson rules out any major affective disorder or alcohol related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Schmidt's report is lengthy and thorough and contains an extensive review of medical records for the period 1991 and following. In his discussion, reference was made to a number of issues that he believed had to be addressed because of Ms. Gadsby's complex history, including the potential impact of alcohol and psychological factors on her cognitive functioning. His conclusions included the following: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cognitive functioning, a clear pattern of over-activation, leading to disruption of higher order cortical functions is noted. This over-activation is consistent with the "rebound" effect seen following acute benzodiazepines withdrawal and may well represent a long-standing or more chronic version of this phenomenon. I did not find any evidence of focal cortical damage over and above what can be explained by the rebound effect. At the same time, however, some subtle deficits may be present which are being obscured by this phenomenon.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psychological level, Ms. Gadsby has shown, since being seen by Dr. Klonoff in 1992, a shift in her pattern of psychological functioning, becoming more and more focused on external issues and causes as a way of reducing her own sense of internal distress. This pattern is both positive in the sense that it reduces her overall level of tension and negative in the sense that it tends to make it more difficult for her to move forward in her life. Although this pattern could, in some instances, be reflective of a bipolar mood disorder, the history does not support this diagnosis in this case.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not psychiatric disorder present which could explain the earlier described cognitive phenomenon. Likewise, I do not believe that this can be attributed to other neuropsychological causes such as chronic alcohol abuse or age-related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stated earlier, Dr. Beyerstein holds a Ph.D. in biological psychology. He has been qualified as an expert witness numerous times in the courts of this province, as well as before quasi-judicial bodies such as the Labour Relations Board. With respect to benzodiazepine use, he has been qualified in the British Columbia Supreme Court as an expert on how this class of drugs affects the brain and the probable consequences for human behaviour and consciousness. His lengthy report concluded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scientific literature on the benzodiazepines and the effects of their withdrawal, I would say that there is a high probability that complications arising from long-term, high dose prescribing of these tranquilizers are a contributing factor to the mental difficulties that Drs. Wild and Schmidt have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for Ms. Khan argued that Dr. Schmidt and Dr. Beyerstein were well-known, reputable and qualified. I agree, and there is really no issue in that regard. As I understand the argument of the plaintiff, it is that Ms. Khan failed to recognize that the court would likely not accept their evidence over any contrary medical opinion. However, that is not why Clancy J. did not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opinion given by Dr. Wright should also be borne in mind. He said that the cognitive problems identified in the neurological testing of Ms. Gadsby by Dr. Klonoff, Dr. Schmidt and Dr. Wild "are in keeping with the types of cognitive impairment that have been described in patients with a withdrawal syndrome after long term benzodiazepine ingestion".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summarize, there was not only positive evidence in the earlier trial that the use of benzodiazepines was the cause of Ms. Gadsby's cognitive limitations, there was also evidence eliminating other potential causes. In hindsight, evidence from a physician have been helpful, but I do not accept that Ms. Khan should be faulted for her decision to rely on the available evidence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turn next to the new evidence as it relates to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portions of the judgment of Clancy J. which discuss the evidence of Dr. Watt have been quoted above. He considered the fact that Dr. Watt had not practised in a large urban setting. Reference was made to his lack of awareness that there was a body of physicians who believed that the long term use of benzodiazepines was an appropriate treatment for chronic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now says that Ms. Khan ought to have known that Dr. Watt's evidence might be discounted because of where he practised. Ms. Khan testified that it was her belief that the fact that Dr. Watt had held an executive position with the College of Family Physicians compensated for the fact that he had not practised in a large urban centre. I do not consider it necessary to address the merits of her view. What is of much greater significance, given that Dr. Watt was the plaintiff's principal witness on the standard of care issue, relates to his evidence about whether long term use was ever appropriate and therefore, the adequacy of the evidence on the issue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Through no fault of her own, when Ms. Khan began speaking with potential expert witnesses, she had yet to receive a complete copy of Ms. Gadsby's clinical records and they were not received until early December. Surprisingly, Ms. Khan testified that she made a decision not to forward those records to Dr. Watt. I frankly do not understand her reasons. If, as she stated, she had a concern that the contents of the records were potentially harmful to the plaintiff's position, that was surely a reason for forwarding rather than withholding the records. In any event, Dr. Watt did not have the clinical records and did not have information about the plaintiff's specific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What Ms. Khan failed to recognize was that in order to have a chance of success, Ms. Gadsby had to have evidence of the standard of care and evidence that it was breached in her particular circumstances. There may be situations where it is as simple as saying that what a defendant did ought never to have been done, but this was not one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Khan had in hand the December 10, 1996, reports of Dr. Wright and Dr. Hunter. Dr. Wright had referred to the importance of knowing how the continued use of benzodiazepines had been substantiated. Dr. Hunter stated that in highly specialized situations, long term use might be justified. As she testified, Ms. Khan was therefore aware that the reasons of the prescribing physician were relevant. She also knew that knowledgeable experts accepted that there may be limited circumstances where long term use was justified. Dr. Watt could not address the reasons of the prescribing physician, as he did not know the reasons. That was of particular importance as it was, or ought to have been, apparent that his belief that long term use was never justified was not shared by others, including Dr. Wright and Dr. Hunter. It was also not shared by defence witnesses, which eventually became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At this point, it is appropriate to refer to the opinions offered by Nathan Smith on behalf of the plaintiff and Maris McMillan on behalf of the defendant. Mr. Smith and Ms. McMillan have extensive experience acting for plaintiffs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and were called as expert witnesses. Mr. Smith expressed the view that the expert reports obtained by Ms. Khan were not reasonably capable of winning the case. In order to succeed, Ms. Gadsby required an opinion that the long term use of benzodiazepines was inappropriate in this patient. Although Ms. McMillan did not agree with certain of Mr. Smith's views, she did state that the essence of the plaintiff's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MacGillivray was that it was not within the standard of care of a family physician practising in British Columbia at the relevant time to prescribe these medications for long term use in a patient such as the plaintiff. Their views on this matter are therefore consistent - one must have evidence which is specific to the plaintiff. I would describe that as fundamental.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Counsel do not agree on what must be proven in order to succeed in the claim against Ms. Khan. On the plaintiff's behalf, it is submitted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based upon the application of ordinary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Ms. Khan was required to perform the professional service that she had undertaken with reasonable care, skill and knowledge. If the court is satisfied on a balance of probabilities that there was a real possibility that she would have succeeded in her claim, the court should go on to assess the likelihood of success and make an award which reflects that likelihood. The defence says that the plaintiff must satisfy the court that Ms. Khan committed an egregious error and she must then establish on a balance of probabilities that the error caused her to lose her case against Dr. MacGillivray as the trial is a past fact, not a future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Many authorities were referred to during argument and many of the same authorities were recently considered by the Saskatchewan Court of Appeal in Hagblom v. Henderson, </w:t>
      </w:r>
      <w:hyperlink r:id="rId153" w:history="1">
        <w:r>
          <w:rPr>
            <w:rFonts w:ascii="arial" w:eastAsia="arial" w:hAnsi="arial" w:cs="arial"/>
            <w:i/>
            <w:color w:val="0077CC"/>
            <w:sz w:val="20"/>
            <w:u w:val="single"/>
            <w:shd w:val="clear" w:color="auto" w:fill="FFFFFF"/>
            <w:lang w:val="en-US" w:eastAsia="en-US" w:bidi="ar-SA"/>
          </w:rPr>
          <w:t>[2003] S.J. No. 261</w:t>
        </w:r>
      </w:hyperlink>
      <w:r>
        <w:rPr>
          <w:rFonts w:ascii="arial" w:eastAsia="arial" w:hAnsi="arial" w:cs="arial"/>
          <w:color w:val="000000"/>
          <w:sz w:val="20"/>
          <w:lang w:val="en-US" w:eastAsia="en-US" w:bidi="ar-SA"/>
        </w:rPr>
        <w:t>. It is not necessary, in my view, to resolve the issue raised. If egregious error is the test, I am satisfied that such an error was made by Ms. Khan. This was not a case where Ms. Gadsby could succeed without evidence that long term use, in her particular circumstances, was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Given that finding, the next question relates to the significance of the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Counsel for Ms. Gadsby has argued that the evidence now adduced makes it "plain" that many of the key findings of fact made by the trial judge resulted from a deficiency in the evidence brought forward by the plaintiff. The argument on behalf of Ms. Khan is that it could not have made a difference to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One of the reasons advanced by defence counsel is that the opinions of Drs. Thorsteinson and Wright on the standard of care cannot overcome what he described as a problem of the psychiatrists. It is argued that a number of psychiatrists treated the plaintiff during the years that Dr. MacGillivray prescribed benzodiazepines. They were aware of her difficulties and endorsed the continued use of the medications. Therefore, the new evidence from Dr. Wright and Dr. Thorsteinson could make no difference to the outcome of an action against a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Wright and Dr. Thorsteinson gave evidence about the involvement of a psychiatrist. Dr. Wright testified that to his knowledge, Dr. MacGillivray did not seek input from a psychiatrist. In any event, he agreed in cross-examination that he would expect a psychiatrist to be better informed about the drugs in question and he agreed it would be relevant that a psychiatrist was maintaining the drugs. In his report, he commented on situations where psychiatrists justified long term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his report, Dr. Thorsteinson referred to the need for a psychiatrist to be involved.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within the situation of established chronic anxiety, continued use should be in the context of a comprehensive assessment and treatment plan, including psychiatric referral and in which the use of the drug alone is not a sufficient response. The psychiatric colleague should actively guide, if they supported long term use, continued use of this extent, so far beyond the recommended pattern of use for benzodiazepines and in the face of a lack of proven efficacy on the part of benzodiazepines for chronic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During his testimony, he discussed the need to involve a psychiatrist in cases of long term use, but said he would not necessarily defer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fact, it was a psychiatrist, Dr. Hirt, who first prescribed benzodiazepines for Ms. Gadsby. Dr. Hirt passed away sometime before the earlier trial. He had seen the plaintiff on and off over a period of twelve years, initially after the tragic death of her young son. Dr. Hirt's records include a number of reports to others who were involved in unfortunate aspects of Ms. Gadsby's life, including reports to counsel for use in proceedings relating to assault charges laid against Ms. Gadsby in 1975, a report to a family court counsellor who was involved in custody matters relating to the Gadsby children and reports to counsel acting on the plaintiff's behalf in 1980, again in regard to one of the children. Several of those reports were placed into evidence by counsel for Dr. MacGillivray at the earlier trial. The reports include references to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Pankratz treated Ms. Gadsby between 1987 and 1990. Ms. Gadsby had been referred by Dr. MacGillivray following an incident which had resulted in Ms. Gadsby being charged with mischief. He saw her on a number of occasions in early 1997, including a visit at emergency following an overdose. A second referral was made by Dr. MacGillivray in February, 1990, following Ms. Gadsby's hospitalization for an overdose. Dr. Pankratz last saw the plaintiff in December,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Pankratz understood that Dr. MacGillivray had been prescribing benzodiazepines for reasons relating to ongoing complaints of anxiety and stress. He did not advise Dr. MacGillivray to discontinue the medication, notwithstanding that in 1987, it was his view that it would be best to discontinue her medications and the use of alcohol and begin with lithium to treat what he believed to be a mood disorder. Dr. Pankratz was asked why he had not advised Dr. MacGillivray that it would be a good idea to get the plaintiff off all medications and start over.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at that point my concern would still be one of trying to establish some sort of therapeutic alliance with this patient to get her to accept that she had a mood disorder that needed to be treated and for her to stop the benzodiazepine without addressing the mood disorder I think would have achieved nothing really other than I would have had a patient who probably would not have come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defence evidence at the earlier trial also included reports from Dr. Pankratz to Dr. MacGillivray dated February 24, 1987, and February 16,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arguments about the significance of the plaintiff's involvement with psychiatrists over the years in question bring into focus what I believe to be the fundamental difficulty in the present case. For present purposes, I am prepared to assume that the plaintiff correctly states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application of common sense necessarily leads to the conclusion that because the plaintiff was treated by a number of psychiatrists, her claim against Dr. MacGillivray was made more difficult. Those psychiatrists knew of the medication that she was taking. They were aware of the bizarre behaviours, the overdoses and her use of alcohol. Neither Dr. Wright nor Dr. Thorsteinson specifically addressed the fact of the lengthy involvement of the plaintiff with Dr. Hirt and Dr. Pankratz or related that fact to their views on whether Dr. MacGillivray met the requisite standard of care. Yet on the plaintiff's behalf, it is argued that there is no evidence that Dr. MacGillivray requested advice or guidance regarding the prescribing of benzodiazepines and there is also no evidence that any psychiatrist supported Dr. MacGillivray in his prescribing pattern. The former proposition may be correct, but the latter is not. One would assume that if a psychiatrist had a view contrary to that of Dr. MacGillivray, he would have conveyed that view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Dr. Wright and Dr. Thorsteinson received the clinical records, there is no evidence that they reviewed testimony given at the earlier trial by the four psychiatrists who testified - Dr. Pankratz, Dr. Parkinson, Dr. Hewko and Dr. Vallance. Nor did they review the evidence of Dr. MacGillivray, either at trial or at his examination for discovery. Yet the court is asked to make conclusions that with the additional evidence, there was a real possibility of success against Dr. MacGillivray and then go on to assess the loss of her chance as being 75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struggled to try to formulate conclusions based on the available evidence. But in considering the probability or possibility of success, I do not accept that it is as simple as saying that the evidence relating to standard of care was insufficient or deficient and evidence supporting the plaintiff's position was available. This case depended on expert evidence and in the end result, the outcome was going to be determined based on an assessment of that evidence. The evidence of Dr. Wright and Dr. Thorsteinson is that the involvement of a psychiatrist is of some significance on the question of standard of care. I do not know how the court could gauge the import of their evidence without knowing their opinions as to how the involvement of Dr. Hirt and Dr. Pankratz, who between them treated the plaintiff for as many as fifteen years, impacted on the question of whether Dr. MacGillivray met the standard of care. That is particularly so given Dr. MacGillivray's testimony that he treated the plaintiff for chronic anxiety, which is the one situation where Dr. Thorsteinson says long term use might be justified. Whether or not Dr. MacGillivray's evidence should be accepted is, for these purposes, beside the point. I would add that Dr. Vallance commented on a report from Dr. Hirt dated November 29, 1978, stating that it was clear that Dr. Hirt was aware of the plaintiff's use of Serax and Dalmane and was controlling the medication. Dr. Dwyer noted that there were ongoing consultative letters between psychiatrists and Dr. MacGillivray.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may be a common sense appeal to an argument that, as Dr. Thorsteinson stated, overdose is a major red flag. But even then, he does not reject continued use. Rather, he states that use should be guarded and in the context of joint management with a psychiatric colleague. Whether there was joint management in this case was not specifically addressed, but psychiatrists were certainly involved, and as stated, they saw no need to advise Dr. MacGillivray to discontinue his prescription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end result, I agree with the defence submission that the plaintiff has not overcome the problem of the psychiatrists. Without more, I cannot conclude that even with the new evidence, success was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also asserts that Ms. Khan was negligent in the actual conduct of the trial. As no particulars of the allegations in the statement of claim were delineated in any pleadings, I have taken the specific criticisms from the plaintiff's written outline of argument. They are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Khan permitted the report of Dr. Farrall to be put into evidence without cross-examination.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adequately prepare the plaintiff's witnesses, particularly Dr. Wright.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Khan did not ask Dr. Watt to adopt certain medical journal literature as authoritative.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experts were not given copies of reports prepared by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my view, regardless of whether any of the above could be described as egregious error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evidentiary basis for a conclusion that these acts made any difference to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Given the above findings, I do not propose to address the defence argument, also raised before Clancy J. but not decided, that the plaintiff's claim against Dr. MacGillivray was statute barred. Nor do I intend to address the question of what damages could have been recovered had the plaintiff succeeded against Ms. Khan, except to say that had damages been awarded, it would have been necessary to address the defence assertion that Ms. Gadsby's voluntary consumption of alcohol in the face of repeated warnings and advice to the contrary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stated, I do not accept Ms. Gadsby's evidence that she was not aware of the potentiating effect of alcohol and was not aware of any dangers in drinking. The totality of the evidence, particularly the documentary evidence, contradicts her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On the basis of authority including Gardi v. MacIsaac, Clark &amp; Co., </w:t>
      </w:r>
      <w:hyperlink r:id="rId154" w:history="1">
        <w:r>
          <w:rPr>
            <w:rFonts w:ascii="arial" w:eastAsia="arial" w:hAnsi="arial" w:cs="arial"/>
            <w:i/>
            <w:color w:val="0077CC"/>
            <w:sz w:val="20"/>
            <w:u w:val="single"/>
            <w:shd w:val="clear" w:color="auto" w:fill="FFFFFF"/>
            <w:lang w:val="en-US" w:eastAsia="en-US" w:bidi="ar-SA"/>
          </w:rPr>
          <w:t>[1990] B.C.J. No. 1595</w:t>
        </w:r>
      </w:hyperlink>
      <w:r>
        <w:rPr>
          <w:rFonts w:ascii="arial" w:eastAsia="arial" w:hAnsi="arial" w:cs="arial"/>
          <w:color w:val="000000"/>
          <w:sz w:val="20"/>
          <w:lang w:val="en-US" w:eastAsia="en-US" w:bidi="ar-SA"/>
        </w:rPr>
        <w:t>, there will be an award of nominal damages in the amount of $5,000. If costs cannot be agreed, counsel may speak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Hall v. Cooper Industries, Inc., [2004] B.C.J. No. 338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17 - 21, 24 - 28, December 1 - 5,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December 9 - 11,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S011928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366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D. Hall, plaintiff, and Cooper Industries, Inc., defendant, and A.J. Forsyth and Company Limited,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(153 paras.)</w:t>
      </w:r>
    </w:p>
    <w:p>
      <w:pPr>
        <w:jc w:val="both"/>
        <w:rPr>
          <w:rFonts w:ascii="arial" w:eastAsia="arial" w:hAnsi="arial" w:cs="arial"/>
          <w:sz w:val="20"/>
          <w:lang w:val="en-US" w:eastAsia="en-US" w:bidi="ar-SA"/>
        </w:rPr>
      </w:pPr>
      <w:bookmarkStart w:id="32" w:name="Counsel_3"/>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 Camp, Q.C. and David G.A. Jones, for the plaintiff. Gordon Weatherill and Thomas Woods, for the defendant. Jason Krupa,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47" style="position:absolute;z-index:251713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PARIS J."/>
            <w:bookmarkEnd w:id="34"/>
            <w:r>
              <w:rPr>
                <w:rFonts w:ascii="arial" w:eastAsia="arial" w:hAnsi="arial" w:cs="arial"/>
                <w:b/>
                <w:color w:val="000000"/>
                <w:sz w:val="30"/>
                <w:lang w:val="en-US" w:eastAsia="en-US" w:bidi="ar-SA"/>
              </w:rPr>
              <w:t>PARIS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products liability case. The plaintiff claims damages from the defendant Cooper Industries, Inc. ("Cooper") arising from the allegedly negligent design of a clamp used for handling steel plates in steel fabricating and processing plants and for the negligent failure to give adequate warning of the dangers inherent in its use. The defendant denies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further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in his use of the clamp and against his employer (the third party), A. J. Forsyth and Company Limited ("Forsyth") for failing to adequately instruct and supervise the plaintiff with respect to the operation of the clamp and in failing to provide a safe workplace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received benefits from the Workers' Compensation Board. Pursuant to s. 10(6) of the Workers' Compensation Act the Board may maintain an action in the name of the worker. It is entitled to receive out of any amount the worker recovers through the court the amount it has paid to the worker and the worker is entitled to the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Forsyth operates a steel processing plant in Prince George, B.C. The plaintiff was employed as the operator of a plasma table, that is, a tank on which are laid large plates of steel to be cut to predetermined shapes and sizes. The tank or table is 12 feet wide, 50 feet long and approximately 3 feet high. There are three steps from the floor to the top of the table. The surface of the table actually consists of a series of steel slats, 6 inches wide, 12 feet long and one-quarter to one-half inch thick, set on their edges across the width of the table about 5 inches apart from each other. After the plate is set down on the slats the tank is filled with water until the plate is covered and it is then cut to size and shape by a laser beam.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29, 1997 the plaintiff was operating the plasma table. From a rack where steel plates are stored upright he selected a plate for cutting which weighed 766 lbs (during the trial all weights and measurements were expressed in Imperial rather than metric terms) and whose dimensions were 5 feet by 10 feet and three-eighths of an inch thick (its industrial designation, although its actual thickness was .403 inches). He then obtained a clamp to attach to the plate to lift it out of the rack and move it into position on the plasma table. As was the practice of the plasma table operators, he examined the clamp to confirm that it was in proper working order. It was a Model E 5-ton (its maximum recommended lifting capacity) Merrill clamp manufactured by the defendant Cooper. The Merrill designation comes from the original designer and manufacturer of the clamp, the predecessor company of the defendant. The clamp has been in production since 1962 and the evidence was that there have been between 20,000 to 40,000 manufactured and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clamp was then attached to a chain hanging from an overhead trolley and crane mounted on a track. A hand held control permitted the chain to be raised and lowered and to move the overhead crane along the track to the area of the plasma table which was 15 feet to 20 feet away from the 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was the practice, the plaintiff determined the balance point on the top edge of the plate by measuring its length and taking into account a slight "dog-leg" irregularity in its shape at one corner. He then positioned that balance point into the jaws of the clamp and closed a spring actuated tension lever on the clamp which fastened it to the plate. Using the hand control and chain he lifted the plate to which the clamp had been attached out of the rack. With the control in his left hand and guiding the plate with his right hand he walked to the plasma table. He mounted the stairs to the surface of the table and continued to guide the plate above the table to a position suitable to let the plate down onto the table. In the course of lowering the clamp and plate onto the table the plate slipped from the jaws of the clamp. It fell onto his leg, fracturing it badly and pinning him to the table. In his testimony he insisted that to his best recollection, which he acknowledged was hazy as to the exact moment of the accident, he had not bumped or jostled the plate at the time of the accident, nor had the plate yet reached the surface of the table when it slipped. The plaintiff screamed and a fellow worker at another workstation, James Sawchuck, came to his assistance. Sawchuck said the chain and clamp were swinging about 6 to 7 feet above the plaintiff. Using the control box he retrieved the clamp and chain. The tension lever of the clamp was still in the closed position. He released it and re-secured the clamp in order to lift the plate off the plaintiff. That frightened the plaintiff who expressed the fear that the plate would drop on him again. Sawchuck did so anyway, lifting the plate a foot or so off the plaintiff. Another worker arrived and together they moved the plaintiff out from under the plate and raised him up. They supported him on the table until an ambulance arrived and he was taken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OPERATION OF THE CLAMP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this point some understanding of the operation of the clamp is necessary. A series of four diagrams of the clamp from one of the experts' reports is attached as an appendix to these reasons. (It is probably best to consider them in reverse order, that is, from 1d to 1a). The actual clamp, along with clamps from two other accidents (to which I shall advert shortly), a sample Merrill clamp and a sample clamp of a different make (Renfroe) were entered as exhibits at trial and I have of course examined them. Apparently they each weigh approximately 28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clamp has an opening or "jaws" into which a steel plate is inserted. As noted, the illustrations are a cut-away view of the clamp, that is, the front side of the clamp is missing and what is depicted are the inner components. On one side (the right side on the diagrams) is a metal rotating eccentric cam with a serrated or toothed face. On the opposite side is a metal swivel pad with a series of concentric circular raised edges on its surface. Connected to the cam is a spring actuated tension arm which when raised positions the cam's teeth against the steel plate which then on its other side makes contact with the pad. The clamp the plaintiff was using at the time of the accident was missing the short ring and chain at the end of the tension lever which are apparent on the illustrations in the Appendix but it is agreed by all that that had no effect on its operation, nor is it of any significance in this action. The tension arm exerts very little clamping force by itself. However, when it brings the plate into contact with the cam the plate's weight causes the cam to rotate downwards and causes the cam's teeth and to some extent the raised edges of the pad on the other side to bite into the plate. As gravity pulls downward on the clamp the bite increases, the weight of the plate itself thereby causing the clamping or horizontal forces to increase beyond that of the force of the weight of the plate such that the plate is secured in the jaws of the clamp as it is lifted and moved. The degree to which the swivel pad opposite the cam engages the plate and contributes to the horizontal clamping forces is in dispute between the parties'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specific allegation of the plaintiff is that the clamp was designed such that it is unsuitable to lift loads which are relatively light compared to the maximum load capacity of the clamp (a figure of less than 20 percent of maximum load was mentioned most often in the evidence). It is not suggested that the clamp cannot lift light loads on most occasions. Rather, the suggestion is that if a clamp carrying a light load is subjected to "dynamic loading" - that is, the sudden application of force such as from bumping or some other type of jostling or swinging - the plate being carried can slip or be knocked out of the jaws of the clamp. It is said that such "loading" incidents occur quite commonly in real life plant and factory settings and are therefore reasonably foreseeable. It is said that such failures due to dynamic loading should have been designed out of the clamp. It is alleged further that the defendant failed to guard against such risk or to give adequate warning of it to users of the clamp and failed to provide adequate instructions as to its safe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Curiously, such a warning did appear briefly in a Products Warning Manual published by the defendant starting in 1996, but it was subsequently deleted by the company from the manuals. In practice that manual is not available to clamp operators in any event and the warning never appeared at any time in the Operator's Manual published by the company, nor in any other of its literature respecting the clamp. It did appear for some time after the accident on a warning tag that came attached to the clamps. But the evidence was that although the tag had a "do not remove" notice on it, it was virtually useless because it was attached to the clamp by a soft plastic strap and was usually knocked off the clamp within the first few minutes of its use. In any event it is not disputed that none of the personnel at the Forsyth Prince George plant had been advised or were aware of any minimum load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position is that the clamp was not inadequately designed, that the clamp has no minimum safe load lifting limit and that any slippages from the clamp are caused by other factors. Specifically it is suggested that the plaintiff himself caused the slippage in this case by a dangerous manoeuvre of his own, namely, that having arrived on top of the table he lowered the plate to the point that its bottom edge rested on the table and then for some reason he decided to reposition the clamp on the plate then and there. In the process of doing so the plate slipped and fell on him. It is also suggested that the plaintiff had also placed himself in a clear position of danger by walking and positioning himself beside the plate while on the table, as opposed to being positioned at one of its ends as he had been trained. It is said if he had been in the proper position the plate would not have fallen on him even if it had slipped from the clamp without his deliberate intervention. As mentioned, it is also alleged against the third party employer, Forsyth, that it had not adequately instructed and supervised the plaintiff in the safe operation of the clamp and failed to provide a safe workplace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8, 1998 at a steel processing plant in Everett, Washington, a worker, Robert Larson, was injured in a similar incident. He was guiding a 500 lb, three-quarter inch thick plate of steel fixed in an identical Merrill Model E 5-ton clamp to a press-break machine (for bending and forming steel) when for no apparent reason it slipped from the clamp and struck him. At the time he was walking on the floor and guiding the plate. He testified that the plate did not bump against anything at the time of the accident. He further testified that the clamp was in good working condition and, when pressed in cross-examination, insisted (after observing and feeling them in the courtroom) that the teeth of his clamp and that of the clamp from the plaintiff's accident, were not too worn to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4, 2003 (a few days before the start of this trial), one David Simpson was involved in a similar incident at Forsyth's Prince George plant. In fact, Mr. Simpson was the successor in 1997 to the plaintiff as operator of the plasma table in the plant. After cutting a piece of steel on the table he had fastened a Model E 5-ton clamp to the "crop" (the remnant of the plate cut), lifted it from the table, was guiding it carefully back to the rack when, after it had travelled 3 to 4 feet, the plate "let go" out of the clamp and fell back on top of the table. He too was not aware of any bumping of the plate, although he had rotated it 180 while it was held by the clamp before he started guiding it back to the rack. He too insisted that the teeth of the clamp (as well as those in the clamps used by the plaintiff and Larson which he observed and felt in the courtroom) were not too worn to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Richard Bates is a design engineer employed by the defendant. His personal daytimer contains notes of two similar incidents which occurred in Trail, B.C., and Manitowoc, Wisconsin, being reported to him by telephone on July 3, 2002 and December 17, 2002 respectively, both involving relatively light loads being lifted by the Merrill Model E 5-ton clamp. Unfortunately because no follow-up or investigation was requested or pursued there are no further details known of the incidents. The entry of July 3, 2002 does contain the following words "hit another object - unlocked and dropped plate". Mr. Bates insisted that what he had been told was that the plate had hit another object while the tension arm was unlocked rather than that it had hit another object which then "unlocked" the arm causing the plate to drop. Finally, a daytimer note of July 22, 2002 of a telephone conversation that concerned principally the accident of July 3, 2002 also contains the following notation "second incident one year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MINIMUM LOAD ISSUE AND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mentioned above the central issue regarding the allegation of faulty design is whether in a factory setting under reasonably foreseeable circumstances the subject clamp risks losing its grip on a relatively light steel plate thus creating a safety hazard. Resolving this involves an analysis and understanding of the clamping forces which it generates.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principal witness for the plaintiff in this regard was Dr. George Pearsall. Given the course the evidence has taken in this case, some consideration of Dr. Pearsall's curriculum vitae is called for. He is Professor Emeritus of Mechanical Engineering and Materials Science at Duke University, North Carolina. During the course of his academic career there from 1964 to 2001 he has been the Dean of the School of Engineering during two separate periods. He received his doctorate in metallurgy and mechanical engineering from Massachusetts Institute of Technology in 1961 and taught at that institution from 1960 to 1964. As well as teaching various courses in mechanical engineering and metallurgy, he has taken an interest in and taught courses in failure analysis and safe product design. He was also a professor of Public Policy Studies at Duke from 1982 to 2001. He has been a consultant and continues to consult in the disciplines mentioned above. He has been a witness (about 50/50 for plaintiffs and defendants) in approximately 100 products liability cases in the United States and has given deposition evidence in approximately 250 others. His CV recites a long list of honours received, listings in publications of notable persons, special programmes undertaken and publications and presentations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Pearsall received and examined the subject clamp on two occasions. He also examined the clamp from the Everett incident and a Renfroe clamp which he purchased himself. Following are passages from his reports submitted to the court, among which are interspersed references to his testimony expanding on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Opinions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Cooper-Forsyth clamp which released the steel plate that injured Mr. Hall, was defective and unreasonably dangerous because it was not designed to exert a sufficiently high horizontal clamping force to prevent a relatively thin plate of a weight less than 10% of the clamp's working load limit (WLL) from slipping out of the clamp under reasonably foreseeable operating conditions. Thin, light-weight plates have an increased risk of slipping from a plate clamp of the Cooper-Forsyth clamp's design during a lift because the horizontal clamping force is inadequate to resist inadvertent bumping forces, particularly along the lower edge of the plate parallel to the mid-plane of the clamp. Alternative clamp designs with stronger springs and auxiliary handle locks were available at the time the Cooper-Forsyth clamp was being used by Mr. Hall. The warnings and instructions that were embossed on the clamp or appeared in the Operator's Manual were inadequate for assuring the safe use of this clamp, especially given its design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Pearsall's testimony in court was that 20 percent of the clamp's maximum load limit was probably a more reasonable estimate of the safe minimum load limit.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my second examination, I modeled the mechanics of the subject clamp by measuring the force required to hold the cam grip open to accommodate a specified plate thickness and comparing these results to the forces I calculated by moment equilibrium of the forces on the cam grip about its center of rotation. My calculations were based on my measurements of moment arms of the forces acting on the cam grip, the weight of the plate at the time of Mr. Hall's injury, the assumption that the cam grip and the pad/button grip each supported half of the plate's weight, and the properties of the clamp's "locking" spring as provided by the manufacturer in discovery.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process was referred to in evidence as "free body analysis" or "moment analysis". Apparently a moment is a torquing force and a moment analysis is the measurement of the effect of such forces on an object at certain given distances. Dr. Pearsall used the example of a see-saw. Applying the appropriate engineering equations for a moment analysis to the dimensions and geometry of the clamp components and the weight of the plate involved, he determined that the clamping forces of the subject clamp on a 766 lb steel plate would be approximately 900 lbs, that is a numerical relationship of horizontal clamping forces to weight of approximately 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relatively high friction coefficients are required for a thin plate of steel that weighs 766 lbs. Heavier plates apply larger forces to overcome friction, but heavier plates also provide higher forces to rotate the cam grip into the plate, which increases the friction coefficient. ... At the 0.4 inch thickness of the plate that injured Mr. Hall, the spring would have contributed only about 1.9% of the 900 lbs, horizontal clamping force that I estimated the cam grip applied to the plate. The adequacy of the modeling was verified by comparing the horizontal clamping force I calculated on the cam grip for a given plate thickness to the force (measured with a calibrated force transducer) that was required to open the gap between the cam grip and the pad/button grip to that thickness (Chart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Hakkinen states that one of the most important criteria for the safety of plate lifting clamps is that "The gripping force should be 2 to 4 times higher than the magnitude of the load which is to be lifted", and I agree with his recommendation, especially for clamps that do not have positive locks in the closed position. In the present case, the gripping force of the subject clamp would have been only about 1.2 times the 766 lb. weight of the plate. In addition, the eccentric plate clamp that Hakkinen analyzed as suitable for safe lifting does not rely solely on friction between the plate and grip to generate that clamping force, as does the subject Cooper clamp. Both clamps are eccentric clamps, but the type of clamp that Hakkinen analyzed uses a lever and linkage mechanism to apply the clamping load to the plate. In this way, the clamping force depends on the engineering design of the lever linkage, rather than on the vagaries of friction to press the grip into the plate. I have independently confirmed Hakkinen's mechanical analysis of his eccentric clamp and agree with his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reference to "Hakkinen" is to Kari Hakkinen, a Finnish engineer whom Dr. Pearsall described as knowing "more about clamps than any one". A paper written by Mr. Hakkinen "Safety Evaluation of Lifting Clamps" was tendered by counsel for the defendant during the cross-examination of Dr. Pearsall (Exhibit 11-18). Dr. Pearsall testified that he had himself consulted personally with Mr. Hakkinen about the matter at hand. I shall return to the contents of Mr. Hakkinen's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Continuing at p. 4 of Dr. Pearsall's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design relies on friction to protect against a mechanical hazard that results from slipping, the design must function safely even if the coefficient of friction actually is low. If the friction coefficient between the plate and cam grip in Mr. Hall's lift had been any value less than about 0.4 (a relatively high value for friction of steel against steel in a manufacturing environment), the plate could have slipped over the grip surface. And if the plate had been "bumped" as it was being lowered onto the plasma table, an upward or horizontal force on the lower edge of the plate, parallel to the mid-plane of the clamp, could have opened the space between the grips in the clamp because there is no positive "lock" to prevent the grips from opening due to such lever action and because the spring force that must be relied on to keep the clamp closed is so low. If the grips in the clamp open wider than the plate thickness, it is almost certain that the plate will slip from the clamp, in spite of the "locking"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 5 of Dr. Pearsall's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cam grip is "locked onto" the steel plate only when the friction and the plate weight are high enough that the weight of the plate rotates the cam grip enough to bite into the plate.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Pearsall explained that a "bumping" of the plate as it was being transported or lowered onto the plasma table is an example of what is referred to in engineering terms as "dynamic loading". That means a loading of force onto something which occurs suddenly, for example, dropping it onto a surface. According to Dr. Pearsall it will at least double the load on a surface and can increase it by a factor of as much as 3 or 4. A bumping of the plate or a dynamic loading of some other kind can increase the vertical forces acting on a clamp and if sufficiently large can overwhelm the horizontal clamping forces. Dr. Pearsall said that for the safe design of a product meant to bear weight the accidental occurrence of dynamic loading must be taken into account because such occurrences do happen in factory settings and are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the references to friction in his report (friction being of course the resistance that objects encounter when their surfaces rub against each other), Dr. Pearsall explained that the coefficient of friction between two surfaces is the ratio of the shearing or sliding forces relative to the forces pressing or pushing the surfaces together. In calculating the coefficient of friction of the clamps he took into account the fact that the surfaces of the cam and pad were not smooth but toothed and ridged respectively which resulted in a relatively higher coefficient of friction of the clamps. He calculated it at from .43 to .47 for the subject clamp which he said represented the minimum coefficient of friction necessary to prevent slipping. That permits or permitted the teeth of the cam to bite into the plate and the clamp to lift the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Continuing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teeth that would have contacted the subject plate were in much better condition than the teeth that would have contacted a thicker plate in a lift and probably would not have accounted for the plate's slipping from the clamp if the clamping force had been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should be noted the defendant does not now take the position (as it did initially) that the slip in the subject accident was caused by worn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Continuing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examined by stereomicroscopy the surface marks in the section of the plate that had been in the grip. ... I cannot tell at this time when, or under what circumstances, these two sets of marks were made, but if they were made at the same time, their different distances from the top edge of the plate would be consistent with the plate's being tilted in the clamp, applying an opening force on the clamp grips, at the time it slipped.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inserted one of the plate samples between the grips of the Cooper-Forsyth clamp and tilted it to rotate the cam grip up as far as the clamp's geometry permitted. Such a tilt could have resulted from the plate's being bumped by an upward/horizontal force on its bottom edge, such that the tip of the cam grip would be rotated upward, opening the gap between the grips and permitting the plate to slip due to gravity. In this tilted conformation, the center of the pad/button grip appeared to be about 1 inch closer to the top edge of the plate than the centerline of the contact between the cam grip and the plate, consistent with the corresponding grip marks observed on the opposite surfaces of the subject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Pearsall testified that he has suggested the "bumping" scenario as the most plausible explanation of what happened in this case, noting that employees involved in accidents often do not know themselves, or claim not to know, exactly what happened. However, he emphasized that such bumping was not central to his conclusion that the clamp was under-designed with respect to carrying light loads. Other factors could contribute to slippage such as mill scale or grease on the surface of the plate or (in response to a question on cross-examination) "bumping or swinging".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Pearsall also examined and performed calculations with respect to the clamp involved in the Everett accident and the Renfroe clamp which he had purchased for comparison. His findings with respect to the Everett clamp were essentially the same as with respect to the subject clamp. He said that the Renfroe clamp contains a lever-linkage mechanism in the tension or locking apparatus which results in the tension spring exerting much more clamping force than in the Merrill Model E 5-ton clamp. Evidently new models of the Merrill clamp (GX and GXL) also contain such mechanisms.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regard his report says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results of my calculations show that the ratio of the horizontal clamping force to the load being lifted are between 2 and 3 [for the Renfroe clamp], in the range recommended by Hakkinen and significantly higher than the 1.18 and 1.28 I calculated for the two Cooper clamps I examined. And the Renfroe JA clamp will hold a plate securely, even if the coefficient of friction between plate and grips is as low as 0.2 for the plate thickness that slipped from the clamp, injuring Mr. Hall. This comparison supports my opinion that the Cooper(r) "Merrill" 5-ton E-type plate clamp was not designed to exert a sufficiently high horizontal clamping force to prevent a relatively thin plate of a weight less than 10% of the clamp's working load limit (WLL) from slipping out of the clamp under reasonably foreseeable operating conditions. And the Renfroe patents show that the mechanisms that could accomplish a sufficiently high horizontal clamping force were known by at least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at p. 7 of his report Dr. Pearsall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inadequacies of the warnings supplied with the clamp are due to not warning about the risk of a plate's slipping from the clamp, not explaining how to prevent such slipping from occurring, and not making any such warning as permanent as the clamp itself. Attached to this report is a list of criteria for effective warnings that I use in my classes on design and seminars on safe-product design. But as important as warnings are, they are much less important than removing the hazard by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Pearsall acknowledged that this was the first case that he has had which involves studying and testing a lifting clamp specifically, although he has previously tested other kinds of clamps. However, he insisted that the fundamental principles of the engineering analysis that he performed applies with respect to all pieces of equipment. Furthermore, he insisted that testing a proposition by trying to re-enact an event through physical tests is not as reliable as, and certainly not as important as, doing the engineering calculations involved in what he said was the generally accepted method of failure analysis. He noted (not entirely facetiously) that the causes of motor vehicle and airplane crashes are not determined by attempting to re-enact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Dr. Pearsall pointed out that to begin with the working assumption in his calculations with respect to the distribution of weight or vertical forces on the cam and pad of the clamp was 50/50. However, after considering Hakkinen's work in particular, he changed that assumption to roughly two-thirds cam to one-third pad. That changed the coefficient of friction only slightly and also changed only slightly the ratio of the horizontal clamping force to the load lifted. He insisted, contrary to what was suggested to him in cross-examination, that the cam did not support by itself virtually all of the load lifted. That issue was central to his calculations and to his fundamental thesis in this case. It is a subject to which I shall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expert evidence tendered on behalf of the defendant was that of Mr. Franklin Roberts. Mr. Roberts is the head of an engineering consulting firm in Winnipeg, Manitoba. He received his Master's degree in Mechanical Engineering from the University of Manitoba in 1973. He is active in the professional engineering community in Manitoba and a perusal of his curriculum vitae indicates a particular interest in and knowledge of the field of welding. However, his CV lists twenty different areas or types of engineering projects in which he has been involved, including design of lifting devices (although not clamps), design of overhead cranes, structural design and failure analysis. However, like Dr. Pearsall, this case is the first in which he has been involved in the analysis of overhead lifting clamps.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Something about the presentation of his evidence to the court should be mentioned. He received and examined the subject clamp and pieces of plate and prepared his principal report before he had received the report of Dr. Pearsall. Therefore his report did not deal with or respond to the latter. Accordingly I permitted him to submit further reports and give testimony dealing not only with Dr. Pearsall's report but also with the evidence relating to the Everett incident. Of course, I also permitted him to present a brief report and testify concerning the Simpson incident which as I have mentioned occurred only very recently. I then permitted Dr. Pearsall to testify again in rebuttal to Mr. Roberts' evidence responding to his (Dr. Pearsall's) report and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preliminary observation about Mr. Roberts' evidence, I note that the basis of his conclusions in his first report that there is no minimum load limit for clamps of the subject type and as to why and how the plaintiff's accident occurred were based on tests which he devised and conducted and observations of the clamp and pieces of the plate (reproduced in photographs in his report). He did no pure engineering calculations. He did do such calculations in his second report critiquing Dr. Pearsall's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following are highlights from Mr. Roberts' first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New Merrill Model E 5 Ton Locking Clamp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operation of this type of clamp requires that the cam teeth imprint the surface of the steel plate so that it cannot slip. Friction alone is not sufficient to support steel plates when suspended with this type of clamp and cam, although other models of clamp are available which operate using friction pads for speciality materials.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Plate Sample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plate sample is seen in Photos 40 through 46. Photo 41 is an area on side 1 encircled with white dots which I was asked to assume to be the point at which the Merrill 5 Ton Clamp was engaged for lifting the plate sample when the accident occurred. Photo 45 shows a clear imprint of cam teeth penetrating the surface of the steel plate in a location adjacent to that encircled with white paint dots. Photo 46 taken on side 2, the opposite side of the plate shows the imprint of the swivel pad which has disturbed the mill scale on the plate surface and caused telltale lines of rusting in the pattern of the circular teeth.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Load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performed a series of load tests using one of the new Merrill, Model E, 5 Ton clamps. I conducted these tests at the facilities of EDA Mechanical Ltd in Winnipeg, a supply and service centre for cranes and lifting equipment. The load tests were conducted in a test frame with the clamp and plates arranged as seen in Photos 47 and 48. The Merrill clamp was suspended from a digital load indicating device seen in Photo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Plate samples were placed in the jaws of the lifting clamp with a chain sling attached by a clevis to the bottom of the plate and affixed to a lever with an Acme thread screw used to apply load to the plate sample and clamp.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samples were fabricated from 3/8 inch thick CSA G40.21 Grade 44W steel, material of the same type reported to have been lifted by Mr. Hall. The samples measured 3 inches wide x 8 inches long with a hole at the bottom end to receive a shackle for load application. The samples were lightly sanded to remove loose mill scale.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load tests were performed with loads ranging from 450 to 5015 lbs. For each loading an individual sample was used so that the imprint of the cam teeth could be inspected and measured. The loads for each test are listed in Table 1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testing I observed that the steel plate samples were gripped as soon as the locking lever was pulled upwards and the cam teeth touched the plate surface. The plate surface was imprinted immediately upon contact by the cam teeth.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observed that no slippage occurred during the testing of any of the samples. Increasing load resulted in increasingly deeper penetration of the cam teeth as seen in Photos 50 through 61 of each of the samples.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10-11)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Dynamic Load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simple load test was conducted in order to observe the performance of the clamp when the load was jostled, set down or struck.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section of 3/8 inch thick steel plate weighing approximately 60 pounds was hung from the plate clamps supported by a chain hoist. The chain hoist had a relatively fast lift speed of approximately 40 feet per minute.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section of plate was lifted then set down as rapidly as possible, striking the steel plate on the floor. The plate was repeatedly lifted and set down. The plate was then laid over on each side with as rapid an action as possible jostling the plate as it went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cases the grip of the clamp remained firm and the position of the clamp on the plate did not change at any time during this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Next a small plate measuring 3" x 6" was inserted in the clamp. This plate was struck from the side, below and behind with a hammer. While the blow from the side succeeded in moving the sample, the plate would not release from the clamp.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11-12)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Simulation of Plate Lifting - 60" x 120"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performed a test simulating the lifting and turning of a plate resembling as close as possible the plate lifted by Mr. Hall. The test was performed to assess what problems may have been encountered by Mr. Hall in performing such an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plate measured 3/8 inches thick by 60 inches wide and 120 inches long conforming to CSA Standard G4021 Code 44W. The weight was approximately 800 lbs. The plate resembled the plated lifted by Mr. Hall with the exception that there was no protrusion on the bottom 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lifted the plate from a standing position similar to the position where it would sit in the crop rack at A.J. Forsyth then layed the plate over to the horizontal position. I first layed the plate over with the clamp positioned correctly so that the swivel pad would be on the underside as the plate was set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I purposely layed the plate over with the clamp positioned incorrectly so that the locking cam was on the bottom. This procedure is improper because the weight of the plate is pushing against the cam causing a reduction in the clamping force. Photos 63, 64 and 65 show the position of the plate through each phase of the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clamp held the plate firmly in position while laying the plate over, both with the correct and the improper procedure. However, it could be seen from the imprint of the cam, that the gripping force was substantially reduced when lifted with the clamp mounted with the cam on the underside. Photo 66 shows the cam imprint on the test plate from the clamp positioned correctly. Photo 67 shows the imprint on the test plate with the clamp positioned improperly.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that the subject cam had experienced considerable wear and chipping. Most of the teeth along the centre portion of the cam had numerous chips. This wear area appeared to correspond to plate thickness ranging from 3/8 to approximately 1 inch thickness. Teeth at the extremities of the cam profile appeared to be in new condition some teeth even having the original factory paint undisturbed.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chipping of the teeth on the subject cam would reduce their ability to penetrate the surface of the steel and therefore would substantially reduce the holding capacity of the clamp for thickness where chipped teeth contacted the plate surface. The cam was sufficiently chipped that it should have been replaced.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Scratches from Plate Clamp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Encircled in White Paint Dots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examined the pattern of marks encircled in white paint dots.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asked to assume that this area is the location where the subject clamp was attached to the plate at the time of the accident and from where the plate clamp is believed to have released causing the plate to drop.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match between the pattern of scratching and the tooth profiles on the subject cam could be confirmed.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unique features of the scratches which I observed under the stereo microscope at higher powers was a wavy undulating pattern along the surface extending not only across areas of mill scale but also across painted surfaces.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conducted further tests where a 3/8 inch thick test steel sample with undisturbed mill scale were passed from the bottom up through the clamp with the clamp in the locked position. I found that a shuddering pattern seen in Photos 69 and 70 occurred which was similar to the scratches on the subject plate seen in Photos 43 and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rippling effect resulted from the spring on the locking mechanism causing the cam to shudder across the surface of the steel plate. The cam, shuddering in this manner, passed over painted surfaces without removing the paint, yet leaving the telltale ripple. It was clear from this test that the marks encircled in white paint could only result from the downward travel of the plate clamp with the spring partially or fully engaged.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information sent, I understand that Mr. Hall had lifted the plate from a rack and transferred it to the plasma table where the accident occurred. The plate clearly could not have been lifted at the location encircled by white paint dots since there were no engagement marks from the cam teeth. The scratches observed were only consistent with installing the clamp and pushing it downwards with the spring engaged. The clamp must have been released by lowering the locking mechanism to remove the clamp from this location. The observed scratches and lack of engagement marks are consistent with removing the clamp to place it in a more favourable location or orientation, assuming the clamp had just been placed at this location before the accident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latter paragraph is the first statement of the defendant's fundamental thesis as to how the plaintiff's accident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Performance of Subject Clamp Locking Mechanism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tested the operation of the locking mechanism on the Subject Clamp comparing it to that of the two new Merrill 5 Ton clamps which you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with little or no pressure on the cam, the slightest contact of the cam with the plate caused it to engage firmly. The grip set deeply under load leaving the characteristic tooth pattern. Once the cam set into the surface of the plate it required the locking mechanism to be unlatched before the plate could be released.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Opinions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load testing using the Merrill, Model E, 5 Ton clamp and comparison of the clamping action of a Merrill, 3 Ton, Model E clamp I found no lower limit of load below which the clamp would not perform properly.</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scratch marks on the subject plate encircled by the paint dots and believed to be the location where the plate was lifted at the time of the accident were not associated with lifting this plate. These scratches resulted from a cam with teeth having a chipped profile moving across the plate in a downward direction, with the latch and spring engaged. These scratches were caused during the action of putting a clamp on the plate.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telltale mark of the swivel pad on side two of the steel plate in a vertical line with the scratches encircled by the white dots was not associated with lifting of the plate.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grip marks on the plate adjacent to the white paint dots were made by a Merrill or similar lifting device at a load in the range of 2500 to 4000 lbs. This would correspond to the weight of a full size or nearly full size plate prior to cutting. This grip mark was made at some other time and not with the subject cam.</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Hall was in a position immediately beside the steel plate, at its centre, on top of the plasma table at the time of the accident. This was inconsistent with the action of laying the plate down on the table. If the position in which the lifting clamp was found can be confirmed to be the location encircled by the white paint dots, then it is possible that Mr. Hall was repositioning the clamp holding the plate with the bottom edge of the plate resting on the plasma table. This type of activity is consistent with the scratch indications found on the subject steel plate. The lift made to bring the plate to the top of the plasma table was not made at this location [on the plate] with the subject clamp.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Opinions No. 1 and 5 are of course the core of Mr. Roberts' view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Roberts' second report was entitled "Review of Pearsall Report". Following are highlights from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Facts and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in my earlier report, the marks on the subject plate are definitely not related to lifting the subject plate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Clamping Mechanism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Pearsall has based his analysis and calculations on the belief that the subject clamp operates by friction between the gripped plate, cam and swivel pad.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appears to be a fundamental misunderstanding of the subject Merrill clamp. The clamp does not operate as a friction clamp. The clamp grips a plate when the cam comes into contact with the material and is drawn downward penetrating the surface of the plate. It is the penetration of the plate by the teeth which grips the plate. Consequently, the coefficient of friction of the plate surface does not alter the gripping of the clamp. Further, the spring mechanism of the locking arm plays a negligible role in the clamping force. The spring serves to bring the cam in contact with the plate, which initiates the gripping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article by K. Hakkinen referenced in the Pearsall report is clear on the distinction between a friction clamp and a design such as the Merrill clamp with profiled teeth. Although the majority of the article deals with calculations for friction clamps, Hakkinen states on page 27 "When the cam surface is profiled, the teeth penetrate a small area of the plate. Such attachment is not pure friction attachment."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conducted several tests with materials of differing coefficients of friction to verify the operation of the mechanism under various conditions. These tests are described in this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Clamping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calculated the clamping force of the subject clamp and found a ratio of 2.7 for 'Hc' vs the vertical load. This value is for a .405" plate thickness and varies somewhat with the thickness of plate being gripped.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verify the calculated horizontal clamping force I conducted several tests described later in this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Roberts then conducted certain tests with a view to confirming his opinions regarding friction and his calculations of the clamping forces of the clamp. He found that "there was no evidence of slippage" on materials (polished aluminum, lubricated polished aluminum and polished nylon) that have a much lower coefficient of friction than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 passage entitled "Measurement of Horizontal Clamping Force - Visual" at p. 7, he recites that he designed an apparatus to press the cam directly into a strip of aluminum and loaded the apparatus with several weights from 1100 to 3200 lbs. He found the grip marks from loads of 2000 to 2500 lbs "most closely resembled the grip marks from a vertical load of 800 lbs". This corresponds to a ratio between 2.5 and 3.1. This closely matches the calculated horizontal ratio of 2.7" which he had calculated for the subject clamp.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concluded that since the marks of an 800 lb load resembled visually those of the other loads whose clamping force ratio were known to be 2.5 to 3.l, that confirmed the correctness of his calculations of 2.7 as being the clamping forces for the 800 lb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then designed an experiment with a bar which he had calibrated and mounted with strain gauges. The latter are electrical devices which measure forces applied to the bar through wires which are attached to it. The bar was inserted into a Merrill E 5-ton clamp and loads applied. According to Mr. Roberts, the testing showed a ratio of horizontal clamping force to vertical load of 2.04. This testing was actually performed by one S. Dino Philopulos B.Sc, E.I.T. at the University of Manitoba and the disclaimer in the report prepared by the University notes that "testing procedures covered in this report were performed according to the instructions and specifications of the client (Mr. Roberts) .... A standard test method was not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testimony Mr. Roberts elaborated upon his position that the subject clamp does not operate on the basis of friction. He said that it depends rather on the biting action of the teeth of the cam and the width of the contact area of the teeth defines the force of the grip. Questions of friction and coefficients of friction apply to relatively flat surfaces but not to surfaces which are "profiled" or where there is "real physical interference". He did not say whether engineering science had different concepts or terms for the forces applied under such circumstances (that is, other than "bite" and "physical interference") or different equations for the calculation thereof nor was I told that he used different equations than did Dr. Pearsall in calculating the horizontal clamping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Further to his observation that there were no pad marks on the side of the plate opposite the cam marks, he testified that in fact the pad acts "like an anvil" and supports virtually none of the load of the plate. He said that because the cam teeth bite into the plate as it is engaged it is the cam which supports just about all of the load and the friction forces on the pad side are negligible. He agreed that that was central to his calculations of the horizontal clamping forces (2.7) which he made for his second report and he agreed that if the load forces supported by the cam and pad were divided 50/50 or two-thirds/one-third, the results of his calculation of the gripping force would have to be reduced accordingly and that would bring it close to Dr. Pearsall's calculation of approximately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he reiterated that based on the position of the plaintiff on the table where he was found as represented by the sketch in the initial company report of the accident (Exhibit 2-41) and his observations of the scratch marks on the plate as set out in his report, it was his opinion or "theory" that the plaintiff was attempting to reposition the clamp on the plate while it rested upright on the table at which point it fell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to the Everett clamp, Mr. Roberts' evidence was that his investigation showed that the teeth of the cam in the area that would have gripped the three-quarter inch plate that Larson had lifted were so worn and rounded that they "could not penetrate the surface of the three-quarter inch plate to be lifted" (his report) and that although some clamping force remained in the clamp it could not "reliably" lift a three-quarter inch plate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to the Simpson plate, he could not determine any cause for the slippage. To quote his report, "What remains unanswered is why the cam teeth did not grip the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evidence was tendered as to the technical aspects of the operation of the subject clamp through the testimony of Mr. Richard Bates, to whom I have previously referred. He was not tendered as an expert witness so as to be covered by the notice requirements of Rule 40A and in any event he was examined for discovery by plaintiff's counsel on behalf of the defendant. Mr. Bates is the holder of a Bachelor's degree in mechanical engineering from Syracuse University and a Master's degree in wood processing engineering. He is not a practising professional engineer. He has been employed by the defendant since 1997 when he was hired as a design engineer for its steel lifting clamps. He had no design experience before joining the company. In 2001 his duties for the company were expanded to cover a wider range of its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Bates testified that in his view friction "in the strictest sense" plays a very minor and insignificant role in the functioning of the subject clamp, at least with respect to the cam teeth. Furthermore, it was his view based on his observations of the wear in clamps which had been returned to the company for one reason or another that the cam bears the vast majority of the load in the lifting process and the pad bears very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testified that subsequent to the plaintiff's and the Everett accidents, he had performed a "free body analysis", that is, calculated by the use of engineering equations the horizontal clamping forces of the Merrill E 5-ton clamp and his results were, depending on the thickness of a plate, ratios of from 2.75 to 4.65 of vertical load. That, of course, approximates Mr. Roberts' calculations rather than those of Dr. Pearsall. He agreed in cross-examination that there were slight differences from the subject clamps in the shape and geometry of the cam models he used to make his calculations which would affect his calculations somewhat, but not in a major way. However, he agreed that his calculations were based on the premise that, as just mentioned, the cams bear the vast majority of the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his examination for discovery he had testified that some sort of frictional force exists between the plate and the pad and that the ridges of the pad deform the plate, thus acknowledging that the pad presses against and creates some force against the plate. He also acknowledged that although "colleagues" reviewed his calculations, he did not do any tests or use any measuring devices to check them, nor did anybody on behalf of Coopers (except, of course, Mr.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to the issue of the minimum load warning, he said that after the Everett incident he saw the reference in the company's Products Warning Manual to the minimum one-fifth load limit. Because he thought it was a "possibility" that the lightness of the load had been a factor in the accident he decided "out of an abundance of caution" to insert the warning in the Operator's Manual. He did this in spite of the fact that he had inspected the clamp in question and had concluded that its teeth were too worn to be used. However, he received many complaints from users of the clamp about the warning. Furthermore, the company's records contained no testing or calculations with respect to minimum loads and he was not aware of any scientific research confirming such an idea. As a result he did not know why the warning had been inserted in the Products Warning Manual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became aware that the plaintiff in this action was alleging that that there were minimum load limits so he consulted with colleagues and superiors and it was decided he should do some testing of his own. These were the first tests ever performed by Cooper with respect to the question of minimum safe loading. A test protocol was drawn up (Exhibit 2-16) which, incidentally, acknowledged in its text that "swing and bump (incidents) while prohibited in our manuals, do occur often in practice". Some twenty tests were performed with each of three different loads with respect to each clamp model. They consisted of "swing and bump" tests in which a suspended plate was pulled about one foot away from an object and permitted to bump into the object. The tests were performed by personnel of the company, not by any outside agency. He concluded as a result of the tests that there was no minimum load limit for the company's clamps and it was decided to remove such warnings from the company's literature. Nevertheless the company did continue to publish the following warning "Match clamp to load. Don't use a big clamp to lift a small load". This language had existed in previous manuals and Mr. Bates insisted that it was reinserted after the testing for "ergonomic" reasons, that is, to permit the operators to use lighter clamps when conditions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Bates acknowledged, however, that all major companies which manufacture similar clamps do include a warning regarding minimum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the accidents the reports of which he had recorded in his daytimer, he felt the Wisconsin accident was due to the fact that the steel plate which dropped was beyond the recommended hardness of steel to be lifted by the subject clamp and that the Trail accident happened because the tension arm was unlocked at the time of the lift. He acknowledged, however, that even under the latter circumstances once the lift is initiated the weight of the load should hold the clamp shut but, he then said, if it is bumped or jerked while being carried like that the plate can slip out. I find that curious given the defendant's position, as I understand it, that dynamic loading could not have anything to do with the slip of the plate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he agreed that the only company records relating to these two accidents are his daytimer notes. In fact when he came to the company there was no repository or organized recording of accident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Pearsall had been made aware of the tests and calculations made under Mr. Bates' direction and he was examined and cross-examined in that regard. Essentially his position was that the tests were too rudimentary (my word, not his). He acknowledged that he could not be certain if the tests were adequate because he did not know the statistics pertaining to the tests. He said, however, that a rule of thumb in such circumstances is that a minimum of thirty tests should be performed. To be able to express any opinion or draw any firm conclusions on the basis of testing (such as, for example, to be able to safely remove warnings from the manuals) he would need to achieve "99% confidence . . . 95% confidence is not enough". He said he thought Mr. Bates' tests achieved a "70% range of confidence". He reiterated that in any event tests were not essential to arrive at a conclusion and opinion with respect to the issues at hand because proper failure analysis by free body analysis and moment testing based on engineering equations that "have been around for hundreds of years" is more reliable (although proper testing could, of course, add a degree of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Pearsall also disputed Mr. Bates' clamping forces calculations. He said that the principal error in that regard was that Mr. Bates had failed to take into account that the swivel pads of the clamps support from one-third to one-half of the weight of the loads so that his result or results had to be reduced by up to one-half. He also pointed out that Mr. Bates had not taken into account the spring force of the tension lever, although that was admittedly a minor factor. Finally, he pointed out that in making his calculations Mr. Bates had used only drawings of the cam and that the proportions on the drawings were inaccurate. That would affect the calculations because they are in good part based on measurements of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rebuttal of Mr. Roberts' assertion that he (Dr. Pearsall) had a "fundamental misunderstanding" of the operation of the subject clamps, Dr. Pearsall testified that his calculations of clamping forces and view as to the fundamental role of friction in the operation of these clamps are consistent with all the scientific literature on the subject and, he said, "I've looked". Needless to say it was his position throughout his testimony that they also accorded with fundamental engineering principles which are applicable universally. In particular, he asserted that Mr. Roberts' calculations of the clamping forces, (as had been Mr. Bates') were fundamentally flawed because of their failure to account for the load supporting function of the pad. As mentioned previously he said that he had modified or "supplemented" his assumptions of a 50/50 sharing of load to approximately two-thirds/one-third. His calculations in that regard showed sharing of the load by the cam and pad to be 63 percent and 37 percent respectively. That modified the result of his gripping force calculations to a range of 1.2 to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to Mr Roberts' calibration bar tests with the use of electrical strain gauges (with which in fact he has had extensive experience), he pointed out that the tests were not a standard experimental technique but a novel one devised by Mr. Roberts and he noted the disclaimer by those conducting the tests for Mr. Roberts. He reviewed several technical aspects of the tests which he said raised serious doubts as to their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Finally, he agreed that the fundamental difference between his and Mr. Roberts' and Mr. Bates' calculations as to the clamping forces is due to the different assumptions as to the sharing of the loads by cam and pad. He also agreed that the debate over the part of friction in the operation of the clamps is for the most part semantical. He said he would be content to call the force applied by the teeth to the cam "physical interference" but that would not affect the fundamental principles and calculations involved in the analysis of the clamping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Interestingly, there is a description in layman's terms of the theory of the operation of lifting clamps in a Sales Training Manual of the defendant (Exhibit 33)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clamp lifts by gripping the plate within its jaw opening, thereby creating friction between the contact surfaces of the load and the clamp. Friction is the resistance to motion which takes place when one body is moved upon another. The force of friction is dependent upon the properties of the contacting surfaces of the plate and the clamp.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diagram below reviews the forces involved in a lift. The camming action of the clamp converts the weight of the plate (W) into the camming force (F). In order to lift a plate, the product of the camming force and the friction coefficient (fc) must be equal to or greater than the weight of the plate, otherwise the plate will slip. The friction coefficient (fc) varies and is dependent on the wear of the clamp's cam teeth.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clamp makes contact and "grips" the plate with the pad and the cam; which are made of tool steel and heat-treated for hardness allowing their teeth to "bite" into the plate. The condition of the pad and cam is critical to safe lifting and they should always be inspected prior to lifting and should be replaced when worn or damaged. As the cam wears, the friction coefficient decreases until the product of the camming force (F) and the friction coefficient (fc) is less than the weight of the plate (W) causing the plate to slip. The minimum friction coefficient necessary for safe lifting can be calculated, however where that critical wear limit point is on the cam tooth cannot be computed exactly by calculation and adequate safety margins must be maintained. Only Merrill clamps have a double groove wear indicator that clearly shows when the cam should be replaced.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camming force (F) is fixed in the design of the clamp and is critical to the minimum friction coefficient (cf) required for safe lifting. The higher the clamp's designed camming force ratio the lower the required friction coefficient for lifting. The higher camming force ratio results in a longer cam life and a safer clamp.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foregoing is of particular interest in that with respect to the part that friction plays in the operation of the clamp and the load-bearing role of the pad it appears to be in conflict with the evidence tendered on behalf of the defendant but consistent with that of Dr. Pearsall.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Some observations should be made at this point as to what other information the court has as to the differences between Dr. Pearsall and Mr. Roberts as to the nature of the clamping forces generated by the clamp.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perusal of Mr. Hakkinen's paper (Exhibit 11-18) as a whole demonstrates clearly that considerations of friction play a major part in his engineering analysis of the operation of clamps.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p. 25 Mr. Hakkinen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design of clamps requires an understanding of the mechanics involved. The forces and dimensions needed for the calculation of an eccentric clamp are shown in Figure 4.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Figure 4 is a schematic representation of an eccentric clamp on which are written symbols needed for engineering equations and calculations. However, Figure 3 immediately above Figure 4 contains a scale (although not life size) drawing or representation of the type of eccentric clamp being discussed by Mr. Hakkinen and the cam in that representation is clearly toothed or serrated. I now cite a few typical passages from the paper regarding friction and cams.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that this system be better understood, two conceptions of friction are defined here. The physically possible friction Á depends on the properties of the contacting surfaces. The required friction is the friction needed for the mechanical equilibrium of the system.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system" in that passage refers to the "the eccentric clamp" in the passage cited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safety margin of the cam friction is especially important because the friction of the pad side always tends to be near the physically possible value. The higher the possible friction value is on the pad side, the greater is the safety margin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practice, several causes are generally found when an accident takes place. The faults leading to clamp detachment may arise due to errors and factors of design, selection, maintenance, the transport of the load and events in the environment (see fault tree, Figure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fault tree illustrated in Figure 5 seems conclusive of the issue. The lowest branch of the tree proceeds from "plate attachment" to "friction too low" to "friction conditions weakening" to "bad friction surfaces" to the final item on that branch, "wear of teeth". To summarize it would seem that the tree says that worn teeth can lower friction resulting in plate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Roberts points to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cam surface is profiled the teeth penetrate a small area of the plate; this leaves tracks on the plate. Such attachment is not </w:t>
      </w:r>
      <w:r>
        <w:rPr>
          <w:rFonts w:ascii="arial" w:eastAsia="arial" w:hAnsi="arial" w:cs="arial"/>
          <w:color w:val="000000"/>
          <w:sz w:val="20"/>
          <w:u w:val="single"/>
          <w:lang w:val="en-US" w:eastAsia="en-US" w:bidi="ar-SA"/>
        </w:rPr>
        <w:t>pure</w:t>
      </w:r>
      <w:r>
        <w:rPr>
          <w:rFonts w:ascii="arial" w:eastAsia="arial" w:hAnsi="arial" w:cs="arial"/>
          <w:color w:val="000000"/>
          <w:sz w:val="20"/>
          <w:lang w:val="en-US" w:eastAsia="en-US" w:bidi="ar-SA"/>
        </w:rPr>
        <w:t xml:space="preserve"> friction attachment.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it seems clear that Mr. Hakkinen is there simply observing that when the teeth of the cam bite well into the plate the attachment is not a function of friction only. To repeat, the clear premise of the article in which a discussion of friction plays such a prominent role is that eccentric clamps with toothed or serrated cams are being discussed. On all the evidence I simply cannot accept Mr. Roberts' basic contention that because of the toothed configuration of the cams friction plays no or just a minor part in the operation of the subject clamps.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note one further brief passage from Mr. Hakkinen's article with respect to the debate between Dr. Pearsall and Mr. Roberts at p.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cam side and the pad side of the clamp have different friction characteristics, and they hold unequal shares of the load. It has been proved that the friction on the pad side is normally used to its physically possible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That seems to assume that the pad supports if not an equal amount of the load at least some significant portion of the load. If in the opinion of Mr. Hakkinen it supported none or virtually none of the load surely he would have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Pearsall testified that he had also perused the two articles written by German engineers referred to by Mr. Hakkinen regarding the operation of such clamps and that they confirmed his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consideration of all the above evidence demonstrates that, as mentioned above, central to the minimum load issue is the calculation of the clamping forces of the subject clamp. The principle task in that regard is to resolve the debate between Dr. Pearsall on the one hand and Mr. Roberts and Mr. Bates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By way of general observation as to the defendant's position that Dr. Pearsall has a "fundamental misunderstanding" of the operation of these clamps, I note that Dr. Pearsall clearly understood, as anyone would, that the teeth of the cam in the Merrill clamp "bite" into the load being lifted. Dr. Pearsall's qualifications speak for themselves. It is inconceivable to me that he would not have taken that fundamental fact into account in his engineering analysis and calculations regarding the clamp. Whether the force the teeth exert once they are fully engaged, that is, have firmly bitten a good way into the plate, is "friction" in strict engineering terms or whether "pure" friction is only the resistance force that operates until some point where the "biting" forces take over is, it seems to me, essentially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Firstly, all the material on the subject (including Cooper's own material) that was put before me indicates that in terms of physics, friction is a component of the mechanism of the clamps and must be accounted for in an engineering analysis of their operation. In any event, evidently the debate does not affect the engineering equations and methods of calculation which must be used to calculate the clamping forces. As noted, Dr. Pearsall said that the debate was largely semantical and he would even be comfortable to talk about the effect of the cam teeth in Mr. Roberts' terms, namely, "physical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apparent that the fundamental difference between Dr. Pearsall and Mr. Roberts as to the calculation of the clamping forces of the Merrill E 5-ton clamp is the difference in their assumptions regarding how much of the load is borne by the swivel pad. On balance I must accept the view of Dr. Pearsall that the pad supports a significant part of the load. No explanation was forthcoming in engineering terms why what seems to me to be the natural assumption that some pressing and weight-bearing force would emanate from that side of the clamp should not be so. I note that Mr. Bates originally was of the view that the pad exerted friction forces and bore some of the load. He has modified that view, he says, because of his observation of the wear on cams and pads that have been returned to the company. However, that struck me as a somewhat tenuous basis on which to have such a fundamental change of scientific opinion and, without meaning to be unkind, I think his recent conversion to Mr. Roberts' views may have more to do with how the issues in this litigation have evolved.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note also that, as mentioned above, Mr. Hakkinen's work seems to support the contention of a weight-bearing role for the 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Roberts' position as set out in his first report that there was no safe minimum load limit, it must be remembered, was not based on engineering calculations but on tests which he devised himself as was, in part, his opinion in his second report that Dr. Pearsall's calculations as to the clamping forces were erroneous. Dr. Pearsall pointed out the risks of such tests and was insistent that failure analysis using engineering equations is much more reliable, particularly in the circumstances of this case. It occurs to me, that bearing in mind in particular that the allegation in this case is that failures of clamps once they are engaged occur only relatively rarely, it might be difficult to replicate in a laboratory setting the conditions necessary to provoke such a failure, particularly given the limited number of tests possible. In sum, deductive rather than inductive reasoning may be safer in such circumstances because the tests might not provide sufficient empirical evidence from which to safely draw the conclusion that the clamps are not unsafe in certain relatively unusual (but perfectly foreseeable)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Roberts was at first of the opinion that worn teeth were the cause of the failure in the plaintiff's case and his opinion still is that worn teeth were the cause of the failure in the Everett case. However the very firm opinions of all the people "on the ground" who testified - the plaintiff, Parsons, Simpson and Mr. Douglas Hargitt (the plant manager) - were that the cam teeth of the plaintiff's clamp, of the Everett clamp and of the Simpson clamp were in good operating condition, that is, were not too worn or chipped to be used. I certainly cannot dismiss out of hand the opinions of people who have had such extensive practical experience with these clamps. On the contrary, I think I must give their evidence significant weight. It occurs to me that Mr. Roberts' opinion as to the fundamental mechanism of the operation of the clamp, that is, that the cam teeth support virtually all the weight of the load, might well have had something to do with his opinions as to the safety of the cam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sum, therefore, I accept Dr. Pearsall's calculations of approximately 1.2 to 1.4 as the ratio of the clamping forces of the subject clamp to the weight of the plate the plaintiff was lifting (766 lbs) as opposed to Mr. Roberts' and Mr. Bates' calculations of between something over 2 to something over 4. The evidence is that Dr. Pearsall's ratio is close to the point of equilibrium of the forces of the subject clamp such that a "bump" or some other form of sudden dynamic loading can cause a slip of a plate from its grip.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note also at this point (without recapitulating) the evidence of the pattern of accidental slippages of relatively light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must also note that all other major manufacturers of similar clamps clearly and unequivocally establish and notify users of their products of a minimum safe loading limit. There was no evidence before me as to how or why those other manufacturers arrived at their decisions to give that advice and I must therefore be cautious as to what weight to give the evidence of such a practice. However, I cannot say that it is of no evidentiary significance. In this regard it may be significant that according to Mr. Bates the defendant evidently kept no organized records of accidents with its clamps and no engineering analyses thereof, at least not until after the plaintiff's and the Everett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note also that the Workers' Compensation Board of B.C. and an English body called The Lifting Equipment Engineers Association recognized the existence of minimum load limits for such overhead lifting clamps. However, it appears that their positions in this regard are based largely on warnings issued by manufacturers of these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Before arriving at a final conclusion as to the minimum load issue and the cause of the slippage of the plate in this case, I must consider the thesis of the defendant as to the plaintiff's actions. It is referred to in Mr. Roberts' reports and expanded upon in his testimony. He examined very carefully the marks in the area on the subject plate where Forsyth's investigators of the accident believed it to have been gripped by the clamp before it slipped and fell on the plaintiff. His conclusion was that they were not the type of indentations made by the teeth of a cam lifting a plate. Their position on each side of the plate relative to each other and their appearance indicated a sort of scraping action. In particular there were a series of marks of a rippling nature which, he concluded, could only be made by the plate being pushed upwards into the jaws of the clamp or, conversely, the clamp being pushed down onto the plate, with the tension arm closed or locked. Therefore, assuming the marks in question were made at the time of the accident, he suggests that, having mounted the plasma table with the plate and having rested its lower edge on the surface of the table, the plaintiff was for some unknown reason not satisfied with the position of the clamp on the plate. He then released the tension arm, took the clamp off the plate, repositioned it on the plate, relocked the tension arm, and pushed the clamp down the plate about half an inch causing the rippling marks - all of which he did presumably while keeping the plate upright with his other hand (or, worse still, with his body) at which point the clamp released and the plate fell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Firstly, I must observe that there is no direct evidence of this scenario. In his first report Mr. Roberts referred to it as "possible" and I must observe also that the evidence pointed to as being the foundation of this conclusion, namely the "rippling" marks and the absence of slippage marks, is thin in my view and makes the conclusion virtually speculation. Indeed, the surrounding circumstances seem to point away from it. Mr. Sawchuck said that when he arrived at the accident scene the clamp was swinging some six to seven feet above the table. The lever was closed. If the plaintiff were repositioning the clamp why would he not put it into the position he wanted on the plate and then close the lever rather than, as suggested, close the lever putting the jaws into contact with the plate and then try to push the clamp into the position he wanted. The evidence of Mr. Hargitt and Mr. Simpson was in effect that such a manoeuvre would have been so extraordinarily dangerous that nobody would have done it - "lunacy" in Mr. Simpson's words. Mr. Hargitt characterized such a scenario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believe anybody would do that - we've never permitted it - it doesn't make sense - it would be completely dumb - incredible - makes no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Hargitt pointed out also that in that scenario most or all of the plaintiff's body would likely have been caught under the plate when it fell, perhaps resulting in his death. I note again the evidence of Mr. Sawchuck in cross-examination that when he started to attach the clamp to the plate to lift it off the plaintiff, the plaintiff protested loudly, telling Mr. Sawchuck that he was afraid that the plate would slip out of the clamp again. The surrounding circumstances and spontaneity of that utterance tend to give it the res gestae earmarks of truth. Finally, I must note that when the plaintiff denied Mr. Roberts' scenario when it was put to him in cross-examination, his demeanour appeared to be that of a person definitely telling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Nor do I think that the slippage could have occurred simply because the plaintiff had inserted the plate badly into the jaws of the clamp. He had lifted it from the rack and brought it over to the table so the grip must have been well established. To repeat, all the evidence is that once a lifting starts and a grip is established only a bumping or some other kind of dynamic loading can make the plate slip. Mr. Hargitt said that it was not uncommon for a slippage to occur when the operator first starts to lift a plate out of the rack where it is stored. He said that he is not sure why that occurs. However, once the plate is lifted out of the rack and the grip established slippages are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therefore conclude that the accident in this case must have been caused by the plaintiff having exerted dynamic loading on the clamp in some way he was not aware of or does not now remember. Because of the plate's relatively light weight, which has not been adequately accounted for and guarded against in the design of the clamp, the dynamic loading, perhaps combined with some other factor making the lightness of the load more dangerous (Dr. Pearsall mentioned, for example, mill scale or grease) caused the plate to slip from the clamp. That is the most likely construction of the evidence and I am satisfied on a balance of probabilities that that is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the basis of all the foregoing I must conclude that the plaintiff's fundamental thesis as to the design of the subject claim is sound, namely, that such clamps do have an effective minimum load limit, that is, that they are not designed to exert a sufficiently high horizontal clamping force when loaded with a relatively light steel plate to prevent the plate from occasionally slipping out of the clamp under reasonably foreseeable circumstances, for example, the accidental or unintended application of dynamic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Furthermore, it appears that it is feasible that such a danger can be for the most part designed out of such clamps. For example, the evidence was that the Cooper GX and GXL clamps are better at withstanding at least light bumps because of the different design of their tension or locking arms. More importantly, Dr. Pearsall's evidence was that the Renfroe clamp, because of its locking spring design, would exert a clamping force in similar circumstances of between 2 and 3 and that design has been known (based on patent records) since 1979. I note also Mr. Simpson's evidence that he has never seen a Renfroe clamp fail. It should also be noted however that even the Renfroe clamp is accompanied by a manufacturer's warning as to a minimum load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 DESIGN DEFECTS AND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law in this area as set out in the jurisprudence is well known and does not need to be reiterated at length. Manufacturers owe a duty to consumers of their products to see that there are no defects in them which are likely to give rise to injury in the ordinary course of use. If the product is dangerous, although suitable for use, they cannot, without more, pass the risk of injury to the user (Lambert v. Lastoplex Chemicals Co. Limited, </w:t>
      </w:r>
      <w:hyperlink r:id="rId162" w:history="1">
        <w:r>
          <w:rPr>
            <w:rFonts w:ascii="arial" w:eastAsia="arial" w:hAnsi="arial" w:cs="arial"/>
            <w:i/>
            <w:color w:val="0077CC"/>
            <w:sz w:val="20"/>
            <w:u w:val="single"/>
            <w:shd w:val="clear" w:color="auto" w:fill="FFFFFF"/>
            <w:lang w:val="en-US" w:eastAsia="en-US" w:bidi="ar-SA"/>
          </w:rPr>
          <w:t>[1972] S.C.R. 569</w:t>
        </w:r>
      </w:hyperlink>
      <w:r>
        <w:rPr>
          <w:rFonts w:ascii="arial" w:eastAsia="arial" w:hAnsi="arial" w:cs="arial"/>
          <w:color w:val="000000"/>
          <w:sz w:val="20"/>
          <w:lang w:val="en-US" w:eastAsia="en-US" w:bidi="ar-SA"/>
        </w:rPr>
        <w:t xml:space="preserve">). A duty to ensure the product is free of defects encompasses both defects of manufacture and of design (Tabrizi v. Wallon Machine Inc. </w:t>
      </w:r>
      <w:hyperlink r:id="rId163" w:history="1">
        <w:r>
          <w:rPr>
            <w:rFonts w:ascii="arial" w:eastAsia="arial" w:hAnsi="arial" w:cs="arial"/>
            <w:i/>
            <w:color w:val="0077CC"/>
            <w:sz w:val="20"/>
            <w:u w:val="single"/>
            <w:shd w:val="clear" w:color="auto" w:fill="FFFFFF"/>
            <w:lang w:val="en-US" w:eastAsia="en-US" w:bidi="ar-SA"/>
          </w:rPr>
          <w:t>(1996), 29 C.C.L.T. (2d) 176</w:t>
        </w:r>
      </w:hyperlink>
      <w:r>
        <w:rPr>
          <w:rFonts w:ascii="arial" w:eastAsia="arial" w:hAnsi="arial" w:cs="arial"/>
          <w:color w:val="000000"/>
          <w:sz w:val="20"/>
          <w:lang w:val="en-US" w:eastAsia="en-US" w:bidi="ar-SA"/>
        </w:rPr>
        <w:t xml:space="preserve"> (B.C.S.C.)). Where a product is dangerous the manufacturer has a duty to give the user an adequate warning. Such a duty is a continuing duty requiring the manufacturer not only to warn of dangers known at the time of sale but of dangers discovered after the product has been sold and delivered (Hollis v. Dow Corning Corp., </w:t>
      </w:r>
      <w:hyperlink r:id="rId164"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mentioned the defendant provided virtually no warning of a minimum load limit to its end users. Such a warning appeared briefly in its Products Warning Manual in 1996 and never in any of its other material, including its Operator's Manuals. Mr. Hargitt, the plant manager, testified that he had never been made aware from any source of such a risk. I do not, of course, have to decide whether the manufacture and marketing of the Merrill E 5-ton clamp accompanied with a very full system of warning to its end users would have exculpated it from any liability for the risks inherent in its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As I have mentioned, inherent in the design of the subject clamp was a foreseeable risk to its users and there was not an adequate warning thereof. That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and for the purposes of this action was the effective cause of the slip of the plate from the clamp.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THE THIRD PARTY A.J. FORSYTH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mentioned, the allegation against Forsyth is that it failed to provide a safe workplace environment and failed to adequately train and supervise the plaintiff with respect to the operation of the clamp.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was argued that Forsyth did not maintain and adequately organize and document its safety programme for its employees creating the circumstances which led to the accident in this case. Specifically it is said there was no system for making available to employees the literature and bulletins published with respect to the equipment they had to use. Mr. Hargitt said that the only step in that regard the company took was to post on the bulletin board in the lunchroom from time to time such information of that nature which the company received. Furthermore, it is said that events have shown that whatever training the plaintiff did receive was clearly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By way of general response Mr. Hargitt testified that the company's Prince George plant has had (and did have before the accident) an excellent safety record, although they have more recently instituted a programme of better documenting incidents which raise safety concerns. He said that the company's approach to training employees in the use of equipment was a "hands-on" or "on-the-job approach" by having neophytes work with and be instructed by senior, competent employees. He said (and Dr. Pearsall agreed) that that was a better approach than using formal classes and reading material, most of their employees not being sophisticated or having good literary skills. Specifically, the plaintiff was trained for two to three weeks in the use of plant machines, cranes and clamps, and the plasma table in particular, by a very senior and skilled employee, George Doknik.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to the clamps in question, Mr. Hargitt said that the company followed all the guidelines made known to them by the defendant in its literature. Specifically, of course, there was no information or warning with respect to the subject of minimum load limits, at least until after the subject accident. I am satisfied that if such a warning had been sent out by the defendant that would have been communicated to Forsyth's employees at the Prince George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 specific concern was raised after the accident as to the adequacy of the length of the pendant or chain from the overhead crane which the plaintiff had used. Mr. Hargitt testified that he considered that issue in the course of his investigation and concluded that it was definitely not a factor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all the evidence I conclude that Forsyth's training system was adequate and that its conduct contributed in no way to the accident which occurred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next issue is whether the plaintiff's own conduct contributed to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found that the plaintiff did not reposition the clamp on the plate in the manner suggested by defendant's counsel. However, there is another element of his conduct, namely, his position on the plasma table relative to the plate, which is of concern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Firstly, as to the fact that he had mounted the stairs to the surface of the table in guiding the plate to its desired position, I do not find that to have been negligent. The evidence from Mr. Hargitt and Mr. Simpson is clear that that is standard practice and not dangerous if the plate is handled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However, the evidence is also clear that the operators are trained, and it is agreed by all, that the proper procedure is for the operator to remain at the end of the plate as it is being guided to the position over the table where it is to be lowered for cutting, including after the operator has mounted the plasma table. The plaintiff testified that he had guided the plate over to the table from behind and that once on the table he walked backwards across it guiding the plate from its end toward the position over the table where he wanted to lay it down for cutting. As mentioned, he testified that his recollection of the actual moment of the slip is hazy. He recalls two bangs and something similar to the sound of rushing air. He then recalls being trapped under the plate and screaming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Hargitt's investigation report (Exhibit 2-41) contains a sketch of the position of the plaintiff on the table after the plate fell on him. It would seem to indicate that the plaintiff had been standing beside the plate, not at an end, at the moment of the accident. Mr. Hargitt testified that he had certainly concluded that the plaintiff had put himself into an unsafe position by being beside the plate. He said that the plaintiff later admitted to him that he had been in the wrong place. Mr. Sawchuck, although clearly and perhaps understandably reluctant to ascribe any fault to a fellow worker, agreed that he had been surprised that the plaintiff was in the position that he was at the time of the accident. I think it significant that although Mr. Sawchuck questioned the use of the expression "hazard area" in the accident investigation report, he said that that such a hazard area is "just a matter of common sense as to where you should be". Mr. Simpson testified that although it was absolutely routine for an operator to mount the plasma table it would be "lunacy" to stand in the hazard area, that is, beside the plate. Moreover, he ascribed having suffered only minor injuries to his hand in his accident to the fact that he had not been in the hazard area. Conversely, Mr. Larson, on whom the plate he was moving had fallen, acknowledged that he had put himself "in harm's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On all the evidence I must conclude that immediately before the accident the plaintiff put himself into a position close to or beside the plate that he knew or ought to have known was unreasonably dangerous.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factor which contributed to the injuries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apportion fault between the plaintiff and the defendant Cooper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was born on June 30, 1958. He had a somewhat difficult upbringing. He was raised primarily by his maternal grandmother, his father having died when he was an infant. His mother remarried but had problems with alcohol and the plaintiff did not get along with his stepfather. He left school in grade 10 and has worked in various labouring occupations in British Columbia and Alberta. He has had two failed marriages and problems in the past with alcohol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obtained part-time labouring work with Forsyth in 1993, eventually working into a full time position. Approximately five to six months before the accident he was trained as and promoted to the position of plasma table operator. The position was unionized with good wages and benefits and reasonable security. Mr. Hargitt described him as a "good average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 and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major injury suffered by the plaintiff was a comminuted fracture of the tibia and fibula of his right leg. Surgery was performed on July 30, 1997, the accident having occurred on July 29, 1997. An intramedullary nail was inserted into the tibia and two proximal as well as two distal fixation or stabilizing screws. The surgery appeared to be successful but some three months thereafter the plaintiff was still experiencing considerable pain at the fracture site and in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November 14, 1997 an arthroscopic evaluation of his right knee was performed which identified a tear of the medial meniscus or cartilage apparently caused by the accident. It was repaired surgically.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following months the pain around the fracture site continued. On February 3, 1998 a "dynamization" of the fracture site was performed, that is, removal of the distal fixation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continued to have pain at the fracture site. In February 1999 a non-union of the fracture was diagnosed and surgery was performed removing the old nail and inserting a new one. As a result of this surgery a staph infection occurred which had to be treated with a course of antibiotics. However, the surgery eventually accomplished the union of the tibia although the plaintiff continued to experience pain and discomfort. Indeed, he also experienced soft tissue pain in a wider area of not only his right but also his left knee and Achilles tendon, the suggestion being that the latter was caused by his having to compensate in his gait for the more severe pain he was experiencing at the fracture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From August 23, 1999 to October 8, 1999 the plaintiff attended the Canmore Pain Clinic in Alberta for a pain management programme. Although at the time it was felt he had made some progress handling his pain the results in that regard do no appear to have lasted, although he did manage to reduce considerably his intake of strong analgesic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Finally (in terms of surgeries) on April 12, 2001 "hardware removal" surgery was performed on the fracture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was assessed by Dr. Donald Cameron, a neurologist, in September 2003. Dr. Cameron performed electrodiagnostic nerve conduction studies as well as physical neurological examinations. These passages appear in his report dated September 23, 2003 which was tendered as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has been walking with a cane for the past years since the accident. He complains of chronic pain in the leg with walking, and he has ripping pain in his heel. He describes numbness and an electrical type pain the lateral calf area. Electrical pain is present to touch in the distal lateral calf and over the dorsal aspect of his right foot. He stated that the strength of the leg and foot seemed to be normal initially following the accident, and then he noticed development of weakness in the foot. His left leg is asymptomatic.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Hall reports no significant improvement in pain over the last six years. He finds it very hard to get up and get going and mobilize the leg in the morning because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examination of the right lower extremity, there was decreased sensation to pinprick, temperature sensation, and touch in the lateral calf and the dorsolateral aspect of the right foot. The strength in the muscles in the right lower extremity including dorsiflexion of the right leg was normal, but he was unable to fully dorsiflex the right foot as compared to the left foot. The bulk of the muscles in the right foot including the extensor digitorum brevis muscle was normal. Deep tendon reflexes in the right lower extremity were normal. The right leg is approximately one centimetre longer than the left leg, measuring from the anterior tibial iliac crest to the medial malleolus bilaterally. He walked with a limp, favouring the right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neurological examination of Mr. Hall, I performed electrodiagnostic studies involving nerve conduction studies. The peroneal nerve and posterior tibial nerve motor conduction studies were normal, however, the tibial nerve F wave was slightly prolonged. The right sural nerve sensory nerve conduction study was absent, and the right saphenous nerve conduction study was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at the time of my neurological examination, that Mr. Hall has suffered injury to the sensory nerves in the right lower extremity as a result of the accident in 1997 or possibly as a result of complications related to the recurrent orthopedic surgical procedures that were required over the years following the accident. The nerve conduction studies that Dr. Daly performed in the year 2000 documented normal motor conduction studies involving the peroneal nerve and posterior tibial nerve in the right lower extremity and a normal sural sensory nerve conduction study. This, however, predates further orthopedic procedures that were required following the date of the electrodiagnostic studies that Dr. Daly performed. The posterior tibial nerve F wave response and the sural nerve sensory nerve response were abnormal at the time of my electrodiagnostic studies in September of 2003, indicating previous slight injury to the posterior tibial motor nerve and the sural sensory nerve in the lateral calf of the right lower extremity. It is also evident on neurological examination, that Mr. Hall has abnormal sensation in the lateral calf and the dorsolateral aspect of the right foot. This is due to injury to the sensory branch of the peroneal nerve serving the right lower extremity. I agree with Dr. Daly that the two main motor nerves, i.e. the peroneal nerve and the posterior nerve are intact, and the motor nerve conduction studies are essentially normal in the right lower extremity. The dorsiflexion of the right foot, however, is decreased regarding maximal dorsiflexion ability compared to the left foot. This is probably not due to previous motor nerve injury but probably related to the severe orthopedic injuries that Mr. Hall sustained at the time of the accident. It is probable that he will never regain full dorsiflexion of the right foot in the future. It is also six years since the nerve injury occurred at the time of the accident in July of 1997. It is therefore my opinion that the sensory nerve function will probably never return to normal involving the lateral calf and dorsolateral aspect of the right foot permanently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Hall's chronic pain and discomfort is mainly due to orthopedic injuries or severe bone fractures that he sustained in the accident, and soft tissue injury that he sustained at the time of the accident in July of 1997. It is, however, probable that a component of chronic pain is due to the nerve injury that he sustained at the time of the accident. It is my opinion that Mr. Hall's chronic pain and discomfort will probably not improve permanently in the future. It is my opinion that Mr. Hall will probably remain partially disabled for the rest of his life because of chronic pain and discomfort due to a combination of fractured bones, soft tissue injuries, and nerve injury that he sustained at the time of the accident in July of 1997. Mr. Hall will be required to perform sedentary job descriptions in the future probably permanently because of these injuries. Because of the chronic pain and discomfort, it is possible that Mr. Hall may not regain competitive employable status permanently in the future because of his inability to sit for prolonged periods of time or stand for any length of time due to exacerbation of pain and discomfort in the lower extremity. It is also probable that Mr. Hall will not be able to regain his abilities to perform any recreational activities that he enjoyed prior to the accident of July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Dr. Cameron also testified and elaborated somewhat on his report. He said that the plaintiff's right leg is now about one centimetre longer than his left which accounts somewhat for his present limp. The length disparity was caused by the non-union of the fracture for almost two years. The actual nerve damage which was not apparent on previous neurological examinations was likely caused by the surgery in 2001. He said, however, that there was no reason to believe that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involved in the latter procedure as that kind of thing is a normal complication and, in his words, "happens all the time". His opinion was that the plaintiff's complaints of pain are legitimate and that the majority of the plaintiff's chronic pain was due to the orthopedic and soft tissue injuries sustained in the accident, although some of it is due to the nerve injury as well. He is also of the opinion that the plaintiff has a permanent partial disability which will not now improve as there will likely be no more healing after this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must note here that I find it significant that the plaintiff's complaints of pain in the right leg have been consistent with the objective results of the neurological examinations (apart possibly from the question of exaggeration, to which I shall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has also had considerable psychological assessment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early 2000 he was referred to a psychologist in Prince George, Dr. Lee Grimmer, for assessment which included two personality tests. Dr. Grimmer's report to the Workers' Compensation Board dated March 11, 2000 which was tendered in evidence contains these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referral of Mr. Hall regarding the following two referral questions: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worker's reluctance to enter his former work area the result of a DSM IV diagnosable psychological disorder such as Specific Phobia and if so, is it likely that it is related to his work-related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worker's reluctance to enter his former work area a conscious decision based upon his perception of his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 of Presenting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I am limiting my comments here to the anxiety-related complaints. Mr. Hall already has the Axis I diagnosis of Depression, Opioid and Benzodiazepine Dependence (in remission), and Pain Disorder Associated with Psychological General and Medical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Mental Status and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does not report anxiety symptoms in any other situation other than at the work place in the actual site where he was injured. He does not feel that his fear is excessive or unreasonable but that it directly relates to the risk inherent in the job. The particular anxiety-inducing stimulus is related to the traumatic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Axis I -</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Major Depressive Episode (296); moderate to severe symptoms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Pain Disorder associated with psychological &amp; general medical condition (307.89)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Opioid (304.00) &amp; Benzodiazepine Dependence (304.10) (in remission)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Symptoms of Post-Traumatic Stress Disorder 309.81 (including strong avoidance of work site location of injury; contact with his work site resulting in strong anxiety reaction including hyper alertness, nausea, adrenaline rushes, cognitions associated with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your referral questions, it appears that Mr. Hall's reluctance to enter the work place is one of the residual symptoms of Post-Traumatic Stress Disorder (309.81). This generally falls under Category C of the diagnostic criteria for PTSD - the persistent avoidance of stimuli associated with the trauma. It is most likely not related to a simple phobia because Mr. Hall does not feel that his fear is excessive and it is clear that the phobia stimuli is related to the trauma that induced the Post-Traumatic Stress Disorder constellation of symptoms. It also appears from his self-report that these symptoms began in time shortly after the work-related injury. Therefore, the work-related trauma is a major precipitating factor. Note that the pain disorder and the major depressive episode are also contributory to his anxiety but these two relate to his injury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doubt that his inability to return to work is a "conscious decision" because of all the anxiety symptoms that he reports in connection to contact with a specific area in the workplace. I think that a conscious decision would not typically be associated with this degree of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Grimmer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March 2002 the Board referred the plaintiff for assessment to Dr. Wesley Buch. Dr. Buch is the senior member of a firm of psychologists in Surrey, B.C. who perform many assessments for the WCB but 40 percent of whose work is in the treatment of "complex" (Dr. Buch's word) cases involving post-traumatic stress disorder, chronic pain and anxiety. Dr. Buch's report was tendered in evidence and he testified. Following are passages from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 Assessment &amp;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reviewed several psychological reports as well as medical reports that contain psychological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report of May 3, 1995, Dr. Young, Physician, provides Mutual Life of Canada with a short-term disability note. He describes Mr. Hall as "suffering from depression and extreme anxiety as a result of multiple psychosocial stressors which have been building over the previous months to years" (p. 1).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sleep disturbance, Mr. Hall describes a relentless depressed mood that fluctuates from moderate to severe. His primary affect is sadness spiked with overwhelming fear and exhaustion following flashbacks or nightmares. He tells me that he has "no job, no life."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ruled out blatant fraud or malingering. On the other hand, I submit that whereas Mr. Hall has genuine psychological symptoms, he has also exaggerated his symptoms at times. The idea of symptom exaggeration usually implies some element of intention and thus culpability. However, like so much of human behaviour, symptom exaggeration is likely multifactorial in origin and may therefore be deliberate on some occasions and unintended (unconscious?) on others. For example, Mr. Hall has likely exaggerated genuine symptoms in order to secure WCB benefits. I find the clearest example of this on the video surveillance of June 8, 2000 (discussed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sources of symptom exaggeration that do not imply intention or culpability. For example, both pain-related fears and depression are associated with well known cognitive distortions that lead people to catastrophrohize about their condition. Such catastrophization should not be construed as a deliberate strategy but as an instinctive or conditioned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source of Mr. Hall's symptom exaggeration may be a longstanding personality style that features dramatic and even extreme behaviour, especially under stressful conditions;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DSM-IV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Axis 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Disorder Associated with Pyscholgical Factors, Chronic (307.80)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With Panic Attacks, Chronic (309.81)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 Recurrent, Moderate, Chronic, With History of Suicide Attempts (296.32)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Polysubstance Dependence, With Relapsing Course (304.80)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Axis 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Deferred. Suggestions of pre-morbid dramatic personality style.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Axis 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Comminuted fracture of right tibia and fibula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Right knee medial meniscectomy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Achilles tendon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Axis IV:</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Prolonged unemployment, financial strain, social alienation, relational problems with partner.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Axis 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Pre-claim (1997) GAF = 80. Psych. Interview (2002) GAF = 60.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must note that Dr. Buch made the above diagnosis after having viewed surveillance video tapes of the plaintiff made in the spring and summer of 2000 by investigators retained by the WCB. In his testimony he described the videos as a "mixed bag", that is, that at times there was some clear pain behaviour and at others, not. He pointed out that people who have pain disorders have variable displays of pain for various reasons, including that the intensity of the pain itself may vary. He also reiterated that although the plaintiff may indulge in some symptom exaggeration, he found it entirely unlikely that the plaintiff was malingering. One of the reasons for his conclusion in that regard was that in his opinion the plaintiff was not intelligent enough, that is, he does not have the ability to describe his emotions and symptoms well enough, to be a successful malingerer over an extended period of time. Dr. Buch testified that in his opinion the plaintiff's present psychological conditions were caused "mainly"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summer of 2002 the plaintiff was referred for treatment by the WCB to Dr. Kenneth Prkachin, a psychologist in Prince George. Dr. Prkachin has treated the plaintiff in numerous sessions since then and continues to do so. His report dated March 30, 2003 was tendered and he testified. His diagnosis was essentially the same as Dr. Grimmer's and Dr. Buch's, namely, post-traumatic stress disorder, major depressive disorder and chronic pain disorder associated with both psychological factors and his general medical condition. These passages appear in 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Causes of psychological injuries and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little doubt that the problems noted above are attributable largely, if not exclusively, to the accident of July 27, 1997. I will deal with the three diagnoses - Post-Traumatic Stress Disorder, Major Depression and Pain Disorder - in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linkage between the accident of July 27, 1997 and Mr. Hall's symptoms of Post-Traumatic Stress Disorder is the content of his symptoms, which focus exclusively on the accident (nightmares about the accident, flashbacks), generalization of fear to stimuli associated with the accident, including the sounds and smell of steel, and avoidance of the work site.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Depressive Disorder emerged secondary to the changes in his life resulting from the accident, in particular the long time taken to treat his fracture, the development of chronic pain, associated with difficulties such as the inability to maintain what was a fairly active lifestyle and loss of income.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with the Post-Traumatic Stress Disorder, alternative interpretations are a predisposition and conscious representation. In the case of a predisposition, there is evidence of a previous Depressive Disorder, with accompanying suicidal ideation, following the death of Mr. Hall's son in 1990. This may indicate some kind of constitutional or acquired vulnerability to respond to stressful conditions with depressive features, although depression under such circumstances is a very common occurrence. Conscious representation seems unlikely. His symptomatology is severe, including serious suicide attempts and covers a broad domain of depressive features: depressed mood, loss of interest, sleep disorder, behavioural restriction, depressive behaviour. It is relatively easy to provoke him to tears by discussion of his plight.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origin of Mr. Hall's Depressive Disorder relates most clearly to the stresses brought about by the changes in his life resulting from the accident. Although there may be some support for the idea of a predisposition, it is nevertheless true that such a vulnerability requires an event in order to express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disorder is also a consequence of the accident. As with many chronic pain conditions, its origins are complex and somewhat mysterious. .... There is some evidence that psychological factors play a role in his pain. The most direct evidence of this is that his pain can be exacerbated by strong negative emotion, which I have observed directly in treatment. .... My own opinion with respect to Mr. Hall is that deliberate representation is not a good explanation. My primary reasons for concluding this is my direct observations of his pain related behaviour during therapy sessions and on the occasions in which I have seen him outside of therapy (e.g. at the shopping mall).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Halls' prognosis is guarded. I view the major problem to be the chronic depressive disorder, which makes him emotionally vulnerable to the fear and anxiety attached to the Post-Traumatic Stress, while the latter, when elicited, exacerbates and deepens his depressive mood. The depressive disorder has been refractory to pharmacologic and, to this time, cognitive-behavioural intervention. This is in large part, I think, a result of the severity of the depressive disorder and the limited options available to Mr. Hall in his life. Progress in psychological therapy is also limited by a lack of psychological sophistication on Mr. Hall's part. In particular I and others (see Dr. Baker's report of June, 1999) have observed that Mr. Hall has an extremely limited understanding of his emotional world, including its variations and their causes. He has never thought deeply about his emotions nor experienced an upbringing or life conditions that would provide him insight into them. In consequence, it is extremely difficult to bring about change with psychologically oriented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Ability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view the prospects of Mr. Hall's being able to return to his former job as very unlikely.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afraid that his age and lack of education will make it difficult to find alternatives. He has expressed to me on several occasions a strong desire to get back to doing something, but his ideas are limited as are his skills in the pursuit of information and vocational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Hall will need ongoing psychiatric management to monitor his state, to provide pharmacologic management of his affective state and for likely crisis intervention. He has a chronic depressive condition that has been very slow to change. Although as noted, Mr. Hall presents with a personality style that makes it very difficult to achieve psychological change, ongoing therapy of a cognitive-behavioural sort continues, in my view, to be indicated. Treatment could be quite prolonged and upwards of 20-30 sessions a year would not be unreasonable.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Prkachin testified that the plaintiff's depressive disorder was presently the major psychological issue. Interestingly, he said that there had been some improvement in that regard in the two or three months prior to the trial. He said that the PTSD and the pain disorder were caused by the accident but the depressive condition not entirely so as the plaintiff had some pre-accident history in that regard. He saw the videos of the plaintiff only after his report was prepared. He said that on balance they strengthened his opinions. Similarly to Dr. Buch, he opined that the plaintiff was not intelligent enough to be a successful malingerer. He pointed out that the plaintiff routinely considers suicide. He has also seriously considered amputation of his leg. He said that some kind of employment in the future should be possible because the plaintiff wants to work, but the work would have to be non-physical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has also undergone certain occupational and functional capacity evaluations. He was administered tests and assessed on August 3, 2000 by Lila Quastel, a registered occupational therapy consultant. These passages appear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with the treatment for his depression and an appropriate fitness program Mr. Hall could be capable of working at occupations with limited strength requirements. He would need an occupation where he had the flexibility to take frequent breaks from sitting, and where above average manual and finger dexterity was not a requirement.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Hall is definitely precluded from ever working in a steel mill again. His injuries limit him from working at any occupation in the heavy, medium or even light physical activity categories. I think the light category because most occupations in this category require at least some standing, and many require being on one's feet for a full shift.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 results indicate that Mr. Hall is definitely precluded from ever working in a steel mill. He would be a danger to himself and to his coworkers. He is precluded from working at all occupations in the heavy and medium categories. He is restricted from working at most occupations in the light strength category because most of these jobs require a certain amount of standing and many require standing for a whole shift. His standing tolerance is highly limited and he would not be able to meet such requirements or maintain himself in a job that required standing. Unfortunately, Mr. Hall has suffered a considerable loss of occupational opportunities because of the injuries he sustained in the July 29, 1997 occupational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Mr. Hall is not quite ready to return to the workforce, but I think that he could be after he undergoes a good, supervised fitness program and after he undergoes treatment of his depression. I recommend an assessment by a psychiatrist and a period of psychotherapy/ psychological counselling. He should thereafter be ready for at least half time work in occupations in the limited physical activity category. It is possible that with time and increased stamina he will be able to increase his working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Quastel viewed the videotapes for the first time during her testimony in court but they did not modify her opinion at all. She pointed out that such videotapes are representations of persons doing things for a few minutes only and that generally one cannot tell how long the person can perform the activity, if he is in pain while doing it, or if in pain afterwards. She said she did not find the videotapes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November 2001 the plaintiff was referred to Mr. Dean Powers, a vocational rehabilitation consultant. Mr. Powers found a job in Prince George for the plaintiff that he thought the plaintiff might be able to perform. These passages appear in Mr. Powers' report dated November 26,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placement was negotiated with Crescent Hardware in Prince George with a starting date of November 1,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Hall worked a total of four days between November 1 and November 15, 2001. When this consultant attended the work site to conduct an assessment, Mr. Hall was observed for one hour at the store stocking shelves. He stated that he was in pain the entire hour. He used his cane to ambulate around the store restricting performance to one hand; standing tolerance was estimated at about ten to fifteen minutes. He attempted seated work when available but was usually required to move around the store; assisting in sorting, pricing and stocking tasks as called for by his supervisor; sitting tolerance both at the work site and in interview was estimated to be forty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 work site was too demanding for Mr. Hall and his pain threshold was pushed to the limit. The work trial terminated that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and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Hall is not competitively employable at the present time due to the impact of the physical complications, and chronic pain limiting the ability to function in an employment environment. Both the physical and psychological complaints will be sizeable barriers to moving beyond his present state into traditional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Again, the videos were shown to Mr. Powers in court. Although he agreed that they were not entirely consistent with what he had seen (though they were in part) they did not change his opinion significantly. He also pointed out that such videos are only a "vignette" of the plaintiff's condition and that he could not tell whether the plaintiff was in pain or not while being videoed. Finally, he pointed out that in any event the main focus of his evaluation was the long term ability of the plaintiff to perform any particular job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September 12, 2003 the plaintiff underwent a functional capacity evaluation by Mr. Paul Pakulak, an occupational therapist and certified work capacity evaluator. These passages appear in his very thorough and helpful report which included full accounts of the various tests administered by Mr. Pakulak: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Profile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observation and measurement throughout the assessment, Mr. Hall demonstrated no symptom exaggeration, magnification, or inappropriate illness behavior, and his reported pain intensity was consistent with physical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his reports of pain and restricted ability were consistent with assessment findings. For example, objective measures of lifting and manual muscle strength indicate that his occasional and frequent lifting strength was at or below the 10th percentile compared to men his age, weight and height indicating severe weakness. Further, his tolerances to prolonged standing and work below waist level were severely restricted.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Level of Effort: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this assessment Mr. Hall underwent a number of formal screening procedures to establish his maximum and consistent effort. It is apparent from the test results in combination with clinical observations that Mr. Hall put forth a maximum and consistent effort in order to obtain a reliable assessment of his maximum functional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Functional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based upon the capacity testing, Mr. Hall demonstrated the capacity for sedentary to modified light physical activity with restrictions. While he demonstrated the capacity to perform modified medium lifting and carrying, he did not demonstrate the ability to continuously perform this level of activity on a sustained or frequent basis at a competitively employable pace. Ongoing restrictions include: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frequent lifting and carrying due to reduced strength and endurance;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capacity for bending, stooping, and crouching;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Limited sitting, standing, and walking tolerances;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overall activity tolerance.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Activity Tolerances: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in light of these assessment findings, Mr. Hall demonstrated the capacity for sedentary to modified light level daily non-work related tasks with the above noted restrictions. Overall, I believe that despite ongoing restrictions he does have the capacity to perform most light household chores if he is able to pace himself and rest as needed in order to complete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 Tolerances: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assessment findings Mr. Hall demonstrated the capacity to be competitively employable at a sedentary to modified light level on a part time basis at best (3 days per week, 4 hours per day). While he demonstrated the ability for some light level strength, he did not demonstrate the capacity to perform full light level work on a sustained basis at a competitively employable pace due to limited strength and endurance as well as limited standing tolerance and work above a modified light level will adversely impact his activity tolerance and productivity at work as well as activity tolerance outside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though, that given Mr. Hall's physical limitation, he will be limited with respect to his ability to participate in retraining in that his restrictions with respect to prolonged sitting will likely not allow him to participate in full time educational activities. At best, I feel that he would be capable of part time studies.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his work as a Steel Worker, he has not demonstrated the capacity to perform this type of work at a competitively employable pace.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Options for Accommodations: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likelihood that Mr. Hall will have to participate in some retraining or educational activities, he will require the following in order to ensure proper posture in order to reduce strain: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benefit from the use of a proper ergonomic chair such as the tall back obus forme chair at a cost of $500.00.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Sit/stand stool to allow for positional changes at a cost of approximately $200.00.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height adjustable work table at a cost of approximately $400.00.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height adjustable computer monitor arm at a cost of $75.00 would reduce neck strain.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pull out key board tray at a cost of $45.00 would reduce neck strain.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adjustable foot rest would assist with low back pain at a cost of $45.00.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cost for office accommodations would be $1265.00 plus taxes.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his testimony he reiterated that in his view the plaintiff has the capacity to perform sedentary to light physical activity with some restrictions and accommodations. He does not have the capacity to return to the type of employment he had at the time of the accident. He opined that from the viewpoint of physical capacity the plaintiff can now work part-time, approximately four hours per day, three days per week. However, with further rehabilitation the plaintiff would be able to work full time in exactly the right job. He emphasized however that psychological factors could have an impact on such capacity and that he was not able to express any opinion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too was not impressed with the videos of the plaintiff which he was shown just before he testified. They did not modify his opinions at all. With respect to the reliability of the plaintiff's complaints he said that in his experience there is a "variability" in the reporting of people with psychological problems. Nor did he even find any signs of exaggeration by the plaintiff during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At this point I shall express a few general observations abut the videotapes. They depict the plaintiff doing some gardening and landscaping work in the yard of his house, both by himself and with his then common law wife. They also show him in public places and driving his vehicle, including attending at the office of the WCB in Prince George. He is seen in his yard pushing a wheel barrow and a dirt or lawn drum compactor filled with water. He is also seen watching and helping his wife doing manual work in the yard. In public and, in particular, when attending the WCB office he uses a cane and limps much more noticeably than in the passages where he is shown in his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Counsel for the defendant submits that the tapes demonstrate that the plaintiff's evidence regarding the extent of his disability is unreliable and should not be accepted, particularly when considered along with the statements he was making to the WCB case manager about the same time (Exhibit 5-1) which the tapes seem to contradict (that he needed his cane to get around and that he could not work in his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However, I cannot say that the tapes outweigh the combined effect of the medical, psychological and rehabilitation and occupational experts' evidence in the case. As was pointed out by the various witnesses the plaintiff may exaggerate (particularly because of his psychological problems) but he is not a malingerer. His physical symptoms are real. The witnesses all said that the videotapes did not change their conclusions or opinions (Mr. Powers coming the closest to acknowledging that they might have had some effect on his deliberations). They pointed out that the tapes are relatively brief and by themselves they do not provide a definitive picture of the plaintiff's condition. Indeed, they pointed out that in some ways they were quite consistent with their own conclusions. I personally found it interesting, for example, that in one passage while in the yard apparently helping his wife with the landscaping or gardening, the plaintiff simply watches her and lets her do a fair amount of physical work (although, granted, she appears to be quite capable of doing it herself without difficulty). In sum, I find the videotapes (as in so many of these kinds of cases) to be somewhat of a "snapshot" only and, to repeat, insufficient to negate the combined effect of the medical, psychological and physical evidence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summarize the evidence and my findings as to the plaintiff's condition as follows. He sustained a comminuted fracture of the lower right leg and cartilage damage to his right knee which required five surgeries. He has suffered and continues to suffer considerable pain from the injuries 6 1/2 years after the event. There are psychological sequelae from the accident. The most significant is a major exacerbation of a pre-existing depressive condition. There is some evidence that that has improved somewhat recently, but it still exists in a major way. He has symptoms of post-traumatic stress disorder and chronic pain disorder. However, the latter diagnoses (in some measure because of the nature of the conditions) are somewhat "softer" than that of the major depressive disorder. I believe that as time has passed and his physical condition has improved, they have abated and will eventually disappear entirely, although some pain in the leg may continue indefinitely due to the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Incidentally, I do not think that, as was suggested, his demeanour in court which was relatively calm, indeed almost flat, as opposed to being upset and emotional when describing the accident, by itself puts paid to the diagnosis of PTSD. His depressive condition might explain his flat presentation. Furthermore, I must note that it is relatively rare for a witness, particularly a party to an action who by the time he testifies at trial has been taken through his evidence at various stages of the litigation any number of times, to testify in a completely fresh or spontaneous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to the plaintiff's employability, on balance the evidence is that he will be incapable of performing the type of physical work he has always done in the past. He will be confined to sedentary or light physical work indefinitely, if he is able to find such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Although having had a somewhat difficult past, at the time of the accident the plaintiff had worked himself into a reasonably well paid job with good security and benefits. He has not worked since. On the evidence I must find that absent the accident he would likely have continued in the same position until the time of the trial and that his failure to work since is virtually entirely due to the accident. At the time of the accident he was earning $20.71 per hour and according to the collective agreements in place (Exhibits 2-52 and 2-53) his wages would have increased in increments to $23.57 at the time of trial. According to his 1997 tax return (the year of the accident), he earned, including overtime, $27,720, putting him on track to earn approximately $50,000 that year. To that must be added an amount for the value of the collateral benefits under the collective agreement which Mr. Hargitt estimated at 20 percent of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assess loss of past income at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Exhibit 1-4, the report of Douglas Hildebrand, economist, provides multipliers indicating the present value of each $1,000 lost per year to various ages of the plaintiff taking into account discounting of 2.5 percent required by regulation and mortality or survival risks. The multiplier from trial to the plaintiff's age 65 is $14,884 and to age 60 is $11,930. Counsel for the plaintiff submits it should be assumed that the plaintiff will have a residual earning capacity of only 25 percent of his capacity at the time of the accident, which I find reasonable. His annual future loss based on what he would have been earning at the time of trial, say $60,000 including benefits, is $45,000 (75 percent of $60,000). The $l,000 multiplier for age 65 multiplied by 45 is $669,780.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Hildebrand's report points out that the multipliers do not take into account other contingencies, both positive and negative. Presumably the ones he mentions approximately balance out. However, I think there is another negative contingency which should be given some weight. I think it is reasonable to assume that, given his history, although the plaintiff might well have worked past the age of 60 he would not have worked, certainly not full time, to the age of 65. The tables indicate that the multiplier for age 62 is $13,177. Forty-five x $13,177 equals $592,965.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assess the plaintiff's loss of future earning capacity at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report of Frances Murrell, a registered nurse specializing in rehabilitation nursing management, was tendered in evidence. In it she makes numerous recommendations suggesting the future care and modifications to the plaintiff's living environment which would be of advantage to him. Unfortunately, for the most part I do not find they are required or if they are, I cannot find that their need was caused by the plaintiff's accident so as to make the defendant liable for the cost thereof to any degree. The plaintiff has already had the benefit of considerable vocational and rehabilitation assessment and counselling over the course of these proceedings. However, I do find reasonable Ms. Murrell's recommendation as to further psychological counselling, particularly since the treatment by Dr. Prkachin seems to have been helpful to the plaintiff. I award $5,000 in that regard. I also find Mr. Pakulak's recommendation mentioned above as to ergonomic devices for the plaintiff's work situations reasonable and I award $1,265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award damages for pain, suffering and loss of enjoyment of life, past and future, in the amount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Exhibit 23 was a summary with records of the health care and medical benefits expended by the WCB on behalf of the plaintiff. There is no evidence that any of the expenditures were not appropriately incurred. I award $50,281.74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total of damages assessed above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$600,000.00</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$6,125.00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$50,281.74</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313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$1,156,406.74</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will be judgment in favour of the plaintiff against the defendant for 50 percent of the above, that is, $578,203.37. The action against the third party Forsyth is dismissed. There will be Court Order interest at the Registrar's rates on the portion of the above amount attributable to past income loss and special damages according to the provisions of the 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Counsel has asked to address me again as to an award for management fees and tax gross-up as well as to the calculation of Court Order interest. Perhaps those matters can now be settled between the parties in the light of my findings above so as to avoid further expense and loss of time. As to the calculation of Court Order interest, if counsel cannot agree in that regard I would order a reference to a registrar for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to costs, my usual order in a matter such as this is that costs will follow the event. Perhaps by way of further assistance to counsel I should note that generally my view is that the best measure of success in that regard is whether the judgment obtained exceeds or falls below the best offer of settlement or payment in. I do not usually consider success or failure on specific issues and break down awards of costs and disbursements accordingly unless an issue was put forward totally unreasonably. Generally I prefer to take a global view of the results of the case. There is authority in that regard both in this province and in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However, if the above does not help to resolve the issues remaining, then I will hear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PARIS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48" type="#_x0000_t75" style="width:431.25pt;height:563.25pt">
            <v:imagedata r:id="rId165" o:title=""/>
          </v:shape>
        </w:pict>
      </w:r>
      <w:r>
        <w:rPr>
          <w:rFonts w:ascii="arial" w:eastAsia="arial" w:hAnsi="arial" w:cs="arial"/>
          <w:sz w:val="20"/>
          <w:lang w:val="en-US" w:eastAsia="en-US" w:bidi="ar-SA"/>
        </w:rPr>
        <w:t xml:space="preserve">  </w:t>
      </w:r>
      <w:r>
        <w:pict>
          <v:shape id="_x0000_i1049" type="#_x0000_t75" style="width:406.56pt;height:586.58pt">
            <v:imagedata r:id="rId166"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Ingram v. Munroe, [2019] B.C.J. No. 260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7-11, 14-17,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M163412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2019 BCSC 234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Sheila Elise Ingram, Plaintiff, and Everette Munroe and Cristal Dawn Munroe,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jc w:val="both"/>
        <w:rPr>
          <w:rFonts w:ascii="arial" w:eastAsia="arial" w:hAnsi="arial" w:cs="arial"/>
          <w:sz w:val="20"/>
          <w:lang w:val="en-US" w:eastAsia="en-US" w:bidi="ar-SA"/>
        </w:rPr>
      </w:pPr>
      <w:bookmarkStart w:id="35" w:name="Counsel_4"/>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52"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A.P.A. MAYER J."/>
            <w:bookmarkEnd w:id="37"/>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 vehicle collision that occurred on July 17, 2015 in Langley, British Columbia. At around 6:30 p.m. the plaintiff, Sheila Ingram, was sitting in her 2007 Honda Civic at a red light on 200th Street, several vehicles back from the intersection with the Langley bypass when her vehicle was struck from behind, pushing her vehicle forward into the car stopped in front of hers. Liability for the collision is admitted by the defendants and the only issue for determination by this Court is the quantum of damages claimed by Ms. Ingram.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Ingram contends that she suffered significant injuries in the collision which have resulted in permanent disability requiring her to take early retirement from her employment as a warehouse worker with PepsiCo. In addition to her claim that she is unable to continue in any paid employment, Ms. Ingram contends that her injuries arising from the collision have resulted in a reduced capacity to perform her avocational abilities and that she has either had to discontinue them or risk exacerbating her collision-related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Ingram claims damages for injuries she sustained as a result of the collision which include the following:</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Ingram was born on September 14, 1953 in Fort Erie, Ontario. She has been a widower for the past 14 years and has three adult children, two sons and one daughter. She currently resides alone in a condominium she owns in Langley,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Ingram did not attend postsecondary school. She entered the workforce immediately after high school and was married at the age of 19. She worked in retail jobs at K-mart and Lumberland from 1971 until she became pregnant with her first son who was born in 1978. Her second son was born in 1980 and her daughter Catherine Green, who was a witness at trial, was born in 1986. Ms. Ingram had returned to work in the late 1970s and early 1980s working in her mother's fabric store and providing daycare services for her friend's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separating from her first husband in 1984, Ms. Ingram went to work at a pub in Port Coquitlam where she remained working as a server and bartender for approximately 23 years. In 2006, she accepted a job with PepsiCo as an Account Merchandiser which involved ordering stock and setting up displays of PepsiCo products at retail outlets of big-box stores. Ms. Ingram worked in this job for three years until 2009 when, as a result of restructuring within PepsiCo, she transferred to a job as a Warehouse Technician at PepsiCo's distribution centre in Delta, British Columbia. She remained in this position up until the time of the collision on July of 2015 but since the collision, has not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Ingram's hours of work as a Warehouse Technician were typically Monday to Friday from 8 a.m. until 4:30 p.m. although she regularly worked overtime. The job involved obtaining stock from the warehouse required to fill orders for PepsiCo product to be delivered to small format stores. After getting a list of stock she needed to get from the warehouse Ms. Ingram would load boxes of product, ranging in weight from 5 to 35 lbs., onto a cart which she would then pull over and place adjacent to a gravity-fed roller conveyor. She would transfer the boxes in the carts onto the conveyor for delivery to awaiting delivery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work was physically demanding. Ms. Ingram described the pace of work as speed walking. She would walk up to 25 miles and lift one to one and a half tons over the course of the day. Ms. Ingram testified that this job required constant eye scanning for product, head movement and memory skills. She had to be constantly on the lookout for forklifts operating in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Ingram testified that she enjoyed her job in the warehouse as it kept her physically fit and mentally sharp and she liked working with her colleagues. She testified that she had no plans to leave her employment and intended to stay with PepsiCo until she was 70 years old to allow her to reduce the mortgage on her Langley condominium so that she could manage financially on her retirement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Ingram was 62 years old at the time of the collision. She testified that before the collision she was in excellent health and rarely went to the doctor. She had had surgery for carpal tunnel release, bunions and removal of a cyst from her wrist. She had sustained a workplace a left shoulder (rotator cuff) injury ten years before, which completely resolved after three months. In or around 2008 she was diagnosed with arthritis affecting the small joints of her fingers and toes and that when her arthritis flares up, once or twice a year, she takes Celebrex for a couple of days and it settles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collision, Ms. Ingram would go to her daughter Catherine Green's home once or twice a week to spend time with her grandchildren. They participated in activities such as hiking, going to the beach, playing games, and cooking dinners together. Ms. Ingram would help out with whatever chores needed to be done such as vacuuming, laundry, and house cleaning.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I have already stated, the collision occurred on July 15, 2017 when Ms. Ingram's vehicle was rear-ended while she waited for a light to change at the intersection of 200th Street and Langley bypass. She had no advanced notice of the collision and first became aware of it when she heard a loud bang, which she likened to an engine exploding, when she was struck from behind. She testified that she repeatedly pushed on her brakes to try to stop her car for moving forward but was not successful and was rammed into the vehicle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Ingram testified that after the incident she had difficulty breathing and was shaking uncontrollably. She exited her vehicle but was ushered back inside by an off-duty firefighter who happened to be on the scene. The off-duty firefighter exchanged information with the other drivers involved in the collision on her behalf and later followed her in her car, which was still drivable, to a nearby auto body shop. Ambulance, fire and police department personnel did not attend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Ms. Ingram was able to drive her car after the collision it was eventually deemed a total write-off to ICBC.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Condition Shortly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morning after the collision Ms. Ingram was suffering from a headache and neck pain. She testified that she was bruised behind her right knee, which she had used to pump her brakes after the initial rear-end collision. She walked with some difficulty to a medical clinic across the street and saw her GP, Dr. Bahri, who prescribed medication for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days that followed, Ms. Ingram experienced dizziness, headaches, neck pain and right knee pain. She also developed a number of other symptoms, which include but are not limited to, pain on top of her left shoulder, vision issues, light and noise sensitivity, tinnitus, sleep disruption and fatigue, difficulty concentrating, and memory and various mood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Ingram continued to go to Catherine's home and help with the children and housework but she was not able to provide as much help as she had before the collision. The level of assistance she provided and the frequency of her visits increased when Catherine encountered medical issues during her pregnancy in March of 2015, after she delivered by C-section in October of 2016 and after having gall bladder surgery in October and November of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 Collision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Ingram tried to return to work approximately one month after the collision but was told by PepsiCo that she could not do so without medical clearance. It appears that her principal health complaint at this time concerned dizziness. She attended at treatments with a vestibular physiotherapist in August and September of 2015 and with an occupational therapist starting in October of 2015 and through into late 2016. She saw a neuro-ophthalmologist in late 2015 and an ophthalmologist, neuro optometrist, and internal medicine specialist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Ingram began attending at kinesiology sessions in November of 2015 to improve core strength and balance. She made gradual improvement in strength and mobility but continued to experience dizziness and headaches brought on by looking up at bright lights or exerting herself during certain exercises. She continued with kinesiology treatments twice a week until November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Between April 2016 and March 2017, Ms. Ingram attended counselling sessions with a psychologist to address coping mechanisms to deal with mood swings, driving anxiety, physical changes and disappointment over not having yet returned to work. A workplace assessment, to determine Ms. Ingram's ability to return to work, was terminated by Ms. Ingram's OT in November of 2016 as a result of the onset of dizziness and headaches. During this assessment, Ms. Ingram's left shoulder became sore and as a result she was referred by her GP to a physiotherapist who she saw for a total of 23 sessions between December 2016 and August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December 2016, Ms. Ingram received an updated assessment with a vestibular physiotherapist and completed further vestibular treatment sessions in January and April of 2017. She commenced further kinesiology treatments in January 2017 which continued through until July of 2018. In addition, Ms. Ingram was discharged from the care of her OT in August of 2018. She received a corticosteroid in her left shoulder in November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Ingram was never cleared to return to work at PepsiCo.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Ingram testified that her current symptoms include dizziness, triggered by sudden head movements, tracking with her eyes, bending or crouching and getting up and prolonged physical exertion. Dizziness occurs when she carries out routine tasks such as vacuuming, sweeping, painting, reaching overhead, driving, and looking over water. She testified that her right knee is sore and that it is prone to pain and swelling. After activity, she has headaches localized over her left eye which are triggered by physical exertion, lights and noise. Finally, Ms. Ingram testified that she experiences tightness in her neck, extending to her left shoulder, vision and reading trouble and mood and cognitive symptoms including fatigue, mood swings, nervousness, and forgetfulness.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Ms. Ingram's evidence with respect to her pre and post collision condition was generally honest and forthright and for the most part was consistent with the medical and lay evidence adduced by others at trial. One area where I believe that Ms. Ingram understated her capacity is in respect of the level of assistance she was able to and did provide to her daughter after the collision.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Ingram called a number of medical experts to testify at trial. The defendants did not challenge the qualifications of any of the medical experts and did not call any of their own experts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review of expert medical and factual medical evidence tendered at trial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Rhonda Shuckett,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Rhonda Shuckett, a specialist in Internal Medicine and Rheumatology, assessed Ms. Ingram on April 17, 2018 and produced a report dated July 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Testing completed by Dr. Shuckett demonstrated that neck movements caused vestibular symptoms and a bit of pain in the left front of her head but no neck pain. Forward flexion of the low back resulted in a little loss of balance. Bending sideways and extension of the low back produced imbalance such that she would have fallen over had the doctor not been supporting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Shuckett found no signs of inflammatory joint features, in other words, no signs of rheumatoid arthritis or osteoarthritis in either of Ms. Ingram's right knee or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Dr. Shuckett's opinion, as a result of the collision, Ms. Ingram experiences cervicogenic headaches which also have a vascular migraine component as evidenced by Ms. Ingram's sound and light sensitivity although in her view the headaches had improved and were not particularly troubling at the time of her assessment. In addition, it was Dr. Shuckett's opinion that the palpable muscle spasm and painful trigger points over the left side of Ms. Ingram's neck and shoulder girdle region are related to injury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Shuckett's opinion is that Ms. Ingram suffered an injury to her knee during the collision, which was exacerbated during subsequent rehab treatments, which may also, in part, involve an underlying proclivity for incidental osteoarthritis. In her opinion Ms. Ingram will have to be cautious with walking and climbing stairs. In her opinion, the prognosis for Ms. Ingram's right knee is that the pain is going to continue and may intermittently flare.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Shuckett's opinions with respect to Ms. Ingram's joint-related issues, or her conclusion with respect to the cause of Ms. Ingram's knee pain were not significantly challenged during cross examination and I accept her findings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Andrei Krassioukov,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Andrei Krassioukov, a specialist in Physical Medicine and Rehabilitation, assessed Ms. Ingram on June 30, 2018 and produced reports dated September 3, 2018 and September 27,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Krassioukov found on physical examination that Ms. Ingram suffered from various soft tissue injuries to her left trapezius and shoulder and knee arthritis, although he was unable to state definitively that these injuries were caused by the collision. As was the conclusion of Dr. Shuckett, Dr. Krassioukov also believes that Ms. Ingram sustained a soft tissue injury to her right knee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Krassioukov's evidence at trial on direct examination was that the collision most likely resulted in the development of the rotator cuff injury to her left shoulder. On cross examination, he confirmed that he was not aware of Ms. Ingram's previous rotator cuff injury at work in 2007 or a subsequent, unrelated post-collision incident which occurred when Ms. Ingram was pulling her 60-70 lbs. grandson out of a creek. Accordingly, I do not accept Dr. Krassioukov's evidence with respect to the cause of Ms. Ingram's rotator cuff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respect to her psychological condition, his report indicates that he considered that Ms. Ingram's test results were consistent with moderate depression and severe anxiety. On cross examination, he seemed to retract his opinion that these conditions were caused by the collision as he was not aware of what was going on in Ms. Ingram's life before or after the collision occurred. Accordingly, Dr. Krassioukov's evidence in this regard is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Krassioukov's opinion is that as a result of the collision Ms. Ingram sustained a concussion resulting in the development of post-concussive symptoms of headaches, dizziness, vomiting, visual disturbances, and cognitive dysfunctions. However, he believes that Ms. Ingram's current headaches are most likely a result of neck related soft tissue injuries sustained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Krassioukov agreed on cross examination that Ms. Ingram reported to him that her headaches and neck pain had improved by 70% and 80% respectively at the time of his assessment. He also agreed that Ms. Ingram had told him that her dizziness symptoms, which were prominent following the collision, had significantly decreased and that her visual symptoms had improved by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opinion Ms. Ingram has also most likely developed a chronic pain syndrome as a result of the injuries sustained in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Vance Tsai,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Vance Tsai, a specialist in Otolaryngology (commonly known as an ear, nose, and throat specialist), examined Ms. Ingram on August 2, 2018 and produced a report dated August 27,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Ingram underwent diagnostic studies at the Balance Unit at VGH on August 16, 2018. Dr. Tsai's balance testing, which is designed to eliminate exaggeration of symptoms or malingering, showed a pattern of instability pointing towards an inner ear or vestibular causes for Ms. Ingram's imbalance.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Tsai's opinion is that Ms. Ingram suffered a vestibular injury during the collision and this injury was the likely cause of Ms. Ingram's dizziness along with, potentially, other causes including soft tissue injury, headaches and mood disorder. Although he considers that there may be some incremental improvement in her current condition, it is his opinion that the substantive majority of her convalescence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Tsai recommended that Ms. Ingram not work at heights and avoid activities that require significant balance capabilities. Dr. Tsai testified that patients with imbalance or dizziness can have diminished interest or ambition or confidence to take on work place activities. He recommended against work that puts Ms. Ingram at risk from a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Touktam Bahri Irai,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Touktam Bahri Irai is Ms. Ingram's GP. Dr. Bahri's records confirm that Ms. Ingram reported complaints of dizziness and neck pain the day after the collision and she had, less than a week later, reported complaints of persisting knee pain which started within days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Bahri's opinion is that Ms. Ingram's dizziness is related to the collision and with all the rehabilitation that she completed, she may not recover any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Jamie Patel,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Jamie Patel was the Ms. Ingram's treating psychologist and was called as a factual witness. Dr. Patel testified that she treated Ms. Ingram starting in December of 2015 through until May of 2017 for impairing symptoms of anxiety and depression related to her physical limitations and being in motor vehicles and that Ms. Ingram presented as sad, fatigued, ruminative of the collision, and worried about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Patel testified that Ms. Ingram's psychological condition had been improving up to a November 2016 workplace assessment, following which Ms. Ingram became more distressed when faced with the prospect of not returning to her former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Patel testified that Ms. Ingram's symptoms of depression and anxiety ebbed and flowed over the course of treatment but that Ms. Ingram has made some improvements exhibited in her increased ability to drive and engaging in activities. Although Dr. Patel was aware of the stress felt by Ms. Ingram as a result of her daughter's illnesses, she did not consider this to be the focus of her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Louise Craig, Physiotherapist and Functional Capacity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Louise Craig was qualified as a Physiotherapist and Functional Capacity Evaluator. She assessed Ms. Ingram on August 20, 2018 and September 20, 2018, and prepared a report dated September 26,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Ms. Craig's opinion that in view of her current limitations, it is unlikely that Ms. Ingram will return to her pre-collision job as a warehouse worker. Ms. Craig found that Ms. Ingram does not have the capacity to meet the physical demands of her pre-collision job as a warehouse worker as a result of her limited strength capacity (lifting, carrying or pushing/pulling), reaching ability and her ability to access lower-level body positions of crouching or kneeling and for getting down onto the floor. In addition Ms. Craig considers that Ms. Ingram is limited in her capacity for rapid and efficient movements, climbing stairs, accessing heights by ladders and stooping.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Craig found that Ms. Ingram's limitations include the following: an inability to carry out repetitive, quick paced or heavy lifting, carrying, pushing or pulling; an inability to carry out repetitive reaching movements that provoke dizziness and due to positional limitations for lower-level reaching because of her right knee pain/symptoms; reduced balance; and limitations with respect to sustained work-intensive sitting by neck positioning.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Ms. Craig's view that Ms. Ingram is likely close to, or has, reached maximum physical rehabilitation and that although she may benefit from periodic physiotherapy for symptom management treatments it is unlikely that further treatment will be curative or significantly alter her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Ms. Craig's opinion that Ms. Ingram's post collision condition limit her ability to work in a competitive workplace and that as a result, Ms. Ingram is not considered to be competitively employable. I note that Dr. Krassioukov's prognosis on whether Ms. Ingram would be able to return to remunerative employment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cross examination, Ms. Craig agreed that although it appeared that Ms. Ingram was not competitively employable that does not mean that she lacks the capacity for work. Further it appeared from responses to questions during her cross examination that Ms. Craig was not aware of, did not ask questions regarding or did not appropriately consider the nature, frequency and intensity of child care and home care activities Ms. Ingram had carried out and continued to carry out at her daughter's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Ms. Ingram's on-going care needs, Ms. Craig's opinion is that she is independent with activities of self-care. She recommended safety and adaptive equipment for her home (particularly in the bathroom) to improve safety and reduce the likelihood of falls. In addition, she considered that Ms. Ingram requires occasional home help for regular household cleaning and maintenance and requires assistance for heavier seasonal cleaning and for regular and heavier or repetitive yard and garden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note that Dr. Krassioukov's report indicates that Ms. Ingram reported to him that she was independent with the activities of daily living and that although she is independent with cleaning, cooking, doing laundry and shopping, these activities take longer and she has to do them in small amounts. His report is consistent with Ms. Craig's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Luisa Johnson,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Luisa Johnson was an occupational therapist retained by ICBC to assist in monitoring Ms. Ingram's condition and case managing her care. She met with or had conversations Ms. Ingram many times between October of 2015 and July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Johnson confirmed that Ms. Ingram had not reported any shoulder issues until after the workplace assessment carried out in November 2016 and prior to June 2017 had never reported any issues with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 report to ICBC dated October 27, 2016, Ms. Johnson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Overall, she continues to make slow progress and has increased her tolerance for completing her ADLs. However, she continued to be limited by her symptoms of dizziness, unsteadiness and headaches when she exerts herself too much. Given this, her kin [kinesiologist] and I discussed and feel that she is still not ready to return to work given the nature and physicality of her job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 report to ICBC dated November 14, 2016, Ms. Johnson reported that during a worksite assessment on November 9th, Ms. Ingram was unable to complete worksite tasks at the same pace that she had previously and that after 30 minutes of activity her heartrate increased to 120-126 bpm triggering dizziness and headache symptoms. Ms. Johnson also reported that during visit with Ms. Ingram's GP on November 14th, which she participated in, her GP informed Ms. Ingram that a return to work was likely not realistic and that she could consider some volunteer work in positions that would not require a lot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 report to ICBC dated January 5, 2017, Ms. Johnson reported that a vestibular therapist had noted that Ms. Ingram's functioning had not improved and that this could suggest an underlying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one of her last reports to ICBC dated July 13, 2018, Ms. Johnson noted that Ms. Ingram had reported that her dizziness was manageable and was only occurring twice daily and resolved within 30 seconds. Ms. Johnson also noted Ms. Ingram's advice that she had been continuing to help her daughter Catherine care for her three grandchildren and had been staying with Catherine 6 nights a week due to Catherine's recent set-back. Ms. Ingram reported that she had been primarily responsible for cooking and cleaning and childcare at her daughter's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During cross examination, Ms. Johnson confirmed that sometime in 2017 PepsiCo's disability insurance provider Manulife confirmed that there were no other jobs available for Ms. Ingram at her old workplace. Ms. Johnson also agreed that Ms. Ingram did not have many transferrable skills and given her age and health issues it would be complicated to reintegrate her into the workforce.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Derek Nordin, Vocational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Derek Nordin was qualified as a Vocational Rehabilitation Consultant. He assessed Ms. Ingram on July 30, 2018 and produced a report dated October 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Nordin's opinion is that Ms. Ingram is not competitively employable and will not likely return to the competitive workforce. This negative finding is supported in his view by Ms. Ingram's prolonged absence from the workforce, age, residual limitations, education, and limited work experience (lack of office skills) and that in his view, retraining is not a realistic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 plaintiff must establish on a balance of probabilities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view, the expert medical evidence and evidence of Ms. Ingram establishes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injuries including the following:</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exacerbation of a previous injury to Ms. Ingram's left rotator cuff caused during the workplace assessment carried out with an occupational therapist in November of 2016. There is no evidence that this exacerbation was caused solely by the event of February of 2017 when Ms. Ingram pulled her grandson out of a creek.</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soft-tissue or patellofemoral injury to her right knee which was exacerbated during heavy leg presses carried out during kinesiology treatments in or around April of 2017. Although Ms. Ingram may not have reported significant issues with respect to her knee after the collision she did complain to Dr. Bahri of persistent pain in her knee after the accident. The opinion Dr. Shuckett and Dr. Krassioukov that she had suffered a soft tissue injury to her knee as a result of the collision has not been challenged.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concussion resulting in the development of post-concussive symptoms including headaches, dizziness, vomiting, visual disturbances and cognitive dysfunctions.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headaches caused by myofascial neck pain (cervicogenic) caused by soft tissue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resulting from the injuries sustained in the collision.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vestibular or inner ear injury resulting in on-going dizziness. The defendants concede that Ms. Ingram's dizziness was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do not find sufficient evidence to make a finding that Ms. Ingram currently suffers from anxiety or depression. Her GP, Dr. Bahri did not diagnose depression or prescribe anti-depressants or sleep medication at any time. I have not been provided with an opinion from an expert in psychology or psychiatry. I do accept on the strength of Ms. Ingram's testimony that she did suffer from mild depression and overlapping mood issues after the collision including anxiety and some sadness when she learned that she would not be returning to work at PepsiCo - but find that those issues have resolved. I also accept that Ms. Ingram suffered and continues to suffer from some anxiety driving long distances in heavy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8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establishes that some of Ms. Ingram's injuries and attendant symptoms have resolved since the collision or have significantly improved. For example, Ms. Ingram's evidence at trial was that her left shoulder improved after receiving a cortisone injection that she is essentially pain free although she does experience some clicking during shoulder movements. In addition, to the limited extent that Ms. Ingram suffered from mood disorder and anxiety after the accident those issues seem to have substantially resolved. Again, I note that she has not sought any treatment from Dr. Patel since May of 2017. Based on her self-reporting to doctors including Dr. Krassioukov her headaches, neck pain, visual symptoms and dizziness have significantly improved, although these symptoms are still present to a certain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as a result of the collision, Ms. Ingram was unable to return to her work with PepsiCo and I accept that this has had an affect on her sense of self-worth. In addition, I accept that Ms. Ingram has not been able to carry out some of the activities she previously found enjoyable such as cooking, gardening and boating, the latter of which causes her to feel nauseous. Ms. Ingram continues to be able to so some light housekeeping and has been able to manage her own home, with some limited assistance from her family. Set off against these impacts is the significant care that Ms. Ingram has been able to provide to her daughter and her grandchildren since the collision. In my view, this has an impact on my assessment of the consequences of the collision on Ms. Ingram.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Ingram submits that an appropriate award for non-pecuniary damages is $140,000 and relies upon the following cases:</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Kijowski v. Scott</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2015 BCSC 2335</w:t>
        </w:r>
      </w:hyperlink>
      <w:r>
        <w:rPr>
          <w:rFonts w:ascii="arial" w:eastAsia="arial" w:hAnsi="arial" w:cs="arial"/>
          <w:color w:val="000000"/>
          <w:sz w:val="20"/>
          <w:lang w:val="en-US" w:eastAsia="en-US" w:bidi="ar-SA"/>
        </w:rPr>
        <w:t xml:space="preserve"> $140,000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Birkich v. Cantafio</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2016 BCSC 40</w:t>
        </w:r>
      </w:hyperlink>
      <w:r>
        <w:rPr>
          <w:rFonts w:ascii="arial" w:eastAsia="arial" w:hAnsi="arial" w:cs="arial"/>
          <w:color w:val="000000"/>
          <w:sz w:val="20"/>
          <w:lang w:val="en-US" w:eastAsia="en-US" w:bidi="ar-SA"/>
        </w:rPr>
        <w:t xml:space="preserve"> $125,000</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2017 BCSC 644</w:t>
        </w:r>
      </w:hyperlink>
      <w:r>
        <w:rPr>
          <w:rFonts w:ascii="arial" w:eastAsia="arial" w:hAnsi="arial" w:cs="arial"/>
          <w:color w:val="000000"/>
          <w:sz w:val="20"/>
          <w:lang w:val="en-US" w:eastAsia="en-US" w:bidi="ar-SA"/>
        </w:rPr>
        <w:t xml:space="preserve">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submit that damages under this head of between $75,000 and $80,000 are appropriate. The defendants rely upon:</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Hancott v. Barnes</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2015 BCSC 1308</w:t>
        </w:r>
      </w:hyperlink>
      <w:r>
        <w:rPr>
          <w:rFonts w:ascii="arial" w:eastAsia="arial" w:hAnsi="arial" w:cs="arial"/>
          <w:color w:val="000000"/>
          <w:sz w:val="20"/>
          <w:lang w:val="en-US" w:eastAsia="en-US" w:bidi="ar-SA"/>
        </w:rPr>
        <w:t xml:space="preserve"> $68,000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Miolla v. Fick</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2015 BCSC 616</w:t>
        </w:r>
      </w:hyperlink>
      <w:r>
        <w:rPr>
          <w:rFonts w:ascii="arial" w:eastAsia="arial" w:hAnsi="arial" w:cs="arial"/>
          <w:color w:val="000000"/>
          <w:sz w:val="20"/>
          <w:lang w:val="en-US" w:eastAsia="en-US" w:bidi="ar-SA"/>
        </w:rPr>
        <w:t xml:space="preserve"> $90,000</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Wright v. Mistry</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2017 BCSC 239</w:t>
        </w:r>
      </w:hyperlink>
      <w:r>
        <w:rPr>
          <w:rFonts w:ascii="arial" w:eastAsia="arial" w:hAnsi="arial" w:cs="arial"/>
          <w:color w:val="000000"/>
          <w:sz w:val="20"/>
          <w:lang w:val="en-US" w:eastAsia="en-US" w:bidi="ar-SA"/>
        </w:rPr>
        <w:t xml:space="preserve">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my view, the decision in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is helpful. In that case the plaintiff, a 59-year old woman suffered soft tissue injuries to her neck, shoulders and back, right hip and an inner ear injury resulting in consistent headaches which had improved somewhat at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Considering the impacts of the accident on Ms. Ingram, the principles emanating from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the case authorities cited, I find that a reasonable award of non-pecuniary damages is $110,000.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assessing an award for past and future loss of earning capacity, allowances should be made and the award must be fair and reasonable taking into account all of the circumstances: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4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claim for past loss of income is to be addressed on the basis of a lack of capacity, rather than as a mathematical formula. While pre-accident earnings are evidence of the value of earning capacity, they do not prescribe its value, and the overall fairness and reasonableness of an award must be considered, taking all relevant circumstances into account: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Ingram submits that a conservative estimate of her past wage loss to the date of trial, an approximate 3.5 year period, is $165,753 after accounting for income taxes. This calculation is premised upon potential earnings in 2015 of $55,000 increasing annually by an estimated $1,500 per year and a tax rate of 18%. Ms. Ingram submits that her T4 for 2014, the year before the collision, showed an income of $53,735.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do not disagree that Ms. Ingram has suffered a past wage loss but take issue with the amount of the claim she advances. They contend that her income in the year of the collision, and forward, should be based on the income she reported to her disability insurance provider Manulife, being $47,653 before tax and $39,075 after tax. The defendants say that Ms. Ingram would not have earned this amount every year until trial and suggest as follows:</w:t>
      </w:r>
      <w:r>
        <w:rPr>
          <w:rFonts w:ascii="arial" w:eastAsia="arial" w:hAnsi="arial" w:cs="arial"/>
          <w:sz w:val="20"/>
          <w:lang w:val="en-US" w:eastAsia="en-US" w:bidi="ar-SA"/>
        </w:rPr>
        <w:cr/>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her income loss for the period from the date of the accident through to February of 2016 should be $22,750;</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starting in February 2016, when her daughter suffered a health issue and required her help, until February of 2017 when Ms. Ingram suffered further injury to her shoulder lifting her grandson out of a creek, that her income loss is $29,296 and that thereafter, there should be no award for past wage loss; and</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she did suffer an income loss after February 2017 the defendants submit that Ms. Ingram was working from part to full-time for her daughter, albeit on an unpaid basis, and would have stopped working when she turned 65 in September of 2018. On that basis, the defendants contend that an award of, at most, $10,779 is appropriate for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summary, the defendants submit that a past wage loss arising out of the accident is between $52,000 and $63,000.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ask the Court to assume that if the accident had not occurred Ms. Ingram would have worked less at PepsiCo as a result of her daughter's health and the onset of injuries including the shoulder injury she sustained in February of 2017 when she pulled her grandson out of a creek. Finally, the defendants ask the court to assume that Ms. Ingram would not have worked past 65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reject each of the defendants'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of Ms. Ingram and Catherine Green, which I accept, is that Ms. Ingram assisted her daughter not because she had to, but because she was able to do so while she was unable to perform paid work. I accept Ms. Green's evidence that if Ms. Ingram had not been available to help that she would could have hired a cleaner or sought help from her mother-in-law.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addition, I accept Ms. Ingram's evidence that although she assisted Catherine with childcare and housework at her home in Mission after the collision, that she was limited in her ability to help by her post-collision symptoms - and had to take frequent breaks and not take on overly strenuous work. In my view, the assistance that Ms. Ingram provided to Catherine does not suggest that she would have been able to carry out comparable work on a paid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Ingram's evidence with respect to her limitations during this time, and in particular with respect to the limitations arising from dizziness, is consistent with the evidence provided by ICBC's appointed OT, Ms. Johnson and Ms. Ingram's GP, Dr. Bahri.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in my view, insufficient evidence establishing that Ms. Ingram would have stopped working at 65 years old. The evidence of Ms. Ingram's ex co-worker, Ms. Jager, that there is only one person at the PepsiCo warehouse in Delta over 65, is not conclusive. There is no evidence to suggest that Ms. Ingram was not fully capable of carrying out work at the PepsiCo warehouse prior to the collision, when she was almost 62. In my view the evidence does not establish that a pre-existing health condition would have manifested after that time and before she was 65, preventing her from continuing on in her role with PepsiCo.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the injuries sustained by Ms. Ingram as a result of the collision and in particular her dizziness symptoms, prevented and will continue to prevent Ms. Ingram from returning to work in her previous role at PepsiCo as a Warehouse Technician. In addition, I find that these symptoms effectively prevented Ms. Ingram from returning to any paid work until approximately July 13, 2018 when she reported that her dizziness symptoms had significantly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accept Ms. Ingram's estimate of her potential annual after-tax income for the years 2015 to 2019 as reasonable. Accordingly, I find that Ms. Ingram has proven a real and substantial possibility that but for the collision and the resulting injuries, she would have earned $165,000 between the date of the collision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the amount for an award for past loss of earning capacity submitted by Ms. Ingram does not reflect her potential to have obtained some work, perhaps part-time work, after July of 2018. In my view, the opinion of Ms. Craig and Mr. Nordin that Ms. Ingram is no longer competitively employable in any capacity is overstated and does not consider her potential to perform some lower intensity work. I note that prior to working at PepsiCo Ms. Ingram had worked in a variety of fields including retail and service industry jobs. In her evidence at trial she indicated that she had contemplated working in a nursery. Some deduction for potential earnings after June of 2018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Accordingly, I assess Ms. Ingram's damages for loss of past earning capacity at $150,000.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my view, given the circumstance of this case, the capital asset approach is most appropriate.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and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Ingram appears to rely on an earnings approach assessment of future loss of earnings capacity. She seeks an award of $291,738 under this head. This is calculated applying a discount rate of 1.5% to calculate the present value of future income loss and applying a multiplier of 4.7826 (pursuant to Appendix E of CIVJI: Civil Jury Instructions, 2nd ed.) to an assumed income of $61,000 in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Ingram contends that positive contingencies supporting this award include stable pre-collision health, good physical fitness, healthy diet, job attachment and a desire to keep working until she paid down her mortgage to an amount that would be sustainable. She contends that the only negative contingency is a possible risk of degeneration of asymptomatic conditions, which I assume concern arthritis and a previous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contend that Ms. Ingram is not entitled to any award for future loss of earning capacity on the basis that she would likely not have worked past 65 or alternatively if she is so entitled, an award should reflect the potential for Ms. Ingram to work in some capacity - as evidenced by the childcare and home support work she performed for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not satisfied that on the evidence that it is a certainty that Ms. Ingram would have wished to, or would have been able to continue in her job as a Warehouse Technician at PepsiCo until she was 70. The evidence establishes that Ms. Ingram planned to eventually move to Mission to be closer to her daughter and grandchildren. The only evidence that she provided in support of her plans to delay this move until she turned 70 was that she wanted to continue to work to pay down her mortgage. I was not taken to any evidence with respect to the amount of her mortgage, how long it would take her to pay it down to an acceptable level or what the state of her retirement finances were. Accordingly, I do not find sufficient evidence to conclude that but for the accident, Ms. Ingram would have worked until she was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absent the collision Ms. Ingram would have continued to work at PepsiCo until she was 67 years old - approximately 20 months from the date of trial. Applying a multiplier of 1.955 to assumed income in 2019 of $61,000 results in a loss over 24 months of approximately $120,000 and for 20 months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Given my finding that Ms. Ingram is likely able to find some part-time, potentially lower paying employment, I consider it appropriate to apply a further deduction of 15% to reflect this positive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Accordingly I assess Ms. Ingram's damages for future loss of earning capacity to be $85,000.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&amp;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Ingram relies upon the report of Tracy Witty, Occupational Therapist and Cost of Future Care Evaluator to establish the medical necessity for various future care costs. Those costs include:</w:t>
      </w:r>
      <w:r>
        <w:rPr>
          <w:rFonts w:ascii="arial" w:eastAsia="arial" w:hAnsi="arial" w:cs="arial"/>
          <w:sz w:val="20"/>
          <w:lang w:val="en-US" w:eastAsia="en-US" w:bidi="ar-SA"/>
        </w:rPr>
        <w:cr/>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 to 6 vestibular physiotherapy sessions, as recommended by Dr. Tsai;</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 to 6 physiotherapy sessions per year, as recommended by Ms. Craig;</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24 kinesiology sessions;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annual fitness/pool pass;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2-6 sessions per year with a psychologist, as recommended by Dr. Krassioukov;</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positioning pillow;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re-assessment and assistance totalling 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addition, Ms. Witty recommends the purchase of various temporary, and easily removed home safety equipment (on the assumption that Ms. Ingram intends to put her home up for sale in early 2019) valued at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Finally, Ms. Witty recommends on-going home supports to ensure Ms. Ingram's physical safety and prevent triggering symptoms including the following:</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Homemaking services of 2 hours per week;</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Home maintenance services of 22 hours per year;</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Gardening services of 16 hours per year; and</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Moving assistance on a one-time basis of 40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Witty's recommendations result in cost of future care costs of approximately $6,000 to $7,200 per year and non-recurring costs of $9,700 to $11,220.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Darren Benning provided a report dated October 11, 2018 setting out the present value calculation of the cost of future care items set out in Ms. Witty's report. Mr. Benning estimated the present value of such costs to be $101,941. Ms. Ingram concedes certain deductions for psychological counselling and regular physiotherapy and replacement costs for positioning pillows and seeks and award of $85,213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my view, the costs associated with attendance at an initial assessment with an OT, PT and vestibular physiotherapist and on-going treatments with such practitioners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Ingram has been driving and has some limitations but I am not convinced that the cost of a functional driving evaluation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I have already found that there is insufficient evidence indicating that Ms. Ingram suffers from an on-going psychological injury as a result of the collision, I disallow her claim with respect to on-going psychological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Ingram did not testify with respect to her desire to purchase or requirement to obtain home safety equipment. It is unknown, given the potential for her to sell her condo in Langley 2019 whether she will do so. I am not satisfied that such expenses will be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With respect to homemaking, home maintenance and garden care costs, I am not satisfied that all of these costs are medically justified or that such costs are likely to be incurred. Ms. Ingram's functional assessments indicate that she may require occasional home help for regular household cleaning and maintenance and requires assistance for heavier seasonal cleaning. I am prepared to accept that some assistance will be required but consider it appropriate to reduce the amount claimed by 75%. With respect to garden care, Ms. Ingram currently lives in a condominium. When she moves she may either live with her daughter or potentially, move into her own condo in Mission. Accordingly, I disallow the claim for garden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the claim for a community center pass, I was not taken to any evidence indicating that such costs have been incurred by Ms. Ingram since the collision or that she intends to be a regular user of such facilities going forward. I am prepared to accept that some costs will be incurred by Ms. Ingram to access public recreation spaces, including gyms or pools, going forward. Accordingly I consider it appropriate to apply a 75% deduction to the amount claimed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summary, I award Ms. Ingram the following cost of future care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Therapeutic evaluations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$4,181</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Therapeutic treatment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$5,875</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Homemaking and maintenance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$11,562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Gym/Pool Membership</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$1,644</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$23,262</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is well established that an injured person is entitled to recover the reasonable out-of-pocket expenses he or she incurred as a result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object to the claim for special damages for the cost of physiotherapy treatment after February 2017, the cost of a cortisone injection completed on Ms. Ingram's shoulder and a $16.73 prescription amount. Although not set out in their submissions, it appears that the defendants also object to various parking charges incurred by Ms. Ingram for during examination for discovery, visits with counsel, and visits with medical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prepared to reduce Ms. Ingram's claim for special damages by $100. This includes a deduction for a portion of parking expenses and the cost of the disputed prescription. In my view, the remaining expenses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Accordingly, I award Ms. Ingram special damages in the amount of $2,942.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6"/>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$23,262</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$2,942</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$371,204</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Ingram has been successful and is entitled to her costs. If the parties are unable to agree on costs, they may speak to the issue with arrangements made before Supreme Court Scheduling in Vancouver no less than 90 days after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Lourenco v. Pham, [2013] B.C.J. No. 2525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10-14,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20,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M113569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2525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2013 BCSC 2090</w:t>
        </w:r>
      </w:hyperlink>
    </w:p>
    <w:p>
      <w:pPr>
        <w:spacing w:before="120" w:line="260" w:lineRule="atLeast"/>
        <w:rPr>
          <w:lang w:val="en-US" w:eastAsia="en-US" w:bidi="ar-SA"/>
        </w:rPr>
      </w:pPr>
      <w:r>
        <w:rPr>
          <w:rFonts w:ascii="arial" w:eastAsia="arial" w:hAnsi="arial" w:cs="arial"/>
          <w:color w:val="000000"/>
          <w:sz w:val="20"/>
          <w:lang w:val="en-US" w:eastAsia="en-US" w:bidi="ar-SA"/>
        </w:rPr>
        <w:t>Between Vera Lourenco, Plaintiff, and Tommy H. Pham and Dinh Cuong Pham,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(83 paras.)</w:t>
      </w:r>
    </w:p>
    <w:p>
      <w:pPr>
        <w:jc w:val="both"/>
        <w:rPr>
          <w:lang w:val="en-US" w:eastAsia="en-US" w:bidi="ar-SA"/>
        </w:rPr>
      </w:pPr>
      <w:bookmarkStart w:id="38" w:name="Counsel_5"/>
      <w:bookmarkEnd w:id="3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4" style="position:absolute;z-index:2516643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K.J. Miles, P.R. Bisbicis.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J.L. Archibald, M. Gibson.</w:t>
      </w:r>
      <w:r>
        <w:rPr>
          <w:lang w:val="en-US" w:eastAsia="en-US" w:bidi="ar-SA"/>
        </w:rPr>
        <w:cr/>
      </w:r>
    </w:p>
    <w:p>
      <w:pPr>
        <w:spacing w:after="240"/>
        <w:rPr>
          <w:lang w:val="en-US" w:eastAsia="en-US" w:bidi="ar-SA"/>
        </w:rPr>
      </w:pPr>
      <w:bookmarkStart w:id="39" w:name="Judgment_5"/>
      <w:bookmarkEnd w:id="39"/>
      <w:r>
        <w:pict>
          <v:line id="_x0000_s1055" style="position:absolute;z-index:25171558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0" w:name="J.M. GROPPER J."/>
            <w:bookmarkEnd w:id="40"/>
            <w:r>
              <w:rPr>
                <w:rFonts w:ascii="arial" w:eastAsia="arial" w:hAnsi="arial" w:cs="arial"/>
                <w:b/>
                <w:color w:val="000000"/>
                <w:sz w:val="30"/>
                <w:lang w:val="en-US" w:eastAsia="en-US" w:bidi="ar-SA"/>
              </w:rPr>
              <w:t>J.M. GROPPER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Vera Lourenco seeks damages in respect of injuries she sustained in a motor vehicle accident ("MVA") on November 25, 2009. Ms. Lourenco was a pedestrian who was hit by the defendant Tommy Pham who was the driver of a 2008 Honda Civic, owned by Dinh Cuong Pham. He turned his car into the intersection of Grandview Highway and Renfrew Street in Vancouver and struck the left side of Ms. Lourenco's body while she was a pedestrian in a crosswalk. The defendants admit liability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Facts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Before the collision, Ms. Lourenco was a healthy, fit and active 22 year old. She ran, worked out at the gym, hiked, cycled, snow boarded and danced.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June 2009 she enrolled in a one year event management program at the Art Institute of Vancouver. She intended to pursue a career in event management. She was in the program when the MVA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Lourenco was also working at the time of the collision as a grocery clerk at Save On Foods. Her job there was in schematics. Her responsibilities included lifting and organizing shelves for the placement of groceries. It was a physically demanding job and Ms. Lourenco did not have difficulties performing it.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Lourenco says that immediately after the collision occurred she could not feel her legs. She was taken by ambulance to the emergency department at Vancouver General Hospital. At the hospital, x-rays were taken of Ms. Lourenco's pelvis, right hip, right knee and right ankle. There were no fractures. She had multiple contusions. The feeling gradually returned to her legs while she was at the hospital. She was observed at the hospital for a few hours and then discharged.</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describes her injuries over the next few days following the accident. She says she was sore and in a lot of pain. She did not move much.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Five days after the accident Ms. Lourenco went to see her family doctor, Dr. Daniel Ezekiel. Ms. Lourenco advised Dr. Ezekiel that she had pain in both her elbows, both knees and in her right buttock. She walked with a limp. She had obvious bruises on her elbows, knees and right buttock. Ms. Lourenco acknowledges that Dr. Ezekiel recommended that she attend physiotherapy. She did not pursue physiotherapy at that time. She says that she was too sore to begin immediately and she could not afford it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Lourenco describes the first month after the accident as very tough. She could not do much. She did go to Toronto in that period to visit her family. The trip was booked after the accident. She says that while in Toronto she did not go out very much.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Lourenco returned to Save On Foods in June, 2010. She worked there for approximately a month on graveyard shifts. She was assigned light duties and did not return to her former position in schematics.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Lourenco continued her studies at the Art Institute. Before the MVA occurred, she intended to graduate in June 2010, but she says because of the collision and the injuries and pain that resulted she found that she could not finish her work on time. She dropped courses to reduce her course load. As a result she graduated in September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Lourenco was involved in another motor vehicle accident on December 29, 2009. She was parallel parking and backed into a car behind her. She says she was not hurt. There was no change in her level of pain. She did not report the December 29, 2009 accident to her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Lourenco describes her major injuries as headaches, neck pain and back pain from her shoulders to her upper and mid back. Her right knee hurts if she sits for too long. She had right hip pain for three or four months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she still has anxiety crossing the street though not as intensely as right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Lourenco began physiotherapy in March 2010, which she says provided temporary relief. Her symptoms improved with the exercises and stretches that she learned and she continues to do them every day. She finds when she does not do the exercises her pain levels increase. She had a total of 20 physiotherapy sessions between March 2010 and May 2011 and 12 active rehabilitation sessions from July 2011 to August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Lourenco describes her energy levels as low. She is not as energetic as she was before the accident. She has good days and bad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Lourenco wishes to pursue a career in the event industry. She says she studied for this career and spent about $34,000 on tuition. She has not yet secured a position in that industry. In the interim, she is a sales associate at Zara, a women's clothing store. She says she continues to look for event coordinating jobs.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Lourenco says she has not snow boarded since the accident; she has sold her board. She does not hike anymore and stopped running when advised not to run by a physical medicine and rehabilitation physician, Dr. Nairn Stewart.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Lourenco had another car accident on May 20, 2011. She was leaving a parking spot when another vehicle drove by and hit the front corner of Ms. Lourenco's vehicle. Ms. Lourenco says she was not hurt and there was no change in her symptoms or pain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Between January 2011 and July 2011, Ms. Lourenco was employed on a part-time contractual basis as a trip leader for S-Trip, a company that organizes educational trip programs for youth and students. She accompanied students on four ski trips to Kelowna, as well as trips to Cuba and the Dominican Republic. Her job duties excluded any strenuous work. Ms. Lourenco's supervisor, John-Ryan De Lima (who was also her boyfriend at the time) says that Ms. Lourenco's activities were limited because he was aware of her physical limitations. Other trip leaders were actively involved in physical activities along with the students while Ms. Lourenco remained at the hotel and addressed administrative matters.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Lourenco says that she has some sexual limitations: certain positions cause pain and she is often too tired or does not feel like engaging in sexual activity. She says that did not happen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Lourenco was in Los Angeles for four days in May 2012 and she visited her family in Portugal for a month in August 2012. She says her activities were limited: she could not go dancing every night, she could not bike for very long, and she could not surf.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graduating from the Art Institute in September 2010, Ms. Lourenco has applied for 31 jobs in event management. She says that some of the positions would have required setting up and taking down of furniture and equipment. During job interviews she advised prospective employers of her physical limitations. She had no follow up interviews.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Lourenco says that since April 2013 she has changed her interviewing strategy and no longer discloses her physical limitations. Ms. Lourenco was recently granted a second interview after not disclosing her physical limitations in the first interview.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Experts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Dr. Daniel Ezekiel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report of February 8, 2013, Dr. Ezekiel describes the office visits which Ms. Lourenco attended between the time of the accident and the date of the letter. She saw Dr. Ezekiel on a monthly basis until August 2010, and then has seen him from time to time. He describes her progress in his report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past, Ms. Lourenco has been a very healthy individual. She does not suffer from any chronic illnesses and does not take any regular medications. She does have some minor environmental allergies.</w:t>
      </w:r>
    </w:p>
    <w:p>
      <w:pPr>
        <w:spacing w:before="120" w:line="260" w:lineRule="atLeast"/>
        <w:ind w:left="720"/>
        <w:rPr>
          <w:lang w:val="en-US" w:eastAsia="en-US" w:bidi="ar-SA"/>
        </w:rPr>
      </w:pPr>
      <w:r>
        <w:rPr>
          <w:rFonts w:ascii="arial" w:eastAsia="arial" w:hAnsi="arial" w:cs="arial"/>
          <w:color w:val="000000"/>
          <w:sz w:val="20"/>
          <w:lang w:val="en-US" w:eastAsia="en-US" w:bidi="ar-SA"/>
        </w:rPr>
        <w:t>In summary then, Ms. Lourenco was involved in a motor vehicle accident on November 25, 2009, in which she was struck as a pedestrian. The patient sustained multiple soft tissue injuries to her cervical spine, thoracic spine, lumbar spine, both elbows, both knees, and right buttock. Most of her injuries resolved over the ensuing months but she continues to experience pain in her neck and upper back to this day. These symptoms have persisted despite physiotherapy, active rehabilitation, and a home-based fitness program.</w:t>
      </w:r>
    </w:p>
    <w:p>
      <w:pPr>
        <w:spacing w:before="120" w:line="260" w:lineRule="atLeast"/>
        <w:ind w:left="720"/>
        <w:rPr>
          <w:lang w:val="en-US" w:eastAsia="en-US" w:bidi="ar-SA"/>
        </w:rPr>
      </w:pPr>
      <w:r>
        <w:rPr>
          <w:rFonts w:ascii="arial" w:eastAsia="arial" w:hAnsi="arial" w:cs="arial"/>
          <w:color w:val="000000"/>
          <w:sz w:val="20"/>
          <w:lang w:val="en-US" w:eastAsia="en-US" w:bidi="ar-SA"/>
        </w:rPr>
        <w:t>It is certainly well-established that soft tissue injuries of the type that Ms. Lourenco sustained in this motor vehicle accident are notoriously variable in the time that they can take to resolve. In other words, it is impossible to predict when a patient's symptoms will abate as healing times differ widely from one person to another. Most authorities will agree however, that the great majority of soft tissue injuries will settle down within one to two years. If symptoms persist beyond this period of time, then it is virtually certain that they always will, and the patient will have developed a Chronic Pain Syndrome. In this case, almost three and a half years have now passed since the accident occurred, long past the recognized milestone for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Ezekiel considers Ms. Lourenco's prognosis as guarded and believes that she has developed chronic pain. He considers that a proper program of physical fitness is required and will provide the "best chance of minimizing her pain moving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Ezekiel recommended physiotherapy to Ms. Lourenco when he saw her on December 4, 2009 - her first appointment after the MVA. She did not seek treatment until March 31, 2010, after which she reported improvement in her symptoms. Dr. Ezekiel says that she may have seen improvement earlier had she begun physiotherapy treatment sooner.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Ezekiel was not aware of the other motor vehicle accidents in December 2009 and May 2011 in which Ms. Lourenco was involved. During her appointment on December 30, 2009, Ms. Lourenco complained of neck pain. She did not complain of neck pain before that date. Dr. Ezekiel considers that it is possible that the December 29, 2009 accident might be the cause of the neck injury. He also says that it is also possible that the May 2011 accident accounted for the symptoms that she reported after that. From August 2010 to July 2011, Dr. Ezekiel says that Ms. Lourenco did not complain of ongoing injuries, but on July 11, 2011 she asked to try "a more active form of physiotherapy as her symptoms had not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respect of causation, he says that the additional accidents had "muddied the waters."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Dr. R. Nairn Stewart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request of her counsel, Dr. Stewart saw Ms. Lourenco on October 16, 2012. Dr. Stewart is a medical doctor and is licensed to practice a speciality of physical medicine and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Stewart provided the following opinion: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According to Ms. Lourenco's report, she had no problems with neck or back pain, headaches, knee pain or sleep disturbance prior to the motor vehicle accident and her records support that claim. Since the motor vehicle/pedestrian accident of November 25, 2009 she has complained of all of those symptoms, and her symptoms have gradually improved. Given this history it is my opinion that she sustained soft tissue injuries to her neck, back and right knee in the motor vehicle accident. Her symptoms have been aggravated by increased muscle tension and poor attention to pacing her activities with a tendency, for example, to sit too long.</w:t>
      </w:r>
    </w:p>
    <w:p>
      <w:pPr>
        <w:spacing w:before="120" w:line="260" w:lineRule="atLeast"/>
        <w:ind w:left="720"/>
        <w:rPr>
          <w:lang w:val="en-US" w:eastAsia="en-US" w:bidi="ar-SA"/>
        </w:rPr>
      </w:pPr>
      <w:r>
        <w:rPr>
          <w:rFonts w:ascii="arial" w:eastAsia="arial" w:hAnsi="arial" w:cs="arial"/>
          <w:color w:val="000000"/>
          <w:sz w:val="20"/>
          <w:lang w:val="en-US" w:eastAsia="en-US" w:bidi="ar-SA"/>
        </w:rPr>
        <w:t>She has had some post-traumatic stress symptoms in the form of bad dreams about the accident earlier and flashbacks to the accident more recently. Those symptoms have likely contributed to an increase in muscle tension and therefore to increased pain.</w:t>
      </w:r>
    </w:p>
    <w:p>
      <w:pPr>
        <w:spacing w:before="120" w:line="260" w:lineRule="atLeast"/>
        <w:ind w:left="720"/>
        <w:rPr>
          <w:lang w:val="en-US" w:eastAsia="en-US" w:bidi="ar-SA"/>
        </w:rPr>
      </w:pPr>
      <w:r>
        <w:rPr>
          <w:rFonts w:ascii="arial" w:eastAsia="arial" w:hAnsi="arial" w:cs="arial"/>
          <w:color w:val="000000"/>
          <w:sz w:val="20"/>
          <w:lang w:val="en-US" w:eastAsia="en-US" w:bidi="ar-SA"/>
        </w:rPr>
        <w:t>It would be advisable for Ms. Lourenco to continue daily stretching exercises for her neck and back. It would also be advisable for her to continue a regular gym exercise program but I would recommend that she stop running because it aggravates her back and right knee pain.</w:t>
      </w:r>
    </w:p>
    <w:p>
      <w:pPr>
        <w:spacing w:before="120" w:line="260" w:lineRule="atLeast"/>
        <w:ind w:left="720"/>
        <w:rPr>
          <w:lang w:val="en-US" w:eastAsia="en-US" w:bidi="ar-SA"/>
        </w:rPr>
      </w:pPr>
      <w:r>
        <w:rPr>
          <w:rFonts w:ascii="arial" w:eastAsia="arial" w:hAnsi="arial" w:cs="arial"/>
          <w:color w:val="000000"/>
          <w:sz w:val="20"/>
          <w:lang w:val="en-US" w:eastAsia="en-US" w:bidi="ar-SA"/>
        </w:rPr>
        <w:t>Although I found no abnormalities on examination of her right knee I would recommend that she have an MRI scan of the knee to rule out a meniscal injury.</w:t>
      </w:r>
    </w:p>
    <w:p>
      <w:pPr>
        <w:spacing w:before="120" w:line="260" w:lineRule="atLeast"/>
        <w:ind w:left="720"/>
        <w:rPr>
          <w:lang w:val="en-US" w:eastAsia="en-US" w:bidi="ar-SA"/>
        </w:rPr>
      </w:pPr>
      <w:r>
        <w:rPr>
          <w:rFonts w:ascii="arial" w:eastAsia="arial" w:hAnsi="arial" w:cs="arial"/>
          <w:color w:val="000000"/>
          <w:sz w:val="20"/>
          <w:lang w:val="en-US" w:eastAsia="en-US" w:bidi="ar-SA"/>
        </w:rPr>
        <w:t>I would recommend that she have psychological counselling for her residual post-traumatic stress symptoms. A total of 12 counselling session would suffice for this purpose.</w:t>
      </w:r>
    </w:p>
    <w:p>
      <w:pPr>
        <w:spacing w:before="120" w:line="260" w:lineRule="atLeast"/>
        <w:ind w:left="720"/>
        <w:rPr>
          <w:lang w:val="en-US" w:eastAsia="en-US" w:bidi="ar-SA"/>
        </w:rPr>
      </w:pPr>
      <w:r>
        <w:rPr>
          <w:rFonts w:ascii="arial" w:eastAsia="arial" w:hAnsi="arial" w:cs="arial"/>
          <w:color w:val="000000"/>
          <w:sz w:val="20"/>
          <w:lang w:val="en-US" w:eastAsia="en-US" w:bidi="ar-SA"/>
        </w:rPr>
        <w:t>I recommended to her that she consider taking a yoga class, for the stretching and muscle relaxation benefit. I also provided her with information in regard to a relaxation workbook as it would be helpful in reducing the muscle tension component of her pain.</w:t>
      </w:r>
    </w:p>
    <w:p>
      <w:pPr>
        <w:spacing w:before="120" w:line="260" w:lineRule="atLeast"/>
        <w:ind w:left="720"/>
        <w:rPr>
          <w:lang w:val="en-US" w:eastAsia="en-US" w:bidi="ar-SA"/>
        </w:rPr>
      </w:pPr>
      <w:r>
        <w:rPr>
          <w:rFonts w:ascii="arial" w:eastAsia="arial" w:hAnsi="arial" w:cs="arial"/>
          <w:color w:val="000000"/>
          <w:sz w:val="20"/>
          <w:lang w:val="en-US" w:eastAsia="en-US" w:bidi="ar-SA"/>
        </w:rPr>
        <w:t>I would recommend that Ms. Lourenco have an ergonomic assessment of her workstation and that any recommended changes be implemented.</w:t>
      </w:r>
    </w:p>
    <w:p>
      <w:pPr>
        <w:spacing w:before="120" w:line="260" w:lineRule="atLeast"/>
        <w:ind w:left="720"/>
        <w:rPr>
          <w:lang w:val="en-US" w:eastAsia="en-US" w:bidi="ar-SA"/>
        </w:rPr>
      </w:pPr>
      <w:r>
        <w:rPr>
          <w:rFonts w:ascii="arial" w:eastAsia="arial" w:hAnsi="arial" w:cs="arial"/>
          <w:color w:val="000000"/>
          <w:sz w:val="20"/>
          <w:lang w:val="en-US" w:eastAsia="en-US" w:bidi="ar-SA"/>
        </w:rPr>
        <w:t>I discussed with her the importance of pacing her activities, including taking regular breaks at work, in order to avoid aggravating her symptoms.</w:t>
      </w:r>
    </w:p>
    <w:p>
      <w:pPr>
        <w:spacing w:before="120" w:line="260" w:lineRule="atLeast"/>
        <w:ind w:left="720"/>
        <w:rPr>
          <w:lang w:val="en-US" w:eastAsia="en-US" w:bidi="ar-SA"/>
        </w:rPr>
      </w:pPr>
      <w:r>
        <w:rPr>
          <w:rFonts w:ascii="arial" w:eastAsia="arial" w:hAnsi="arial" w:cs="arial"/>
          <w:color w:val="000000"/>
          <w:sz w:val="20"/>
          <w:lang w:val="en-US" w:eastAsia="en-US" w:bidi="ar-SA"/>
        </w:rPr>
        <w:t>With the recommended approach it is likely that she will notice an improvement in her ability to control her symptoms. Given that it has now been almost three years since the motor vehicle accident, it is likely that she will continue to have neck and back pain and headaches to some degree over the long term because of her injuries in the motor vehicle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She would be unable to do physically demanding work because of her injuries. She is best suited to work at the sedentary to light level of physical activity with the opportunity to change her work tasks and position periodically throughout her workday. She is likely to continue to require assistance with heavy lifting at home and to be limited with regard to more strenuous and jarring leisure activities over the long term because of her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Stewart is of the opinion that the four month delay in Ms. Lourenco beginning physiotherapy after being advised to try it has not made a difference in her condition. Dr. Stewart opines that it may have been premature to begin physiotherapy immediately following the trauma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Stewart was advised of Ms. Lourenco's two additional motor vehicle accidents just before she gave her evidence. Dr. Stewart comments that if they were serious, Ms. Lourenco would have mentioned them to her. Dr. Stewart considers that all of the plaintiff's injuries were related to the motor vehicle accident of November 2009.</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Paul Pakulak, Occupational Therapist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request of Ms. Lourenco's counsel, Paul Pakulak undertook a Functional Capacity Evaluation Report and the Cost of Future Care Assessment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asserted that Mr. Pakulak's report was not admissible because another individual, Haley Tencha, conducted the testing under his supervision. I dismissed the defendants' objection to the admissibility of Mr. Pakulak's Functional Capacity Evaluation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their closing submissions, the defendants argued that Mr. Pakulak's Functional Capacity Evaluation Report should be given little weight because Ms. Tencha also took the clinical history which is located at Appendix A, which is not disclosed in the report. The defendants also argue that the conclusions which Mr. Pakulak reached regarding Ms. Lourenco were identical to conclusions that he reached in other recent decisions: </w:t>
      </w:r>
      <w:r>
        <w:rPr>
          <w:rFonts w:ascii="arial" w:eastAsia="arial" w:hAnsi="arial" w:cs="arial"/>
          <w:i/>
          <w:color w:val="000000"/>
          <w:sz w:val="20"/>
          <w:lang w:val="en-US" w:eastAsia="en-US" w:bidi="ar-SA"/>
        </w:rPr>
        <w:t>Gravelle v. Seargeant</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2013 BCSC 536</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Narain v. Gill</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2012 BCSC 848</w:t>
        </w:r>
      </w:hyperlink>
      <w:r>
        <w:rPr>
          <w:rFonts w:ascii="arial" w:eastAsia="arial" w:hAnsi="arial" w:cs="arial"/>
          <w:color w:val="000000"/>
          <w:sz w:val="20"/>
          <w:lang w:val="en-US" w:eastAsia="en-US" w:bidi="ar-SA"/>
        </w:rPr>
        <w:t xml:space="preserve"> at para. 59. The defendants argue that Mr. Pakulak's conclusions were not tailored to Ms. Lourenco but were merely boiler plate.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evidence, Mr. Pakulak explained that Ms. Tencha was an occupational therapist at the time of the testing and she was working towards her certification. While she was not licensed to conduct the test, she did so under the direction of Mr. Pakulak, a certified functional capacity evaluator. He was present throughout the testing. He designed the testing and its order and he prepared the opinions. Ms. Tencha's observations were consistent with raw test data and he confirmed the observations from the test data. He looked over the notes that Ms. Tencha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Pakulak's opinion is based upon the testing results. He used the data collected by Ms. Tencha to base his opinions. In his role as a functional capacity evaluator, he assesses and provides opinions for people with similar types of injuries; he is not required to provide unique wording in each report. His testing and opinions are of assistance to the Court. They are entitled to weight, especially as there are no conflicting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Pakulak provided the following opinion: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opinion, Ms. Lourenco demonstrated the physical capacity to be employable at up to a light level on a full time basis with restrictions and limitation as noted above. Overhead work and prolonged crouching should be kept to an occasional basis. Prolonged bending and prolonged positioning of the neck, shoulders and arms for work in front of the body will also result in increases in symptoms and she will require the flexibility to take extra breaks to manage symptoms if these demands are required on more than an occasional basis.</w:t>
      </w:r>
    </w:p>
    <w:p>
      <w:pPr>
        <w:spacing w:before="120" w:line="260" w:lineRule="atLeast"/>
        <w:ind w:left="720"/>
        <w:rPr>
          <w:lang w:val="en-US" w:eastAsia="en-US" w:bidi="ar-SA"/>
        </w:rPr>
      </w:pPr>
      <w:r>
        <w:rPr>
          <w:rFonts w:ascii="arial" w:eastAsia="arial" w:hAnsi="arial" w:cs="arial"/>
          <w:color w:val="000000"/>
          <w:sz w:val="20"/>
          <w:lang w:val="en-US" w:eastAsia="en-US" w:bidi="ar-SA"/>
        </w:rPr>
        <w:t>It is also my opinion that her overall ability to compete for work in an open job market is significantly reduced due to her ongoing injuries and resultant physical limitations. This is, the overall number of jobs that she would be able to compete for given her physical limitations are significantly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also describes the physical demands of the work of an event planner as described in the National Occupation Classification under the category conference and event planners. The position is described as requiring limited or sedentary level strength, sitting, standing and walking, verbal interaction, and near and far vision. Mr. Pakulak describes variability in demands in the work, including hands on venue setup and work which requires other body positions such as upper limb coordination and functional strength demands above a limited/sedentary level. He considers Ms. Lourenco limited in her capacity to assist with venue setup and applies his opinion with regard to periods of prolonged sitting and prolonged computer work and the requirement of flexibility in respect of these positions. He says "she may be gainfully employable in this field but her opportunities may be somewhat limited depending on the demands of the individual jobs that she may pursue."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Pakulak continues: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With respect to avocational activities she did demonstrate the capacity to complete the aspects of household cleaning chores required in her present residence (she is living with her parents and does not have a lot of responsibilities at home). If she were to live on her own or be responsible for the household cleaning chores, I would anticipate that she would have the capacity to complete the lighter chores but would have limited capacity for the more physically demanding tasks requiring heavier lifting or carrying, prolonged or repetitive below waist level work and prolonged or repetitive overhead work. As such, she may require assistance with some of the more physically demanding chores in the future. It is difficult to predict how much assistance she will require as this will depend on the size and layout of the home that she is living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Cost of Future Care Assessment Report, Mr. Pakulak relies on the medical legal report of Dr. Stewart dated October 27, 2012. He refers to the cost of an annual plan to a fitness facility as between $400 and $500 per year. He recommends a provision of funding for three hours of occupational therapy for two visits to a work site to complete an assessment, ensure the proper setup of equipment, and provide education with regard to adjustment and uses of equipment. The total cost should amount to approximately $370.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Pakulak also costed out 12 psychological counselling sessions at $175 per hour for a total cost of $2,100.</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Causation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The "But-For" Test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Before addressing the quantum of damages that ought to be awarded to Ms. Lourenco, I must determine whether her injuries were caused by the motor vehicle accident of November 25, 2009. Ms. Lourenco must demonstrate,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an injury or exacerbated a condition to justify compensation.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test to be applied was explained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[citations omitted.]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[citations omitted.]</w:t>
      </w:r>
    </w:p>
    <w:p>
      <w:pPr>
        <w:spacing w:before="120" w:line="260" w:lineRule="atLeast"/>
        <w:ind w:left="720"/>
        <w:rPr>
          <w:lang w:val="en-US" w:eastAsia="en-US" w:bidi="ar-SA"/>
        </w:rPr>
      </w:pP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Lourenco bears the burden of proving on a balance of probabilities that her current symptoms were caused by the MVA. The defendants argue that she cannot do so because Dr. Ezekiel conceded he was no longer able to state that her symptoms were causally related to the accident. Dr. Ezekiel conceded her neck pain may have been caused by the second accident on December 29, 2009 and he also conceded that any symptoms Ms. Lourenco was experiencing from either the MVA or the second accident may have been resolved by August, 2010 and that her ongoing symptoms may be related to the third accident in May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Stewart had the opportunity to consider the two subsequent accidents before she gave her evidence, although she was unaware of them until the morning she appeared. Her opinion was that if these accidents were serious Ms. Lourenco would have mentioned it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have Ms. Lourenco's evidence of the two subsequent accidents. There is no basis to conclude that she sustained new or additional injuries in either of them. While I agree with the defendants that it would have been better if she had disclosed the two subsequent accidents to her physicians, I cannot conclude that the two subsequent accidents had any effect on the symptoms which Ms. Lourenco had arising from the first accident. It must be remembered that the first accident involved a collision between the defendants' vehicle and Ms. Lourenco's body. It was of significant force and caused Ms. Lourenco to become airborne before landing on the pavement. In the second and third accident, Ms. Lourenco's body was protected by a vehicle and the impacts were not significant. There is no other evidence about the subsequent accidents. To consider that the subsequent accidents are responsible for Ms. Lourenco's ongoing symptoms places undue emphasis on minor collisions.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Ms. Lourenco has proved that the MVA is the cause of her injuries and ongoing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Damages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Mitigation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assert that Ms. Lourenco has failed to mitigate her damages. They argue that had the plaintiff pursued physiotherapy in accordance with Dr. Ezekiel's recommendation on December 4, 2009 that her symptoms would have improved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Once the plaintiff establishes that the defendants are liable for her injuries, the burden of proof shifts to the defendants. In order to prove the plaintiff did not meet her duty to mitigate, the defendants must establish that she acted unreasonably and that reasonable conduct would have reduced or eliminated the loss. Whether the plaintiff acted reasonably is a factual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test for failure to mitigate set out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which provides: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argue that Ms. Lourenco was not compliant with Dr. Ezekiel's advice during the first post-MVA appointment to attend physiotherapy. They claim that this demonstrates a failure to mitigate her losses and suggests that her injuries were not as serious as she claims. They assert that the evidence shows that physiotherapy did assist in an improvement of her symptoms and provided her with a regime that affords her some relief. Ms. Lourenco was unreasonable in not pursuing physiotherapy sooner than March 2010 and that her pain and suffering would have been reduced if she had. The defendants' claim is similar to other failure to mitigate arguments that have been considered and rejected in previous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Both</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2013 BCSC 1995</w:t>
        </w:r>
      </w:hyperlink>
      <w:r>
        <w:rPr>
          <w:rFonts w:ascii="arial" w:eastAsia="arial" w:hAnsi="arial" w:cs="arial"/>
          <w:color w:val="000000"/>
          <w:sz w:val="20"/>
          <w:lang w:val="en-US" w:eastAsia="en-US" w:bidi="ar-SA"/>
        </w:rPr>
        <w:t xml:space="preserve"> the court did not accept the defendant's argument that the plaintiff had failed to mitigate her damages despite the fact that there was an 18 month delay between her doctor's recommendation that she undertake a physiotherapy and rehabilitation program and her commencing such a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the plaintiff's doctor recommended that he attend physiotherapy and strengthen his core muscles by undergoing an exercise program under the supervision of a personal trainer. The plaintiff did not undertake any kind of exercise program and only attended minimal physiotherapy appointments. Yet the court similarly rejected the defendant's claim of failure to mitigate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I accept that physiotherapy had positive effects on Ms. Lourenco's injury symptoms, I cannot find that she acted unreasonably by not pursuing treatment until four months after the MVA. Again, Ms. Lourenco was a pedestrian hit by a vehicle. I do not doubt that she suffered a great deal of pain and that her belief that physiotherapy would be too painful to pursue right after the MVA was reasonable. I also accept that she did not have the money to pay for physiotherapy. It is not reasonable, as the defendants suggest, that she borrow money from her parents and friends to enable her to go to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have not met the onus of proof required to demonstrate that the plaintiff could have avoided all or a portion of the loss.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The list of factors to be considered by the court generally include the plaintiff's age, the nature of the injury, the severity and duration of the pain, the level of disability, the emotional suffering, the loss of lifestyle and impairment of life: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Compensation should be fair to all parties. Fairness is measured against awards made in comparable cases, which provide general guidance. Ultimately, each case must be decided on its own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Lourenco submits that the appropriate range of damages in this case is $80,000. This position is based on the nature of her injuries, the various diagnoses and prognoses, her continuing symptoms and the significant impact the MVA has had on her lifestyle, at home and at work, her relationships, and her extracurricular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submit that there are three ways to assess Ms. Lourenco's non-pecuniary damages. The first is to consider that her neck and low back pain were caused by the second accident. If that is the case, Ms. Lourenco is entitled to damages for bruises and contusions that resolved within a month. The non-pecuniary damages for these injuries would be minimal. The second way to assess her damages is to accept Dr. Ezekiel's opinion that Ms. Lourenco's injuries were almost resolved by March 2010 and did in fact resolve in and around August 2010. The defendants claim that under this scenario, non-pecuniary damages would be in the $7,000 - $10,000 range. Finally, the defendants argue, if it is accepted that Ms. Lourenco's current complaints are causally related to the MVA they are intermittent and non-disabling. They are in the mild to moderate range of soft tissue injury and thus should be reflected in an award in the $30,000 - $40,000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light of the findings that I have made in respect of causation, I accept that Ms. Lourenco's current complaints are causally related to the MVA.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reviewed the authorities provided by the plaintiff and the defendants. I consider that the MVA and the injuries which Ms. Lourenco sustained have significantly impacted her enjoyment of life. They are likely to continue to affect her. In considering the cases that the parties have provided, I assess non-pecuniary damages at $50,000.</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parties agree to past wage loss from Ms. Lourenco's job at Save On Foods of $1,632.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Lourenco says that as a result of the injuries she sustained in the MVA, she had to reduce her class load at the Art Institute and postpone her graduation by several months. Her injuries were accommodated by her employers S-Trip and Save On Foods. Her current employer, Zara, does not require her to lift and carry heavier boxes of clothes. The plaintiff relies on the opinion of Mr. Pakulak, as expressed in his Functional Capacity Evaluation Report, that Ms. Lourenco "demonstrated the physical task capacity to be employable at up to a light level on a full time basis with restrictions and limitations." On that basis, the plaintiff argues that Ms. Lourenco cannot perform a critical task associated with the event industry and that but for the MVA, on a balance of probabilities, Ms. Lourenco would have been working in the event industry after she obtained her diploma as projected in June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suggests that an accurate measure of her past loss of income is by reference to one of her colleagues who graduated from the same program in 2010 and now earns $42,000 per year. Further, the plaintiff relies on the economist report from Hassan Lakhani of Peta Consultants Ltd. of March 13, 2013, which shows the annual income of female conference and event planners in B.C. is $46,634 per year. The plaintiff says that the income which she could have earned through her career in event planning should be based on $40,000 a year less the $35,241 she has earned in the last three years. The plaintiff's claim for past loss of income is $84,759.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say that the MVA is not the cause of Ms. Lourenco's late graduation from the Art Institute. They also argue that Ms. Lourenco has not presented any evidence that she failed to obtain a job because of her injuries. She has applied for 23 jobs in the event industry between January 12, 2011 and May 13, 2013. Of the 23 job applications, she was only granted four interviews and one second interview. None of the interviews resulted in a job offer. The defendants also assert that Ms. Lourenco's resume contained several misrepresentations: she described her employment at Zara as continuous, although there was a five month gap; she listed her employment for GetWorkers as being part-time, but it was only four days in two months; she listed her employment with S-Trip as being a contract running from January 2011 to July 2011 when she only did six trips with the company; and she listed her education as including a "Human Kinetics Undergraduate" at Langara, although she did not complete a degree.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that the plaintiff suffered some loss of income as a result of the injuries sustained in the MVA. I do not place a great deal of weight on the resume or the "misrepresentations" to which the defendants refer. Resumes always put the best attributes forward to a prospective employer. It is not a sworn statement reflecting the time spent in each job over a particular period of time. I do not find the resume to demonstrate a lack of credibility on the part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the same time, I do not accept that the evidence establishes that upon her graduation from the Art Institute she would have been fully employed in an event planning capacity continually for the last three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assess the plaintiff's past loss of income as $75,000, from which I deduct $35,241. The award for past loss of income is therefore $39,759 gross.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Future Income Loss and 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argues that as a result of the MVA there is a real and substantial possibility of a future event leading to income loss. Ms. Lourenco will be unable to work full-time in the event industry because of her physical limitations resulting from the MVA. The physical limitations prevent her from fulfilling the full job responsibilities of an employee in the event industry. Her capital asset has been impaired.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refers to Dr. Stewart's evidence that it is likely that the plaintiff will continue to have neck and back pain and headaches to some degree over the long term and that she will be unable to do physically demanding work. Dr. Stewart considered the plaintiff "best suited to work at the sedentary to light level of physical activity with the opportunity to change her work tasks and position periodically throughout her work day." The plaintiff also relies on Mr. Pakulak's Functional Capacity Evaluation Report and his opinion that the plaintiff's "overall ability to compete for work in an open job market is significantly reduced due to her ongoing injuries and resulting physical limitations."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asserts that her future is bleak because she cannot work in her chosen occupation. She relies on the income of her friend and demonstrates the income she could earn if she had a job in the event industry. She submits that she will lose $20,000 per year in income from now until age 65 and claims the net present value of her future loss as $309,660.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argue that Ms. Lourenco's claim for future loss is predicated on her contention that but for the MVA she would have had a successful career in event planning. They submit that the evidence fails to establish that it is the alleged injuries which limit her career. The defendants argue that Ms. Lourenco has a physical capacity to pursue her chosen career full-time provided she has the ability to stretch and take breaks.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legal framework regarding a claim for loss of future earning capacity was described by Madam Justice Dickson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paras. 192-198: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[192]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[193]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[194] Insofar as is possible, the plaintiff should be put in the position he or she would have been in, from a work life perspective,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Ongoing symptoms alone do not mandate an award for loss of earning capacity. Rather, the essential task of the Court is to compare the likely future of the plaintiff's working life if the accident had not happened with the plaintiff's likely future working life after its occurrence: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[195]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[196]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[197]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[198]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Bartsch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To establish this head of damages the plaintiff must demonstrate a real possibility that she will suffer a loss of income in the future as a result of her injuries. The Court of Appeal pointed out in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paras. 39-41 that is a matter of common sense that a person with constant and continuous pain will, over time, experience a detrimental effect on their ability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accept that Ms. Lourenco will have some limitation of her earning capacity because of her injuries and that she should be awarded compensation for the resulting financial harm that will accrue over time on a capital asset basis. In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the Court affirmed the decision of the trial judge to use a capital asset approach because "Ms. Sinnott is a young person who has not yet established a career and has no settled pattern of employment. In such circumstances, quantifying a loss is more at large: at para. 16. Mr. Lakhani has given examples of the lump-sum present value of Ms. Lourenco's future loss of income in his report. I am not relying on Mr. Lakhani to assess the loss but one of his examples is apposite. I consider that Ms. Lourenco will suffer a future loss of income of $10,000 in Years 1-10 for a loss of $58,560, and a loss of $5,000 per year from Year 11 to age 65, for a loss of $48,135.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assess Ms. Lourenco's loss of future income as $100,000.</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Stewart recommends that Ms. Lourenco have 12 sessions of psychological counseling for pain management and meditative techniques; an ergonomic assessment of her workstation; a regular gym exercise program; and assistance with heavy lifting at home for household tasks. In his future cost of care report Mr. Lakhani estimates that the lump sum present value of 12 counseling sessions, an ergonomic assessment, and a gym membership is $13,493. The plaintiff submits that an additional $15,000 should be awarded for the future cost of assistance with household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assert that the plaintiff has not established her entitlement to a cost of future care award. She does not require a pass at the gym as she held one prior to the accident. With regard to counseling, the defendants submit that Dr. Stewart's recommendation is excessive and unnecessary. The defendants argue that Ms. Lourenco is not currently working at a desk job and there is no evidence that she would be unable to obtain an ergonomic assessment through a future employer. Finally, the defendants say that the claim for the future cost of housekeeping assistance is too vague to form the basis for an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agree with the defendants that a gym pass is not appropriate in the circumstances. Ms. Lourenco maintained a gym pass before the MVA and it is reasonable to assume she would have continued to do so regardless of the accident. I also accept that the plaintiff has not established her claim for the cost of future housekeeping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regard to counseling, Dr. Stewart's report supports such a future care cost. I similarly find that Dr. Stewart's report supports the need for an ergonomic assessment. On the basis of Mr. Lakhani's report I award the plaintiff $2,500 under this head of damages to cover the cost of counseling and an ergonomic assessment.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parties agree to special damages of $1,062.</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summary, Ms. Lourenco is awarded: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3584"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2355"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$ 50,000.00</w:t>
            </w:r>
          </w:p>
        </w:tc>
        <w:tc>
          <w:tcPr>
            <w:tcW w:w="3686"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Wage Loss (gross)</w:t>
            </w:r>
          </w:p>
        </w:tc>
        <w:tc>
          <w:tcPr>
            <w:tcW w:w="235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$ 39,759.00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Wage Loss - Save On Foods</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$ 1,632.00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Loss of Earning Capacity</w:t>
            </w:r>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$100,000.00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Care Costs</w:t>
            </w:r>
          </w:p>
        </w:tc>
        <w:tc>
          <w:tcPr>
            <w:tcW w:w="245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$ 2,500.00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27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$ 1,062.00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71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94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$194,953.00</w:t>
            </w:r>
          </w:p>
        </w:tc>
        <w:tc>
          <w:tcPr>
            <w:tcW w:w="501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Unless there are matters which I ought to take into account in respect of costs, Ms. Lourenco is entitled to her costs at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J.M. GROPPER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MacEachern (Committee of) v. Rennie, [2009] B.C.J. No. 2755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23-27, 30, 31, April 1-3, 6-9, 14-17, 20-24,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27-30, May 4-8, 11-15, 19 and 25-28,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M072923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1858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607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3737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Christina Marie MacEachern, by her committee, William James MacEachern, Plaintiff, and John Gardner Rennie, Canadian National Transportation Limited., also doing business as Canadian Nat'l Trans Ltd., Canadian National Railway Company, All Weather Products Ltd., Richard Allan Duncan and John Doe, Defendants, and John Gardner Rennie, Canadian National Transportation Limited., also doing business as Canadian Nat'l Trans Ltd., Canadian National Railway Company, All Weather Products Ltd., and Richard Allan Duncan,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jc w:val="both"/>
        <w:rPr>
          <w:rFonts w:ascii="arial" w:eastAsia="arial" w:hAnsi="arial" w:cs="arial"/>
          <w:sz w:val="20"/>
          <w:lang w:val="en-US" w:eastAsia="en-US" w:bidi="ar-SA"/>
        </w:rPr>
      </w:pPr>
      <w:bookmarkStart w:id="41" w:name="Counsel_6"/>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Webster, Q.C., B. Webster-Evans, D.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Rennie, Canadian National Transportation Limited: E.A. Dolden, K.S. Duffield.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All Weather Products Ltd.: R. McLennan, J.A. Dowler.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Duncan: C. Hickey, J. Kandola.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6"/>
      <w:bookmarkEnd w:id="42"/>
      <w:r>
        <w:pict>
          <v:line id="_x0000_s1058"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W. EHRCKE J. (orally)"/>
            <w:bookmarkEnd w:id="43"/>
            <w:r>
              <w:rPr>
                <w:rFonts w:ascii="arial" w:eastAsia="arial" w:hAnsi="arial" w:cs="arial"/>
                <w:b/>
                <w:color w:val="000000"/>
                <w:sz w:val="30"/>
                <w:lang w:val="en-US" w:eastAsia="en-US" w:bidi="ar-SA"/>
              </w:rPr>
              <w:t>W. EHRCKE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was severely injured on September 12, 2005, when her head came in contact with a tractor-trailer while she was walking or riding a bicycle along King George Highway in Surrey, BC. She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various defendants.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commenced on March 23, 2009, and the plaintiff called over 35 witnesses as part of her case. The plaintiff herself is unable to testify due to the extent of her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closed her case on May 14, 2009, without having called one of the eye witnesses, Jeffrey Salter, who was with the plaintiff at the time of the accident. The reason for doing so was that plaintiff's counsel was unaware of Mr. Salter's whereabouts. Despite efforts to locate him, they had not been able to contact him or speak with him. The plaintiff now applies to re-open her case in order to call Mr. Salter. The defendants oppose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CN defendants opened their case on Friday, May 15, 2009, by calling a police witness, Constable Howard, and a toxicologist, Dr. Heathcote. On Tuesday, May 19, 2009, they called Brad McDonald who had been living in the same tent city as the plaintiff in the months prior to the accident. Jeff Salter had also been living at the tent city, and various witnesses have testified that he was with the plaintiff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the affidavit of Ms. Webster-Evans, Mr. McDonald contacted plaintiff's counsel on the evening of May 19, 2009, and provided a contact number for Mr. Salter. Plaintiff's counsel then phoned Mr. Salter and met with him that evening. He described to counsel the circumstances of the accident as he perceived them. He explained that he is currently homeless and was living in the tent city in the summer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affidavit of Ms. Webster-Evans describes the efforts that plaintiff's counsel took to locate Mr. Salter prior to trial. Their efforts started soon after they were retained in 2006. Among other things they retained three different investigation firms to search for Mr. Salter, all without success. They expended over $4,000 for investigation services. They also left messages with various persons and organizations who might come in contact with Mr. Salter, asking that he get in touch with them. Despite these efforts they were unable to locate Mr. Salter until the evening of May 19, 2009. They then promptly informed counsel for the defendants and advised that they would be making this application to re-open their case to call Mr. Salter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 unusual aspect of this matter is that counsel for the CN defendants had located Mr. Salter two and one half months earlier and had spoken to him. They made a decision not to call him as a witness in their case. Plaintiff's counsel had requested from counsel for the CN defendants information about the whereabouts of persons who were with the plaintiff at the time of the accident, but no information was provided, and in particular, they provided no information about how to contact Mr. Salter, or what evidence he might be able to give.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not been referred to any authorities that are directly on point, that is, dealing with an application by the plaintiff in a civil case to re-open for the purpose of calling a missing witness during the course of the defence case. There are, however, numerous cases dealing with applications to re-open to call further evidence after the defence has concluded its case. Those cases make it clear that the court has a discretion to allow a party to re-open to adduce new evidence, even after judgment has been rendered, but before the order has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have also been referred to </w:t>
      </w:r>
      <w:r>
        <w:rPr>
          <w:rFonts w:ascii="arial" w:eastAsia="arial" w:hAnsi="arial" w:cs="arial"/>
          <w:i/>
          <w:color w:val="000000"/>
          <w:sz w:val="20"/>
          <w:lang w:val="en-US" w:eastAsia="en-US" w:bidi="ar-SA"/>
        </w:rPr>
        <w:t>Palmer v. The Queen</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[1980] 1 S.C.R. 759</w:t>
        </w:r>
      </w:hyperlink>
      <w:r>
        <w:rPr>
          <w:rFonts w:ascii="arial" w:eastAsia="arial" w:hAnsi="arial" w:cs="arial"/>
          <w:color w:val="000000"/>
          <w:sz w:val="20"/>
          <w:lang w:val="en-US" w:eastAsia="en-US" w:bidi="ar-SA"/>
        </w:rPr>
        <w:t xml:space="preserve"> where at p. 775 the court summarized the principles governing an application to adduce fresh evidence on a criminal appeal:</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should generally not be admitted if, by due diligence, it could have been adduced at trial provided that this general principle will not be applied as strictly in a criminal case as in civil cases: see </w:t>
      </w:r>
      <w:r>
        <w:rPr>
          <w:rFonts w:ascii="arial" w:eastAsia="arial" w:hAnsi="arial" w:cs="arial"/>
          <w:i/>
          <w:color w:val="000000"/>
          <w:sz w:val="20"/>
          <w:lang w:val="en-US" w:eastAsia="en-US" w:bidi="ar-SA"/>
        </w:rPr>
        <w:t>McMartin v. The Queen</w:t>
      </w:r>
      <w:r>
        <w:rPr>
          <w:rFonts w:ascii="arial" w:eastAsia="arial" w:hAnsi="arial" w:cs="arial"/>
          <w:color w:val="000000"/>
          <w:sz w:val="20"/>
          <w:lang w:val="en-US" w:eastAsia="en-US" w:bidi="ar-SA"/>
        </w:rPr>
        <w:t>, [</w:t>
      </w:r>
      <w:hyperlink r:id="rId224" w:history="1">
        <w:r>
          <w:rPr>
            <w:rFonts w:ascii="arial" w:eastAsia="arial" w:hAnsi="arial" w:cs="arial"/>
            <w:i/>
            <w:color w:val="0077CC"/>
            <w:sz w:val="20"/>
            <w:u w:val="single"/>
            <w:shd w:val="clear" w:color="auto" w:fill="FFFFFF"/>
            <w:lang w:val="en-US" w:eastAsia="en-US" w:bidi="ar-SA"/>
          </w:rPr>
          <w:t>[1964] S.C.R. 484</w:t>
        </w:r>
      </w:hyperlink>
      <w:r>
        <w:rPr>
          <w:rFonts w:ascii="arial" w:eastAsia="arial" w:hAnsi="arial" w:cs="arial"/>
          <w:color w:val="000000"/>
          <w:sz w:val="20"/>
          <w:lang w:val="en-US" w:eastAsia="en-US" w:bidi="ar-SA"/>
        </w:rPr>
        <w: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relevant in the sense that it bears upon a decisive or potentially decisive issue in the trial.</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credible in the sense that it is reasonably capable of belief,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such that if believed it could reasonably, when taken with the other evidence adduced at trial, be expected to have affected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present case is neither an appeal nor is it a criminal matter. In British Columbia the leading case on re-opening a civil trial before the entry of the formal order is </w:t>
      </w:r>
      <w:r>
        <w:rPr>
          <w:rFonts w:ascii="arial" w:eastAsia="arial" w:hAnsi="arial" w:cs="arial"/>
          <w:i/>
          <w:color w:val="000000"/>
          <w:sz w:val="20"/>
          <w:lang w:val="en-US" w:eastAsia="en-US" w:bidi="ar-SA"/>
        </w:rPr>
        <w:t>Clayton v. British American Securities Ltd.</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(1934), 49 B.C.R. 28</w:t>
        </w:r>
      </w:hyperlink>
      <w:r>
        <w:rPr>
          <w:rFonts w:ascii="arial" w:eastAsia="arial" w:hAnsi="arial" w:cs="arial"/>
          <w:color w:val="000000"/>
          <w:sz w:val="20"/>
          <w:lang w:val="en-US" w:eastAsia="en-US" w:bidi="ar-SA"/>
        </w:rPr>
        <w:t xml:space="preserve"> (C.A.). A majority of the five justice division who sat in that case rejected the dissenting view that the due diligence requirement must be applied as a strict rule. In support of the majority position Macdonald J.A. wrote at pp. 66 to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view has always been that the trial judge might resume the hearing of an action apart from rules until entry of judgment, but as it was vigorously combatted I have given it careful consideration. The point, as far as I know, has not been squarely decided; at least by any cases binding upon us. It is, I think, a salutary rule to leave unfettered discretion to the trial judge. He would of course discourage unwarranted attempts to bring forward new evidence available at the trial to disturb the basis of a judgment delivered or to permit a litigant after discovering the effect of a judgment to re-establish a broken-down case with the aid of further proof. If the power is not exercised sparingly and with the greatest care fraud and abuse of the Court's processes would likely result. Without that power however injustice might occur. If, e.g., a document should be discovered after pronouncement of judgment, but before entry, showing that the judgment was wrong and the trial judge was convinced of its authenticity no lack of diligence by a solicitor in not producing it earlier should serve to perpetuate an injustice. The prudent course is to permit the trial judge to exercise untrammelled discretion relying upon trained experience to prevent abuse, the fundamental consideration being that a miscarriage of justice does not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reasons for rules governing the admission of evidence by an Appellate Court, not applicable to a trial judge. Hearing new evidence is a departure from its usual procedure and it is fitting that departures in ordinary practice should be limited by rules to prevent abuse. Entry of judgment may be merely a formality but it is necessary, that at some arbitrary point the jurisdiction of the trial judge should end. A vested right to a judgment is then obtained subject to a right to appeal and should not be lightly jeopardized. Before the gate is closed by entry a trial judge is in a better position to exercise discretion apart from rules than an Appellate Court. He knows the factors in the case that influenced his decision and can more readily determine the weight that should be given to new evidence offered. I may add that he might well be guided, although not bound by the rules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material before me in the present case I am satisfied that the proposed new witness, Mr. Salter, has evidence to give that is clearly relevant to important issues and could affect the result. There is little, if any, prejudice to the defendants in allowing the plaintiff to re-open to call his evidence, because the application comes so early in the defence case. There is no suggestion that the defendants would have differently examined any of the witnesses they have so far called had Mr. Salter been called on May 14, prior to the close of the plaintiff's case. In any event, the CN defendants must have known what evidence Mr. Salter might give, since unlike counsel for the plaintiff, they spoke to him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reject the defendants' submission that the present application should be dismissed on the basis that plaintiff's counsel failed to exercise due diligence in locating Mr. Salter. The standard of due diligence requires that serious efforts be made, but the standard is not one of perfection Mr. Salter is a person of no fixed address who at the time of the accident was, like the plaintiff, living in a tent city. The difficulty this posed in finding him must be obvious. I am satisfied that plaintiff's counsel took all reasonable steps to locate Mr. Salter, and they are not to be faulted for the fact that their efforts did not bear fruit prior to the close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CN defendants suggested that the plaintiff should have asked for an adjournment to locate Mr. Salter. I find that suggestion quite unrealistic given that plaintiff's counsel had no reason to believe that their efforts would be successful if they only had a little more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the interests of justice require that the plaintiff be permitted to re-open her case to call Mr. Salter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application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Owens v. Steveston Waterfront Properties Inc., [2019] I.L.R. para. G-2844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S157828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G-2844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[2019] B.C.J. No. 855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2019 BCSC 746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Kathryn Owens v. Steveston Harbour Authority, Steveston Waterfront Properties Inc., Shady Island Enterprises Inc., Blitz Properties Ltd., and Steveston Restaurant Group Inc., carrying on business as Blue Canoe Waterfront Restaurant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
      <w:bookmarkEnd w:id="44"/>
      <w:r>
        <w:rPr>
          <w:rFonts w:ascii="arial" w:eastAsia="arial" w:hAnsi="arial" w:cs="arial"/>
          <w:b/>
          <w:color w:val="000000"/>
          <w:sz w:val="20"/>
          <w:lang w:val="en-US" w:eastAsia="en-US" w:bidi="ar-SA"/>
        </w:rPr>
        <w:t xml:space="preserve">Tort — Occupier's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Slip and fall — Boardwalk — Wet wood — Damages — In December 2013, plaintiff slipped and fell while walking on boardwalk adjacent to restaurant — Plaintiff, aged 61, shattered kneecap and required surgery — Defendant occupier's property manager testified that there had been no previous complaints or incidents — Neighbouring boardwalks contained signage respecting slippery conditions — Defendant argued that wooden boardwalk exposed to elements carries inherent risk of being slippery of which any adult is aware — Plaintiff brought action claiming damages under Occupiers Liability Act - - Court found it was more likely than not that plaintiff fell because boardwalk was wet — Court accepted that boardwalk and ramp did not visually appear to be wet to plaintiff — Risk respecting boardwalk was unreasonable — Court accepted that wetness could not always be visually noticed and this amounted to recognizable risk that required positive action — Court did not accept defendant's characterization of wetness as "inherent risk" — Defendant was negligent under Act — Plaintiff was awarded $99,051 in damages — Action allowed — Occupiers Liability Act, </w:t>
      </w:r>
      <w:hyperlink r:id="rId234"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December 2013, the plaintiff slipped and fell while walking on a boardwalk adjacent to a restaurant. The plaintiff was 61 years old. She had followed her husband down a ramp with a small incline to the boardwalk. Although the boards appeared dry to her, the plaintiff slipped on them and subsequently felt with her hands that they were wet. The plaintiff claimed that if there had been a sign warning of a slipping hazard, she would not have walked there. As a result of the fall, the plaintiff shattered her kneecap, was taken to the hospital, and underwent surgery. The plaintiff was discharged from the hospital in January 2014 and used a wheelchair for one month. She returned to work in May 2014.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Steveston Waterfront Properties Inc. conceded that it was the occupier. The defendant's property manager testified that there had been no previous complaints or incidents, but admitted that the area could be slippery, particularly in winter. The defendant performed an annual pressure wash of the boardwalk in the spring. There was no paint applied to the wood. Neighbouring boardwalks contained signage respecting slippery conditions, including a neighbouring boardwalk of which the defendant was also the occupier. The defendant argued that as a "rustic wood deck in a marine setting, which is entirely exposed to all elements" the boardwalk carries an inherent risk of being slippery of which any adult would be aware. The plaintiff brought an action claiming damages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
            <w:bookmarkEnd w:id="46"/>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conceded that it owed a duty to take care that the plaintiff would be reasonably safe when using the boardwalk. The Court found that it was more likely than not that the plaintiff fell because the boardwalk was wet. The Court accepted that the boardwalk and ramp did not appear to be wet to the plaintiff. The Court concluded that the risk respecting the boardwalk was unreasonable. The defendant had a positive duty to take reasonable care to make the boardwalk safe for walking. As occupiers of neighbouring boardwalks had mounted signs warning of a slipping hazard, the Court accepted that wetness could not always be visually noticed and this amounted to a recognizable risk that required positive action from the defendant. The Court did not accept the defendant's characterization of wetness as an "inherent risk" given that the plaintiff had considered this risk, looked for evidence of it, and did not see it. As there were no visual cues from the wood, a sign ought to have been erected on top of the ramp. The defendant also had the option of putting a frictional surface at a minimal cost. The Court concluded that the defendant was negligent under the Act.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established that but for the defendant's negligent act, the injuries would not have occurred. The Court accepted that if there had been a sign warning that the boardwalk was slippery, the plaintiff would not have walked on it. The plaintiff had ongoing pain and restrictions in her movement. The Court awarded non-pecuniary damages of $80,000. The plaintiff was also entitled to past income loss of $10,450, loss of housekeeping capacity damages of $5,000, and an in-trust claim for the husband at $5,000. The total award was $99,051.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Counsel_7"/>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M.D. Fahey for the plaintiff; L.C. Boulton and K. Kuefler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7"/>
      <w:bookmarkEnd w:id="48"/>
      <w:r>
        <w:pict>
          <v:line id="_x0000_s1062"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the Plaintiff's Husband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Experts'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Fadi Tarazi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Armit Toor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Defence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Albert Abah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Income Loss and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In-Trust Claim for Mr. Owens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M.A. MAISONVILLE J."/>
            <w:bookmarkEnd w:id="49"/>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a slip and fall incident outside of the Blue Canoe Waterfront Restaurant (the "Restaurant") in Steveston, BC located on the Fraser River. The plaintiff, Kathryn Owens, fell and shattered her right patella (kneecap) on the boardwalk adjacent to the restaurant entrance (the "Incident"). The actual entrance way to the restaurant is on concrete aggregate which extends from the street. Abutting the aggregate concrete walkway is a wooden plank ramp which leads to the boardwalk, also composed of wooden planks.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note Steveston Waterfront Properties Inc. is the only defendant remaining in this action (the "defendant") as proceedings against the other defendants have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main issue in this case is the liability of the defendant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namely, whether the defendant failed to observe the standard of care it owed to the plaintiff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and whether, but for that breach, the Incident would not have occurred. More specifically, the plaintiff claims that there should have been signage that the boardwalk surface could be slippery, and that, if there had been a sign warning of slipperiness on the ramp, the Incident would not have occurred. The defendant concedes it is the occupier and owed a duty of care to the plaintiff to take care that she would be reasonable safe while using the area of the boardwalk where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If liability is established, the quantum of non-pecuniary damages, an in-trust claim for the plaintiff's husband, loss of housekeeping capacity, and the cost of future care must be assessed. The quantum for special damages and past wage loss are admitted. The defendant has advanced submissions on the appropriate quantum of non-pecuniary damages, however it has not taken a position concerning the other heads of damages the plaintiff seek. Nonetheless, the onus rests with the plaintiff to prove each head of damage it advances and the appropriate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December 31, 2013, the plaintiff was walking on a part of a boardwalk in Steveson, of which the defendant is the occupier, when she slipped and fell (the "Incident"). She was walking on the boardwalk after having a meal (a soup and one beer) at the Restaurant. The plaintiff was 61 years old at the time of the Incident. She had followed her husband, Mr. Owens, who was also in his sixties, down a ramp with a small incline that was just outside the Restaurant to the boardwalk. Although the wooden planks of the boardwalk looked dry, she slipped, landing on her knee. She testified that, had there been a sign warning of a slipping hazard, she would not have tried to walk down the ramp to the boardwalk.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fractured her patella when she landed on her flexed right knee. She was transported to Richmond General Hospital where she was diagnosed with a severe comminuted displaced right knee patellar fracture. She was taken to the operating room on January 1, 2014 and underwent an open reduction and internal fixation of the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surgery the plaintiff was treated with a knee immobilizer splint. She was discharged home on January 2, 2014. She had to return to the operating room on April 2014 for Dr. Kendall to perform the hardware removal surgery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claims general damages pursuant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As a beneficiary of health services, she claims, as special damages, the costs of the health care services she has received and relies upon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MPA</w:t>
      </w:r>
      <w:r>
        <w:rPr>
          <w:rFonts w:ascii="arial" w:eastAsia="arial" w:hAnsi="arial" w:cs="arial"/>
          <w:color w:val="000000"/>
          <w:sz w:val="20"/>
          <w:lang w:val="en-US" w:eastAsia="en-US" w:bidi="ar-SA"/>
        </w:rPr>
        <w:t xml:space="preserve">] as well as the </w:t>
      </w:r>
      <w:r>
        <w:rPr>
          <w:rFonts w:ascii="arial" w:eastAsia="arial" w:hAnsi="arial" w:cs="arial"/>
          <w:i/>
          <w:color w:val="000000"/>
          <w:sz w:val="20"/>
          <w:lang w:val="en-US" w:eastAsia="en-US" w:bidi="ar-SA"/>
        </w:rPr>
        <w:t>Health Care Cost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For her husband who looked after her, she seeks an in-trust claim. She also asks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Past income loss of $10,450 is admitted, as are the special damages totalling $1,101.32.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She is now in her mid-sixties. At the time of the Incident, she worked for an automobile dealership as a warranty administrator. She retired in July 2017. Together with her husband, she would often go to the Restaurant. They were frequent customers, not once a week, but often. In the summertime, she approximated that they would be there every other week. They would often go for lunch. They would drive there and then walk down to the restaurant from the street along the cement aggregate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evening of New Year's Eve 2013, they went to the Restaurant for a light meal before returning home to celebrate the New Year. They sat at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they arrived at the restaurant on December 31, 2013, she ordered a beer and the soup special, which was a lobster bisque. While she had only one beer, her husband may have had two. She believes that was so because when she saw her Visa bill, the amount was just over $30. The soup, together with three drinks, would have been approximately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asked whether she was feeling the effects of the alcohol when she left the Restaurant, she testified "not at all". After they settled the bill, they exited the restaurant onto the concrete aggregate walkway at the door. They continued walking straight ahead to where the ramp started. She looked at the ramp and it did not seem wet. Her husband was ahead of her and was to her left. She followed him down the ramp. After the ramp, she stepped on the boardwalk. She testified she took one to two, or three to four steps, then fell. Her right foot slipped and she fell forward onto her right knee and her body ended up on the right side. The pain she described was "incredible". She felt shocked and stunned.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asked what she noticed, the plaintiff testified that she noted that her palms were sore and she felt that the wood was wet when she was lying there. She was in so much pain she asked her husband to not touch her. After a minute, her husband picked her up and moved her to a bench. She sat there for one to two minutes crying. She had been wearing boots that had a rubber soul on the heel and some tread. There have been no suggestions in this trial that her footwear contributed to the fall. The plaintiff noted that her kneecap was in a strange position and appeared to be protruding but not outside her 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bartender came out from the Restaurant to help. She recalls his name being Jim van der Tas. The restaurant owner also came out. The plaintiff was helped to the car and she and her husband drove immediately to the Richmond General Hospital's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Upon arriving at the hospital, her husband retrieved a wheelchair to take her into the emergency department. She waited an hour to two hours to be seen. The hospital staff then removed her clothes and X-rays were taken. She said that she was in horrible pain the entire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Kendall examined her kneecap and told her that she would be having surgery the next day. She did and she was ultimately discharged home on January 2, 2014. The plaintiff was in a wheelchair for three to four weeks and did not leave the house except for doctor's appointments. She testified that the Incident caused the most pain she has ever had in her whole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February 2014, she commenced her rehabilitation and attended physiotherapy at the Richmond General Hospital two to three times a week until the end of April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surgery, in February, she started wearing a soft cast. She returned to work for two days a week for four to five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5, 2014, she returned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 husband helped her with her personal care. He would hold on to her so that she could have a shower and he also helped with her toileting.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she was back to work full-time, the plaintiff described her pain level as 7 to 8 out of a scale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first year following the Incident, she described the pain as being 8 out of a scale of 10. For the first year, she did not experience any pain-free days, but she did experience pain-free hours. One year after the Incident, the pain, which was in and around her right kneecap, would come and go; it would occur if she sat for too long. She would have rated the pain as approximately 5 to 7 on a scale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she was taking OxyContin in January 2014. She switched over to Tylenol in February. She said that her knee now hurts but only on the scale of 2 to 7, depending on what activity she had done. She followed a physiotherapy regime as prescribed by her doctor. She still feels pain, which comes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July 2015, as she was trying to get into a small swimming pool her right knee locked. She fell backwards and injured her left shoulder. She did not get immediate medical attention until November but did tell her physiotherapist. Ultimately, she had an X-ray, and then later an MRI, which revealed a tear in her left shoulder. The shoulder tear does not prevent her in performing any activities and, consequently, she has not had surgery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Following the surgery, she has a 5-inch long scar on her right knee. She believes her knee looks different. She thinks it looks ugly. There are still things that she cannot do, for instance, she cannot squat, kneel or sit on the ground. She does not take baths because she cannot get her knee into proper position to stand. She no longer vacuums the house. She recently tried to start yoga but cannot get into positions. She is a golfer and does try to continue enjoying golf; she went golfing five or six times this past summer. She did not golf at all for one-and-a-half years following the Incident. She now finds it difficult to walk the course and needs to rent a golf cart to participate. Sometimes together with her husband they will take a golf holiday and have done so three times since the Incident. When they went to Palm Springs, they rented a golf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sleep is still affected by her knee injury. When it hurts at night, she rubs it with cream. When the knee area is hot from the rubbing, she will try to get it into position with a pillow. She believes she can sleep at most five hours at a stretch. She has tried Asper Crème, CBD Oil and Voltaren cream. She continues to take Tylenol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Describing the day of the incident, she testified that she did not see any signs respecting the boardwalk. She testified that if there had been a sign, she would have grabbed her husband's arm or taken a different way down to see the boats.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ramp was a slope but it did not have a large incline. Photographs of the ramp were placed into evidence. She had walked around in that area before to see boats when the tall ships came in but that had been in the summertime.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vigorously cross-examined on whether she had seen that the boardwalk was wet. She was adamant that had she seen it was wet, she would not have gone down the ramp and onto the boardwalk. She testified it did not look wet at the time she fell, nor could she see water on the surface of the ramp or the boardwalk.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agreed under cross-examination that there was no discussion with her husband about going down to see the boats. She just simply followed him down the ramp. There was no frost on the surface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Her knee took the brunt of the fall. She noted that when she was on the ground, the wood around her waist felt wet. She agreed that when wood is wet, it can be slippery. She agreed that she had said at her examination for discovery that it was wet and that the wetness of the wooden planks caused her to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Plaintiff's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husband, Mr. Rodger Owens, also testified. He retired in June 2017 from his position as a music teacher at a high school in the Lower Mainland. He testified that they lived in Steveston about a mile away from the Restaurant. They had been there for 15 years. Mr. Owens testified that he was somewhat familiar with the area and that they would shop and go to the grocery stores there. They did not use the boardwalk to walk around when shopping,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Owens testified that in the summertime, he and his wife would walk along the boardwalk but that was when it was dry and warm. They would go to the Restaurant or down to Steveston dock to buy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New Years' Eve of 2013, the Owens parked their car on Chapman Street and walked down the exposed cement aggregate sidewalk to the Restaurant. After the meal they left. That evening later at the time of the Incident, he looked at the boardwalk and it looked dry. He wanted to look at the boats in the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were no warning signs at the ramp going down to the boardwalk. He testified, "I look for them ... if there had been a sign, there was no way I would have gone down the ramp". He said a consideration he had was that they were in their sixties. Mr. Owens was adamant that if there was a warning sign, they would not have gone down the ramp because he was cautious due to their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Owens testified that when the plaintiff fell, he heard her scream. He tried to pick her up. She was on her right side when she fell on the ground. He did not see her fall. He put her on the bench and went into the restaurant to get a bag of ice. He noted that the area where she fell was dangerously slippery but it actually looked dry. His wife's kneecap appeared to be protruding at a right angle and he knew it was a very serious injury. Her clothing was soaking wet on the right side. The restaurant owner came out and Mr. Owens testified he told him that the ramp "was ridiculously slippery". Mr. Owens then went to get his vehicle and drove his car to the loading area and he, the bartender, Mr. van der Tas, and the owner took the plaintiff to the car. Mr. Owens drove her to the Richmond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the Incident, Mr. Owens went back to the area. He noted there were a number of places in other areas on the boardwalk that had warning signs and grates on the boardwalk to make it safe. Photographs of the signs were placed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Owens noted that a photograph of one of the signs that was placed into evidence was taken near the boardwalk at a neighbouring property which says "CAUTION. BOARDWALK MAY BE SLIPPERY DUE TO VARIABLE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Owens testified about the household duties that he took over following the plaintiff's fall. In addition to gardening, which he had been doing before the Incident, he took on more household chores including doing dishes and cleaning. They ended up retaining the service of cleaners to come in once in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Owens testified that he would help the plaintiff to the washroom and to shower. Since the Incident, they have moved to a home in Tsawwassen where there are no stairs. Mr. Owens testified that not having stairs in their home has been helpful for his wife. The plaintiff has difficulty with going up and downstairs generally. Her knee will lock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the Incident, Mr. Owens testified that they also retained a cleaner to come in once a month. He explained that the Incident has impacted their intimacy.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Prior to the Incident, they travelled a lot and played golf. Where they live now has a golf course. However, the plaintiff now needs a golf cart. Mr. Owens testified that the plaintiff tries to walk to the extent she can.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Experts'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Dr. Fadi Tarazi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Fadi Tarazi, in a medical report dated June 24, 2015, was of the opinion that the Incident caused the plaintiff's right knee patella to fracture. He described it as a "severe fracture because there were multiple comminuted bone fragments that involve the articular cartilage surface of the knee joint [where bone rubs on bone]". He indicated that the treatment of surgery was appropriate where the fracture fragments were repositioned and held together with pins and wires until they are removed in further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Tarazi, in summary,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slip and fall accident of December 31, 2013 has caused a right knee patellar fracture which required two surgical interventions. She still has residual pain, which is affecting her day-to-day activities. She is now at increased risk of developing osteoarthritis of her right knee. Osteoarthritis will likely develop and progress over the next 10 to 12 years and she will likely eventually require knee replacement surgery. She will likely have to modify her activities in the future to accommodate for her knee pain. She will have to avoid heavy lifting, squatting, kneeling, and prolong sitting to minimize the risk of flare-up of her right knee pain. She is now prone to future injury to her right knee secondary to the slip and fall accident is December 31, 2013.</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Mr. Armit Toor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also called Mr. Amrit Toor of Intech Engineering Limited as an expert witness. He prepared an incident report on the slip and fall, which included photographs, and testified in court. Mr. Toor had examined the ramp and the part of the boardwalk near the bottom of the ramp in the general area where the Incident occurred. He used the boots the plaintiff was wearing to conduct friction tests and provide an opinion on the cause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Toor visited the site in October 2018, five years after the Incident, therefore his observations about the scene are of limited assistance to this court as the evidential record demonstrates that there have been changes to site. Given the passage of time, some of Mr. Toor's findings are not reliable, as they are based on his observations of conditions that did not exist at the time of the Incident, some of which are not supported by or corroborated by the evidence of the plaintiff or her husband concerning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By way of example, Mr. Toor had noted that there were some areas of green moss or algae. I discount this evidence as there was no evidence of that given at trial by the plaintiff or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report, Mr. Toor concludes that there was a variance in frictional properties of the boardwalk at the site where the plaintiff fell. Slip and fall incidents occur when an individual unexpectedly encounters an area that has reduced friction. He notes that where there is reduced friction, that people can walk on slippery surfaces without slipping and falling but those are frequently in situations where an individual is aware of the surface or where "the hazardous surface is expected and identifiable".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case, he noted there were no visual clues to the changes in friction regions and would have limited the plaintiff's opportunity to respond to any slippage or loss of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had given Mr. Toor the region where she fell. I accept that there have been some changes to the areas where the plaintiff fell in that garbage bins would have been to her left as she walked down the ramp and off on the boardwalk, however, she had identified the general region where she feel which was unchanged. I accept Mr. Toor's evidence on the explanation of how the plaintiff fell.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Mr. Albert Abah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Albert Abah was called as a witness by the defence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Abah was 51 years of age at the time of the trial and had worked in property management for a number of years. He had been with the defendant since 2013. Mr. Abah is familiar with the Steveston area for a period longer than that, however, as he has lived in that area for 17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Abah testified that he has never heard of any safety issues around either the Shady Island restaurant or the Restaurant, two restaurants located near to each other and close to where the Incident occurred. He testified that the materials on the dock, being the wooden dock, are the same materials all the way through from the east to the west. Mr. Abah is responsible for the eastern portion of the dock and that would encompass the area of where the Incident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Abah testified that thousands of people come through that area. On Canada Day alone, 100,000 people were in the general area of Steveston. In the summertime, it would get very busy. It rains quite often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Part of Mr. Abah's job is to interact with owners, tenants, contractors, and trades. He also covers inspections, and oversees the trades. Mr. Abah testified that he is familiar with the ramp going down to the boardwalk and the boardwalk there. It is sloped. He testified that, to his knowledge, the water level below the ramp and the boardwalk areas depends on the tide, but it never rises up from below to splash on the boardwalk.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Abah testified that no one has expressed any concerns to him about the surface of the ramp being slippery. Most of the risks, he believes, occur in the winter when there is frost. They would put salt to melt down the ice on the walkways up to the city sidewalks. Mr. Abah testified that his phone is on 24/7. He is on call all the time, so he never gets a break. He is on the general site where the Incident occurred approximately two to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Abah did concede that there are other times when it can be slippery on the boardwalk. No one had brought this issue to his attention, however. I note there was no evidence of an obvious place to contact if someone does slip. If someone did slip and told a store owner, then it would be up to the owners to contact him, he testified. He was asked about the fact, however, that an incident had in fact occurred here but he did not get notice from the tenants. He testified that the owner and the bartender at the Restaurant were aware of the Incident but they did not contact him about it so he did not learn of the Incident until well past the time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Abah testified that, in practice, he does not have a set inspection schedule. He said that he does these inspections randomly. He indicated in his testimony that he was sure the ramp was slippery, "sure in the winter it is frosty". He agreed that there were variable weather conditions at that site and that they varied from foggy to rainy in the area. Mr. Abah agreed it was possible that the surface can be slippery when it is above-zero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noted that there is far more usage of the boardwalk and the ramp in the summertime when it is sunny.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asked about slippery conditions for the boardwalk, Mr. Abah said "in the winter,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When asked about erecting signs, he answered that, in his mind, it would make more sense to have Cantonese or Mandarin signs as opposed to English. He was asked about the other photos of caution signs that were in evidence. He noted they were on the Steveston Harbour Authority's property rather than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Abah testified that the defendant performs an annual pressure wash, usually in March or April. He testified that it is a three-day process. The Incident took place, however, on December 31, 2013 and there had been no power washing between March and April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was no non-slip material put down before December 31, 2013. The surface of the ramp and the area by boardwalk have never been painted since he has managed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Abah does not believe the site to be sufficiently worrisome to attend to it in any manner, apart from pressure-washing it once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the time of the trial, the defendant still had not erected any signs, applied any abrasive paints, put down sandwich boards signs or metal grates on the walkway, or made any changes to address the potential slipperiness of the ramp or the boardwalk.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governing test for occupier's liability is set out in s.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conceded that the defendant was the occupier of the boardwalk where the plaintiff fell. As such, it owed a duty to take care that, in all the circumstances of the case, the plaintiff would be reasonably safe using the boardwalk. The issues are whether the defendant breached the standard of care it owed to the plaintiff, and if so, whether, but for that breach, the Incident, and damages flowing from it,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place an occupier in the position of an insurer of all those who enter upon its premises; the operative word of s. 3 is "reasonable": </w:t>
      </w:r>
      <w:r>
        <w:rPr>
          <w:rFonts w:ascii="arial" w:eastAsia="arial" w:hAnsi="arial" w:cs="arial"/>
          <w:i/>
          <w:color w:val="000000"/>
          <w:sz w:val="20"/>
          <w:lang w:val="en-US" w:eastAsia="en-US" w:bidi="ar-SA"/>
        </w:rPr>
        <w:t>Clark v. Royal Oak Holdings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BCSC 275</w:t>
      </w:r>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imposes a standard of care on the defendant to take reasonable care in the circumstances to make the premises safe. "That duty does not change but the factors relevant to the assessment of what constitutes reasonable care is necessarily factually specific to each fact situation":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at 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standard is reasonableness and occupiers are not expected to achieve perfection, nor are they meant to act as insurers to those who get injured on their premises": </w:t>
      </w:r>
      <w:r>
        <w:rPr>
          <w:rFonts w:ascii="arial" w:eastAsia="arial" w:hAnsi="arial" w:cs="arial"/>
          <w:i/>
          <w:color w:val="000000"/>
          <w:sz w:val="20"/>
          <w:lang w:val="en-US" w:eastAsia="en-US" w:bidi="ar-SA"/>
        </w:rPr>
        <w:t>Khoury v. Vancouver (City)</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2015 BCSC 805</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assessing whether the defendant took reasonable care in the circumstances to ensure the plaintiff was reasonably safe in using the boardwalk, this court must assess "whether there was a recognizable risk of injury, the gravity of the risk, the ease or difficulty with which the risk could be avoided, and the burden or cost of eliminating the risk": </w:t>
      </w:r>
      <w:r>
        <w:rPr>
          <w:rFonts w:ascii="arial" w:eastAsia="arial" w:hAnsi="arial" w:cs="arial"/>
          <w:i/>
          <w:color w:val="000000"/>
          <w:sz w:val="20"/>
          <w:lang w:val="en-US" w:eastAsia="en-US" w:bidi="ar-SA"/>
        </w:rPr>
        <w:t>Agar</w:t>
      </w:r>
      <w:r>
        <w:rPr>
          <w:rFonts w:ascii="arial" w:eastAsia="arial" w:hAnsi="arial" w:cs="arial"/>
          <w:color w:val="000000"/>
          <w:sz w:val="20"/>
          <w:lang w:val="en-US" w:eastAsia="en-US" w:bidi="ar-SA"/>
        </w:rPr>
        <w:t xml:space="preserve"> at paras. 53 and 57; see also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[1991] 1 S.C.R. 201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"Evidence of prior safety and continued safe use is relevant but not determinative to whether the area was reasonably safe at the time of the fall": </w:t>
      </w:r>
      <w:r>
        <w:rPr>
          <w:rFonts w:ascii="arial" w:eastAsia="arial" w:hAnsi="arial" w:cs="arial"/>
          <w:i/>
          <w:color w:val="000000"/>
          <w:sz w:val="20"/>
          <w:lang w:val="en-US" w:eastAsia="en-US" w:bidi="ar-SA"/>
        </w:rPr>
        <w:t>Khoury</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addition to establishing a breach of the standard of care, the plaintiff must prove that the defendant "caused" the Incident--but for the defendant's actions, the Incident would not have happened: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In other words, if the plaintiff proves the defendant breached its standard of care by failing to put a sign warning of the hazard, for the defendant to be found liable, the plaintiff must also prove that the defendant's failure to warn of the potential slipping hazard caused the plaintiff's fall: </w:t>
      </w:r>
      <w:r>
        <w:rPr>
          <w:rFonts w:ascii="arial" w:eastAsia="arial" w:hAnsi="arial" w:cs="arial"/>
          <w:i/>
          <w:color w:val="000000"/>
          <w:sz w:val="20"/>
          <w:lang w:val="en-US" w:eastAsia="en-US" w:bidi="ar-SA"/>
        </w:rPr>
        <w:t>Khoury</w:t>
      </w:r>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Newsham v. Canwest Trade Shows Inc.</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2012 BCSC 289</w:t>
        </w:r>
      </w:hyperlink>
      <w:r>
        <w:rPr>
          <w:rFonts w:ascii="arial" w:eastAsia="arial" w:hAnsi="arial" w:cs="arial"/>
          <w:color w:val="000000"/>
          <w:sz w:val="20"/>
          <w:lang w:val="en-US" w:eastAsia="en-US" w:bidi="ar-SA"/>
        </w:rPr>
        <w:t xml:space="preserve">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For a "slip and fall" case, like the present one, there are effectively two sets of causation inquiries. As explained by Justice N. Brown in </w:t>
      </w:r>
      <w:r>
        <w:rPr>
          <w:rFonts w:ascii="arial" w:eastAsia="arial" w:hAnsi="arial" w:cs="arial"/>
          <w:i/>
          <w:color w:val="000000"/>
          <w:sz w:val="20"/>
          <w:lang w:val="en-US" w:eastAsia="en-US" w:bidi="ar-SA"/>
        </w:rPr>
        <w:t>Newsham</w:t>
      </w:r>
      <w:r>
        <w:rPr>
          <w:rFonts w:ascii="arial" w:eastAsia="arial" w:hAnsi="arial" w:cs="arial"/>
          <w:color w:val="000000"/>
          <w:sz w:val="20"/>
          <w:lang w:val="en-US" w:eastAsia="en-US" w:bidi="ar-SA"/>
        </w:rPr>
        <w:t>, there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...one under the standard of care analysis and the other under the "causation" analysis as it is traditionally labelled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first analysis requires the plaintiff to establish </w:t>
      </w:r>
      <w:r>
        <w:rPr>
          <w:rFonts w:ascii="arial" w:eastAsia="arial" w:hAnsi="arial" w:cs="arial"/>
          <w:i/>
          <w:color w:val="000000"/>
          <w:sz w:val="20"/>
          <w:lang w:val="en-US" w:eastAsia="en-US" w:bidi="ar-SA"/>
        </w:rPr>
        <w:t>what hazard caused the slip</w:t>
      </w:r>
      <w:r>
        <w:rPr>
          <w:rFonts w:ascii="arial" w:eastAsia="arial" w:hAnsi="arial" w:cs="arial"/>
          <w:color w:val="000000"/>
          <w:sz w:val="20"/>
          <w:lang w:val="en-US" w:eastAsia="en-US" w:bidi="ar-SA"/>
        </w:rPr>
        <w:t xml:space="preserve"> and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caused the hazard to be present</w:t>
      </w:r>
      <w:r>
        <w:rPr>
          <w:rFonts w:ascii="arial" w:eastAsia="arial" w:hAnsi="arial" w:cs="arial"/>
          <w:color w:val="000000"/>
          <w:sz w:val="20"/>
          <w:lang w:val="en-US" w:eastAsia="en-US" w:bidi="ar-SA"/>
        </w:rPr>
        <w:t xml:space="preserve">. The second analysis... requires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caused the injury he suffered because of the slip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cited a number of cases, a few of which I find are pertinent to an analysis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Waldick</w:t>
      </w:r>
      <w:r>
        <w:rPr>
          <w:rFonts w:ascii="arial" w:eastAsia="arial" w:hAnsi="arial" w:cs="arial"/>
          <w:color w:val="000000"/>
          <w:sz w:val="20"/>
          <w:lang w:val="en-US" w:eastAsia="en-US" w:bidi="ar-SA"/>
        </w:rPr>
        <w:t>, the plaintiff was seriously injured when he fell on the defendants' icy parking area, which had not been salted or sanded. It was a rural area, and apparently few people in that region salted or sanded their driveways. The plaintiff conceded that he knew the laneway was slippery and could tell that was the case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held that occupiers liability legislation promotes and requires positive action on the part of occupiers to make their premises safe. After considering the weather, time of year, size of the parking area, cost of preventative measure, length of the pathway, and the fact that the accident occurred on rural and residential premises, the lower courts concluded that by not doing anything, the defendants fell short of reasonable care. The defendants knew the parking area next to the entrance would be used by visitors. The courts also considered that sand and salt are inexpensive and readily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concerned a plaintiff and her husband, who owned a food kiosk in the defendant's mall. They were walking towards a meeting for the other merchants being held after the mall closed, when the plaintiff slipped. An employee of the defendant maintenance contractor had been mopping the floors and did not put any caution signs to warn of the wet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challenged the cause of the plaintiff's fall. They led evidence that oil and grease on the cooking floor of the plaintiff's kiosk would have made the rubber of her shoes more susceptible to slippage; the judge accept the kiosk floor was kept clean. They also pointed to the lack of evidence that there was any water on the tiles where the plaintiff fell. The plaintiff testified she did not notice the floors to be wet or anybody mopping, and did not know what caused her fall. The evidence is that the tiles were shiny, but that was the case whether wet or dry. The husband testified that he did notice someone was mopping and that the floor was wet as they were walking, but did not observe any wetness on the plaintiff as he helped her up. The employee testified that he mopped the area where she fell one to two minutes before the fall and that moisture would generally remain on the tiles for up to five to ten minutes after. As such, the judge accepted that the plaintiff slipped because the floor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judge further concluded that the defendants did not take reasonable steps to inform the plaintiff of the risk that existed while the employee was mopping the floors. He considered that the employee's bucket was not sufficient to warn users of the mall floor that it was potentially dangerous, particularly because there were warning signs available and it was simply a choice not to use them. The employee testified that it was only after the plaintiff's fall that he was instructed to use these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Daniels v. Westfair Foods Ltd.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2004 ABQB 746</w:t>
        </w:r>
      </w:hyperlink>
      <w:r>
        <w:rPr>
          <w:rFonts w:ascii="arial" w:eastAsia="arial" w:hAnsi="arial" w:cs="arial"/>
          <w:color w:val="000000"/>
          <w:sz w:val="20"/>
          <w:lang w:val="en-US" w:eastAsia="en-US" w:bidi="ar-SA"/>
        </w:rPr>
        <w:t>, the court found that the plaintiff did slip on snow or ice while leaving the defendant's store, but that she had not proved the defendant did not take reasonable precautions to main the sidewalk in a safe condition that day. Therefore, the defendant was not found to be liable under Alberta's occupiers liability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demonstrated that the defendant had not followed its own store policy regarding maintenance and sidewalk safety, however these breaches did not establish a breach of the defendant's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court accepted evidence that the sidewalk had been inspected twice that morning and concluded that the unsafe condition that caused the plaintiff to fall either developed within a 40-minute period or the potential hazard was not visible to a person who walked over the area checking for hazards. It was a winter day but was not snowing. The court held that to find the defendant negligent would impose too high a standard of care, one that would oblige the defendant to inspect its sidewalk at least once every forty minutes and indicate that a simple visual inspection would be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Goddard v. Bayside Property Services Ltd.</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2018 BCSC 1498</w:t>
        </w:r>
      </w:hyperlink>
      <w:r>
        <w:rPr>
          <w:rFonts w:ascii="arial" w:eastAsia="arial" w:hAnsi="arial" w:cs="arial"/>
          <w:color w:val="000000"/>
          <w:sz w:val="20"/>
          <w:lang w:val="en-US" w:eastAsia="en-US" w:bidi="ar-SA"/>
        </w:rPr>
        <w:t xml:space="preserve">, the plaintiff brought an action against the defendants (the strata and management)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(respectively) after he slipped and fell on a wooden exterior staircase outside a fire exit at the rear end of his residence. He alleged the defendants breached their statutory duty and were negligent (respectively) with respect to the condition of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had resided in the unit for 26 years before the accident. His evidence was that he was conducting a personal fire drill to measure the time it would take him to reach various fire exits in the building. He recalled using his left hand to grab the left railing of the stairs as he prepared to descend and then being at the bottom of the stairs, not recalling the stairs collapsing or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Justice Ball found the plaintiff did not meet his burden for either action,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plaintiff is required to prove on a balance of probabilities first, what condition or hazard caused his trip and fall; and second, that the condition or hazard existed due to a breach of duty by the defendants. If the plaintiff cannot prove the former, he cannot prove the latter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Further, the court is not permitted to speculate to find what condition or hazard caused the plaintiff to fall. It is insufficient for the plaintiff to simply depose "what else could it have been?"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this case, the plaintiff advanced a theory about what caused his fall, but the Court cannot speculate in respect to a theory; the cause of the fall has not been established on the evidence called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such, Ball J. found that the facts of the plaintiff's fall did not establish the occupier defendant (being the strata) failed to take reasonable care to ensure he would be reasonably safe on the stairs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Khoury</w:t>
      </w:r>
      <w:r>
        <w:rPr>
          <w:rFonts w:ascii="arial" w:eastAsia="arial" w:hAnsi="arial" w:cs="arial"/>
          <w:color w:val="000000"/>
          <w:sz w:val="20"/>
          <w:lang w:val="en-US" w:eastAsia="en-US" w:bidi="ar-SA"/>
        </w:rPr>
        <w:t>, the plaintiff slipped and fell on a bridge in botanical gardens. Justice Sharma found that the nature of the premises where the plaintiff fell was a significant factor with respect to the standard of care owed to visitors. The garden was not a regular park; it was intended to provide a non-urban experience. Therefore, it was reasonable that the trails were not paved and the land was not necessarily level. She also noted that the conditions on the bridge were not out of the ordinary given that it was a cold, sunny winter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informal, the defendants had a reasonable response to the possible ice and snow build up that was tailored to the reality of the unpredictability of ice formation. It was irrelevant that this policy was not written. Further, it was not unreasonable to only have one person working to address ice and snow, and to not have anybody on duty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Justice Sharma also noted that the plaintiff was familiar with the gardens, having visited many times before and that he and his wife were aware of the characteristics and the fact that the bridge may have been slippery given the weather conditions. There was evidence demonstrating that the plaintiff's wife called out to him when he was at the bridge to be cautious. All of this resulted in a finding that there was no breach in the duty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Simmons v. Yeager Properties Inc.</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2014 BCCA 201</w:t>
        </w:r>
      </w:hyperlink>
      <w:r>
        <w:rPr>
          <w:rFonts w:ascii="arial" w:eastAsia="arial" w:hAnsi="arial" w:cs="arial"/>
          <w:color w:val="000000"/>
          <w:sz w:val="20"/>
          <w:lang w:val="en-US" w:eastAsia="en-US" w:bidi="ar-SA"/>
        </w:rPr>
        <w:t xml:space="preserve">, Justice Lowry, for the court, overturned the trial judge's finding that the defendants were liable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for the plaintiff's injuries resulting from a fall caused by her tripping on a 3-inch raised patio at the entrance to the defendants' bakery.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trial judge, Justice Fisher, as she then was, found that the patio step presented a potential hazard, and the defendant had not sufficiently discharged its obligation to take reasonable care to make the premises safe. There was a white stripe painted along the top and side edges of the patio before the landing as well as a sign stating "WATCH YOUR STEP PLEASE". However, as the words "watch" and "step" on the sign were faded and difficult to read, Fisher J. found the defendants had not set up a system of inspection and maintenance with respect to the sign that was sufficient to refute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appealed arguing their failure to maintain the sign did not cause the plaintiff's fall; the court of appeal agreed,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The fact the sign was not properly maintained such as to have been readable cannot have caused Ms. Simmons to fall if, as the judge found, she was "not looking in that direction and did not see the sign at all". Had the sign been readable it would have made no difference. Ms. Simmons would not have seen it. The bakery owners' breach of the duty they owed to patrons like Ms. Simmons cannot have caused her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Thus Ms. Simmons failed to "show on a balance of probabilities that 'but for' the defendant's negligent act, the injury would not have occurred" (see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 8). The facts found by the judge do not provide a legal basis for determining the owners of the bakery to be liable for the injuries Ms. Simmons suffered when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Zary v. Canada Mortgage and Housing Corporation</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2015 BCSC 1145</w:t>
        </w:r>
      </w:hyperlink>
      <w:r>
        <w:rPr>
          <w:rFonts w:ascii="arial" w:eastAsia="arial" w:hAnsi="arial" w:cs="arial"/>
          <w:color w:val="000000"/>
          <w:sz w:val="20"/>
          <w:lang w:val="en-US" w:eastAsia="en-US" w:bidi="ar-SA"/>
        </w:rPr>
        <w:t xml:space="preserve">, Justice Skolrood found that the plaintiff's injuries were not caused by an act or omission by the defendant in breach of its obligations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fell, injuring her knee, while leaving a stall in a washroom in the Granville Island Public Market. Her evidence was that when she entered the washroom she did not see any water in the main area, but did see some on the floor when she entered the first stall. Her evidence was that when she saw the water, she turned to leave the stall, taking one step with her left foot. Her right foot slipped from under her, causing her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Skolrood J accepted that there was some water on the floor of the washroom, at least in the stall, and that the plaintiff's fall was caused by dampness on the floor. He also accepted that she slipped due to the water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Skolrood J. found the plaintiff failed to establish some act or omission on the defendant's part that caused the injury. He did not accept that the defendant breached its standard of care by failing to use absorbent mats or adding slip resistant flooring material to the area. He found that given the nature of the business at the market and the volume of foot traffic on weekends, it was inevitable that there would be some moisture in on the floor of the washrooms at any given time. However, there was no evidence that the mere presence of water rendered the floors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Skolrood J noted that the plaintiff was aware the washroom floor was often damp and went on to note that the defendant had a reasonable system of maintenance in the washrooms, involving inspection and cleaning at reasonable intervals and a system for dealing with unusual events, such as a water look. This system effectively minimized hazards and fulfilled the defendant's duty to keep the bathrooms reasonably safe for use by users.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position is that the defendant was negligent by omission; it failed to take reasonable steps to ensure those using the ramp and the boardwalk would be safe. She argues that the slipperiness of the boardwalk is a recognizable risk, which the defendant was aware of, but failed to address. Its failure to do anything in the face of that risk was a breach of the duty it owed to the plaintiff. The plaintiff points to various steps that she argues would have been reasonable for the defendant to take, including erecting signs to warn of the slipping hazard, applying non-slip material, conducting regular safety inspections, and power washing more frequently. In particular, she argues that the standard of care for occupiers of boardwalks in the area is to erect signs warning of slipping risks. This would have been an inexpensive solution, one which the evidence demonstrates was taken by the Steveston Harbour Authority with respect to the part of the boardwalk for which it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argues that causation has been proven. Her fall was caused by the slipperiness of the ramp. As a consequence of not seeing any signs warning of the slipping hazard, the plaintiff and her husband went down the ramp and the Incident ensued. Had she been alerted to the slipping hazard, she would have taken a different route or she would have been more vigilant in proceeding down the ramp by holding onto her husband's arm; she argues this would have prevented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defence's argues that it did not breach the standard of care. Its position is that the plaintiff has failed to prove what hazard, if any, caused the Incident. The defence submits that the plaintiff has not advanced a credible explanation for the cause of her fall. It submits that she does not remember how she fell, that she was not paying attention at the relevant time, and that her explanation for how she impacted her right patella does not make any sense. Without establishing what hazard caused her fall, the defendant argues that the plaintiff is unable to establish that the defendant was negligent in allowing the hazard to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further submits that the boardwalk "is a rustic wood deck in a marine setting, which is entirely exposed to all elements". It argues that the possibility of the boardwalk being wet or slippery was an inherent risk of which any adult would be aware. In the circumstances, it did not fail to take reasonable care to make the premises safe in the face of objectively unreasonable risks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Further or in the alternative, the defence argues that a sign would have made no difference here and that the plaintiff has failed to establish that, if the defendant did breach its duty to the plaintiff, the Incident, and consequently her damages, were caused by that breach. The defence position is that a sign would have done nothing more than inform the plaintiff of risk she was already aware of, namely that when the ramp and the boardwalk were wet, it could be slippery. It points to the plaintiff's evidence that she visually checked the ramp to determine if it was wet before proceeding. It argues that because she had not realized it was wet before her fall, even if there had been a sign informing her to exercise caution on the ramp and the boardwalk as it could be slippery depending on the weather conditions, the sign would not have changed her behaviour or prevented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issue for this court is whether the defendant is liable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for the Incident, and, consequently, for the damages suffered by the plaintiff as a result. This requires, first, a determination as to whether the defendant breached its duty to take reasonable care in the circumstances to ensure the plaintiff would be reasonably safe using the ramp. The fact of the plaintiff's fall does not create a presumption of liability; the burden rests with the plaintiff to establish a breach of the defendant's duty of care, being some act or omission on the part of the defendant that caused her injury: </w:t>
      </w:r>
      <w:r>
        <w:rPr>
          <w:rFonts w:ascii="arial" w:eastAsia="arial" w:hAnsi="arial" w:cs="arial"/>
          <w:i/>
          <w:color w:val="000000"/>
          <w:sz w:val="20"/>
          <w:lang w:val="en-US" w:eastAsia="en-US" w:bidi="ar-SA"/>
        </w:rPr>
        <w:t>Khoury</w:t>
      </w:r>
      <w:r>
        <w:rPr>
          <w:rFonts w:ascii="arial" w:eastAsia="arial" w:hAnsi="arial" w:cs="arial"/>
          <w:color w:val="000000"/>
          <w:sz w:val="20"/>
          <w:lang w:val="en-US" w:eastAsia="en-US" w:bidi="ar-SA"/>
        </w:rPr>
        <w:t xml:space="preserve"> at para. 43. The standard of care inquiry, therefore, requires a determination as to what caused the plaintiff to fall. The identification of that cause enables the court to assess whether there was a recognizable risk of injury, the gravity of the risk, the ease or difficulty with which the risk could have been avoided, and the burden or cost of eliminating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her evidence on how she came to fall is imprecise, I find that it is more likely than not that she fell on the boardwalk because it was wet. There were no witnesses to the fall, however, the plaintiff was credible in her evidence generally, and I found her description of what occurred leading up to and after the fall to be reliable. I accept her evidence that neither the wooden planks of the boardwalk nor of the ramp appeared to be wet from a visual scan, but that she noticed the boardwalk was wet while lying on its surface after her fall. As a matter of common sense, I find that the wetness made the boardwalk more slippery than it would have been if dry. Counsel for the defendant, as part of its submissions, makes this very point when arguing that the "Plaintiff knows that wood can be slippery" and this was therefore an inherent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Nonetheless, as the defendant aptly argues, the mere presence of water on a surface is not, in itself,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The issue of the defendant's liability turns on reasonableness. The defendant's duty is not to achieve perfection; it is only to take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 xml:space="preserve"> care </w:t>
      </w:r>
      <w:r>
        <w:rPr>
          <w:rFonts w:ascii="arial" w:eastAsia="arial" w:hAnsi="arial" w:cs="arial"/>
          <w:i/>
          <w:color w:val="000000"/>
          <w:sz w:val="20"/>
          <w:lang w:val="en-US" w:eastAsia="en-US" w:bidi="ar-SA"/>
        </w:rPr>
        <w:t>in the circumstances</w:t>
      </w:r>
      <w:r>
        <w:rPr>
          <w:rFonts w:ascii="arial" w:eastAsia="arial" w:hAnsi="arial" w:cs="arial"/>
          <w:color w:val="000000"/>
          <w:sz w:val="20"/>
          <w:lang w:val="en-US" w:eastAsia="en-US" w:bidi="ar-SA"/>
        </w:rPr>
        <w:t xml:space="preserve"> to make the premises safe. The defendant submits that, regardless of whether the boardwalk was wet, this standard was satisfied, relying, in particular, on </w:t>
      </w:r>
      <w:r>
        <w:rPr>
          <w:rFonts w:ascii="arial" w:eastAsia="arial" w:hAnsi="arial" w:cs="arial"/>
          <w:i/>
          <w:color w:val="000000"/>
          <w:sz w:val="20"/>
          <w:lang w:val="en-US" w:eastAsia="en-US" w:bidi="ar-SA"/>
        </w:rPr>
        <w:t>Khoury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Zary</w:t>
      </w:r>
      <w:r>
        <w:rPr>
          <w:rFonts w:ascii="arial" w:eastAsia="arial" w:hAnsi="arial" w:cs="arial"/>
          <w:color w:val="000000"/>
          <w:sz w:val="20"/>
          <w:lang w:val="en-US" w:eastAsia="en-US" w:bidi="ar-SA"/>
        </w:rPr>
        <w:t xml:space="preserve">. It argues that the occupier in </w:t>
      </w:r>
      <w:r>
        <w:rPr>
          <w:rFonts w:ascii="arial" w:eastAsia="arial" w:hAnsi="arial" w:cs="arial"/>
          <w:i/>
          <w:color w:val="000000"/>
          <w:sz w:val="20"/>
          <w:lang w:val="en-US" w:eastAsia="en-US" w:bidi="ar-SA"/>
        </w:rPr>
        <w:t>Zary</w:t>
      </w:r>
      <w:r>
        <w:rPr>
          <w:rFonts w:ascii="arial" w:eastAsia="arial" w:hAnsi="arial" w:cs="arial"/>
          <w:color w:val="000000"/>
          <w:sz w:val="20"/>
          <w:lang w:val="en-US" w:eastAsia="en-US" w:bidi="ar-SA"/>
        </w:rPr>
        <w:t xml:space="preserve"> was not held liable due to water on the floor, and that, as was the case in </w:t>
      </w:r>
      <w:r>
        <w:rPr>
          <w:rFonts w:ascii="arial" w:eastAsia="arial" w:hAnsi="arial" w:cs="arial"/>
          <w:i/>
          <w:color w:val="000000"/>
          <w:sz w:val="20"/>
          <w:lang w:val="en-US" w:eastAsia="en-US" w:bidi="ar-SA"/>
        </w:rPr>
        <w:t>Khoury</w:t>
      </w:r>
      <w:r>
        <w:rPr>
          <w:rFonts w:ascii="arial" w:eastAsia="arial" w:hAnsi="arial" w:cs="arial"/>
          <w:color w:val="000000"/>
          <w:sz w:val="20"/>
          <w:lang w:val="en-US" w:eastAsia="en-US" w:bidi="ar-SA"/>
        </w:rPr>
        <w:t xml:space="preserve">, given the nature of the ramp and the boardwalk, being that it is outdoor and made of wood, the standard applicable to the defendant should be lower than it was in </w:t>
      </w:r>
      <w:r>
        <w:rPr>
          <w:rFonts w:ascii="arial" w:eastAsia="arial" w:hAnsi="arial" w:cs="arial"/>
          <w:i/>
          <w:color w:val="000000"/>
          <w:sz w:val="20"/>
          <w:lang w:val="en-US" w:eastAsia="en-US" w:bidi="ar-SA"/>
        </w:rPr>
        <w:t>Zary</w:t>
      </w:r>
      <w:r>
        <w:rPr>
          <w:rFonts w:ascii="arial" w:eastAsia="arial" w:hAnsi="arial" w:cs="arial"/>
          <w:color w:val="000000"/>
          <w:sz w:val="20"/>
          <w:lang w:val="en-US" w:eastAsia="en-US" w:bidi="ar-SA"/>
        </w:rPr>
        <w:t>. It submits, therefore, that the fact that the boardwalk was wet did not constitute an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Unlike the case of </w:t>
      </w:r>
      <w:r>
        <w:rPr>
          <w:rFonts w:ascii="arial" w:eastAsia="arial" w:hAnsi="arial" w:cs="arial"/>
          <w:i/>
          <w:color w:val="000000"/>
          <w:sz w:val="20"/>
          <w:lang w:val="en-US" w:eastAsia="en-US" w:bidi="ar-SA"/>
        </w:rPr>
        <w:t>Khoury</w:t>
      </w:r>
      <w:r>
        <w:rPr>
          <w:rFonts w:ascii="arial" w:eastAsia="arial" w:hAnsi="arial" w:cs="arial"/>
          <w:color w:val="000000"/>
          <w:sz w:val="20"/>
          <w:lang w:val="en-US" w:eastAsia="en-US" w:bidi="ar-SA"/>
        </w:rPr>
        <w:t xml:space="preserve"> summarized above, here, the plaintiff was not familiar with this part of the boardwalk. Similarly, in </w:t>
      </w:r>
      <w:r>
        <w:rPr>
          <w:rFonts w:ascii="arial" w:eastAsia="arial" w:hAnsi="arial" w:cs="arial"/>
          <w:i/>
          <w:color w:val="000000"/>
          <w:sz w:val="20"/>
          <w:lang w:val="en-US" w:eastAsia="en-US" w:bidi="ar-SA"/>
        </w:rPr>
        <w:t>Zary</w:t>
      </w:r>
      <w:r>
        <w:rPr>
          <w:rFonts w:ascii="arial" w:eastAsia="arial" w:hAnsi="arial" w:cs="arial"/>
          <w:color w:val="000000"/>
          <w:sz w:val="20"/>
          <w:lang w:val="en-US" w:eastAsia="en-US" w:bidi="ar-SA"/>
        </w:rPr>
        <w:t>, the plaintiff was aware that the washroom floor was often damp, unlike the situation in the case at bar. I accept the plaintiff's evidence in that regard that she had looked. She was unaware the wood was wet. She was not aware of the characteristics of the ramp or the boardwalk, or that the wooden planks may have been slippery given the weather conditions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Furthermore, I accept her evidence that while she was alive to the risk that the boardwalk or ramp might have been wet, since it was outside, by the water, and made out of wood, that she did look to determine if it was wet. I accept that it did not appear wet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the risk respecting the boardwalk was unreasonable. The defendant has a positive duty to take reasonable care to make the boardwalk safe to be walked on. Although evidence of local practice is not determinative, having considered that occupiers for the neighbouring boardwalks had mounted signs warning of the potential slipping hazard, I am persuaded that the facts that the boardwalk could be slippery when wet and that this wetness would not always be visually noticeable to visitors, amounts to a recognizable risk that required some positive action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do not accept the defendant's characterization that wetness was an "inherent risk" of such a nature that the plaintiff should have been aware of it being slippery, given she had considered this potential and indeed looked for evidence of that risk. Given no visual clues arise from the wood itself I find that a sign should have been erected at the top of the ramp to warn that it could be slippery given the variable weather conditions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There was ease in avoiding the risk by either putting a frictional surface such as a metal grate on the boardwalk to reduce the slipperiness that wetness would cause, or even erecting a sign, warning visitors of the invisible danger. The costs of reducing the risk of slipperiness would have been minimal. As such, in all the circumstances, I find that the defendant breached its duty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to the plaintiff in failing to take any steps to reduce or eliminate the risk posed by the boardwalk becoming slippery when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Based on the legal test as set out above and the cases I have noted, I find that the plaintiff has also established, on a balance of probabilities, that but for the defendant's negligent act, the injuries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the plaintiff's evidence that had there been a sign warning that the ramp and the boardwalk surfaces could be slippery, she would not have gone down the ramp that day. She testified "If there had been a sign, I either would have grabbed Rodger's arm to go down the ramp or we would have turned and gone a different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Simmons</w:t>
      </w:r>
      <w:r>
        <w:rPr>
          <w:rFonts w:ascii="arial" w:eastAsia="arial" w:hAnsi="arial" w:cs="arial"/>
          <w:color w:val="000000"/>
          <w:sz w:val="20"/>
          <w:lang w:val="en-US" w:eastAsia="en-US" w:bidi="ar-SA"/>
        </w:rPr>
        <w:t xml:space="preserve">, the defendant argues that a sign would have made no difference here, and therefore causation is not met. I do not accept this argument. In </w:t>
      </w:r>
      <w:r>
        <w:rPr>
          <w:rFonts w:ascii="arial" w:eastAsia="arial" w:hAnsi="arial" w:cs="arial"/>
          <w:i/>
          <w:color w:val="000000"/>
          <w:sz w:val="20"/>
          <w:lang w:val="en-US" w:eastAsia="en-US" w:bidi="ar-SA"/>
        </w:rPr>
        <w:t>Simmons</w:t>
      </w:r>
      <w:r>
        <w:rPr>
          <w:rFonts w:ascii="arial" w:eastAsia="arial" w:hAnsi="arial" w:cs="arial"/>
          <w:color w:val="000000"/>
          <w:sz w:val="20"/>
          <w:lang w:val="en-US" w:eastAsia="en-US" w:bidi="ar-SA"/>
        </w:rPr>
        <w:t xml:space="preserve">, the Court of Appeal indicated that despite the fact that a sign warning of a tripping hazard was faded, there was no liability. Given that the plaintiff in </w:t>
      </w:r>
      <w:r>
        <w:rPr>
          <w:rFonts w:ascii="arial" w:eastAsia="arial" w:hAnsi="arial" w:cs="arial"/>
          <w:i/>
          <w:color w:val="000000"/>
          <w:sz w:val="20"/>
          <w:lang w:val="en-US" w:eastAsia="en-US" w:bidi="ar-SA"/>
        </w:rPr>
        <w:t>Simmons</w:t>
      </w:r>
      <w:r>
        <w:rPr>
          <w:rFonts w:ascii="arial" w:eastAsia="arial" w:hAnsi="arial" w:cs="arial"/>
          <w:color w:val="000000"/>
          <w:sz w:val="20"/>
          <w:lang w:val="en-US" w:eastAsia="en-US" w:bidi="ar-SA"/>
        </w:rPr>
        <w:t xml:space="preserve"> had not been looking in the direction of the sign at all, the court found a properly maintained warning sign would not have made any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the present case, the parties agree there was no sign warning of the potential slipping hazard with respect to the boardwalk ramp that would have been visible to someone entering from where the plaintiff did. The question, however, is whether a sign would have changed the plaintiff's behaviour, preventing her fall; namely whether, but for the absence of a sign, the Incident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accept the plaintiff's evidence that before proceeding on the ramp she had looked for such a sign and other indicators as to the safety of taking the ramp, including checking for whether it was wet. I find her evidence on this point to be credible and reliable. I accept that she was cautious and worried about falling. I accept that the presence of a sign indicating there was a risk of slipping would have dissuaded her from taking the ramp or prompted her to take additional precautions. The plaintiff was adamant in her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 submits this evidence is not credible or reliable. Its position is that, due to the fact the plaintiff's conclusion that the ramp was not wet, a sign would have had no impact. The defendant's argument appears to rely on the assumption that had there been a sign erected in the relevant area, it would have said something along the lines of "slippery when wet"; its position being that, since she did not believe the ramp was wet, there was no reason for her, even if there had been a sign, to act on it. With due respect, I do not accede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is no evidence before the court that a sign that says "slippery when wet" was erected in the area, nor was the plaintiff cross-examined on the wording of such a sign. There is no basis for this court to conclude this would have been the particular language of the sign had one existed. It is equally likely that the sign might have said "CAUTION. FLOAT &amp; RAMP DECK MAY BE SLIPPERY. USE AT OWN RISK" or ""CAUTION. BOARDWALK MAY BE SLIPPERY DUE TO VARIABLE WEATHER", as it did in other areas which had similar boardwalks, including a neighbouring boardwalk, for which Steveston Harbour Authority is the occupier. In any event, while there are many possibilities as to what a caution sign warning of slipperiness might have said, the plaintiff was not questioned on any of them and how, if at all, the particular wording might have changed her behaviour. Specifically, I have no basis to conclude that depending on the language of the particular sign before her, her response as to whether or not to take extra precaution in walking on the ramp or avoid the ramp would have differed.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plaintiff's evidence, I find, is not that she had seen a sign </w:t>
      </w:r>
      <w:r>
        <w:rPr>
          <w:rFonts w:ascii="arial" w:eastAsia="arial" w:hAnsi="arial" w:cs="arial"/>
          <w:i/>
          <w:color w:val="000000"/>
          <w:sz w:val="20"/>
          <w:lang w:val="en-US" w:eastAsia="en-US" w:bidi="ar-SA"/>
        </w:rPr>
        <w:t>and believed the boardwalk was wet</w:t>
      </w:r>
      <w:r>
        <w:rPr>
          <w:rFonts w:ascii="arial" w:eastAsia="arial" w:hAnsi="arial" w:cs="arial"/>
          <w:color w:val="000000"/>
          <w:sz w:val="20"/>
          <w:lang w:val="en-US" w:eastAsia="en-US" w:bidi="ar-SA"/>
        </w:rPr>
        <w:t xml:space="preserve">, she would have turned around. It is simply that had she seen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warning sign, she would have turned around. I find her evidence in this respect is credible and reliable, given that, even without any external indicators of risk, she had been cautious in going down the ramp and walking on the boardwalk. She had not even kept up with her husband and had lagged behind. This was because she had been taking care while going down the ramp, despite have no reason to believe there was any particular or identifiable risk. This, and her evidence as a whole, supports the conclusion that she was a generally cautious person and supports her evidence that a warning sign about the ramp would have changed her behaviour. She may have avoided the ramp and the boardwalk altogether, in which case I accept that the Incident would not have occurred. She testified that, alternatively, she may have held onto her husband's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breach of duty by the defendant, accordingly, is its failure to put up a caution sign. But for there being a sign visible to someone approaching the boardwalk, the Incident would not have occurred. Therefore, I find the plaintiff has established on a balance of probabilities that the defendant is liable for any damages flowing from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plaintiff claims non-pecuniary damages. In the case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set out a list of factors to be considered in respect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8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case at bar, plaintiff's counsel submits an appropriate range of non-pecuniary damages given the plaintiff's injuries is $80,000 to $120,000. The plaintiff relies on </w:t>
      </w:r>
      <w:r>
        <w:rPr>
          <w:rFonts w:ascii="arial" w:eastAsia="arial" w:hAnsi="arial" w:cs="arial"/>
          <w:i/>
          <w:color w:val="000000"/>
          <w:sz w:val="20"/>
          <w:lang w:val="en-US" w:eastAsia="en-US" w:bidi="ar-SA"/>
        </w:rPr>
        <w:t>French v. Fort St. John Curling Club</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2003 BCSC 932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Sohal v. Singh</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2017 BCSC 734</w:t>
        </w:r>
      </w:hyperlink>
      <w:r>
        <w:rPr>
          <w:rFonts w:ascii="arial" w:eastAsia="arial" w:hAnsi="arial" w:cs="arial"/>
          <w:color w:val="000000"/>
          <w:sz w:val="20"/>
          <w:lang w:val="en-US" w:eastAsia="en-US" w:bidi="ar-SA"/>
        </w:rPr>
        <w:t xml:space="preserve"> for this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defence submits an appropriate amount is $80,000, also citing </w:t>
      </w:r>
      <w:r>
        <w:rPr>
          <w:rFonts w:ascii="arial" w:eastAsia="arial" w:hAnsi="arial" w:cs="arial"/>
          <w:i/>
          <w:color w:val="000000"/>
          <w:sz w:val="20"/>
          <w:lang w:val="en-US" w:eastAsia="en-US" w:bidi="ar-SA"/>
        </w:rPr>
        <w:t>Sohal</w:t>
      </w:r>
      <w:r>
        <w:rPr>
          <w:rFonts w:ascii="arial" w:eastAsia="arial" w:hAnsi="arial" w:cs="arial"/>
          <w:color w:val="000000"/>
          <w:sz w:val="20"/>
          <w:lang w:val="en-US" w:eastAsia="en-US" w:bidi="ar-SA"/>
        </w:rPr>
        <w:t xml:space="preserve"> in support of its position. </w:t>
      </w:r>
      <w:r>
        <w:rPr>
          <w:rFonts w:ascii="arial" w:eastAsia="arial" w:hAnsi="arial" w:cs="arial"/>
          <w:i/>
          <w:color w:val="000000"/>
          <w:sz w:val="20"/>
          <w:lang w:val="en-US" w:eastAsia="en-US" w:bidi="ar-SA"/>
        </w:rPr>
        <w:t>Sohal</w:t>
      </w:r>
      <w:r>
        <w:rPr>
          <w:rFonts w:ascii="arial" w:eastAsia="arial" w:hAnsi="arial" w:cs="arial"/>
          <w:color w:val="000000"/>
          <w:sz w:val="20"/>
          <w:lang w:val="en-US" w:eastAsia="en-US" w:bidi="ar-SA"/>
        </w:rPr>
        <w:t xml:space="preserve"> concerns a plaintiff who was involved in a motor vehicle accident and fractured her patella. The plaintiff was 47 years of age at the time and had no pre-existing conditions. Much like the plaintiff in the case at bar, while the plaintiff's knee fracture healed within a few months, she continued to suffer pain and this was likely to continue. She was awarded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defence also cites </w:t>
      </w:r>
      <w:r>
        <w:rPr>
          <w:rFonts w:ascii="arial" w:eastAsia="arial" w:hAnsi="arial" w:cs="arial"/>
          <w:i/>
          <w:color w:val="000000"/>
          <w:sz w:val="20"/>
          <w:lang w:val="en-US" w:eastAsia="en-US" w:bidi="ar-SA"/>
        </w:rPr>
        <w:t>Tenhunen v. Tenhunen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2015 BCSC 26</w:t>
        </w:r>
      </w:hyperlink>
      <w:r>
        <w:rPr>
          <w:rFonts w:ascii="arial" w:eastAsia="arial" w:hAnsi="arial" w:cs="arial"/>
          <w:color w:val="000000"/>
          <w:sz w:val="20"/>
          <w:lang w:val="en-US" w:eastAsia="en-US" w:bidi="ar-SA"/>
        </w:rPr>
        <w:t xml:space="preserve">, which involved a plaintiff who slipped and fell coming down a painted wooden ramp, causing her to fracture her tibial plateau, injury and pain in her knee and hip, tendonitis in her hip, and sleep disturbance. She was 65 years of age at the time of trial. The court assess non-pecuniary damages at $80,000, before reducing the award due to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noted, I find that the plaintiff is a credible and reliable witness. I accept her evidence that the Incident has caused her ongoing pain and suffering. This is demonstrated in several ways--she is no longer able to enjoy intimacy with her husband in the way she did before the Incident; she cannot enjoy walking the greens on the golf course and must take a golf cart; in her retirement, she cannot take up new activities such as yoga because the injury disables her from assuming certain yoga positions; she is afraid to take baths because she cannot get into the right position to get out of the bathtub.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Of the cases cited by counsel, which also includes </w:t>
      </w:r>
      <w:r>
        <w:rPr>
          <w:rFonts w:ascii="arial" w:eastAsia="arial" w:hAnsi="arial" w:cs="arial"/>
          <w:i/>
          <w:color w:val="000000"/>
          <w:sz w:val="20"/>
          <w:lang w:val="en-US" w:eastAsia="en-US" w:bidi="ar-SA"/>
        </w:rPr>
        <w:t>Crudo v. Westfair Foods Ltd.</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2005 BCSC 320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Scarfe v. Fernco Developments Ltd.</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2015 BCSC 2310</w:t>
        </w:r>
      </w:hyperlink>
      <w:r>
        <w:rPr>
          <w:rFonts w:ascii="arial" w:eastAsia="arial" w:hAnsi="arial" w:cs="arial"/>
          <w:color w:val="000000"/>
          <w:sz w:val="20"/>
          <w:lang w:val="en-US" w:eastAsia="en-US" w:bidi="ar-SA"/>
        </w:rPr>
        <w:t xml:space="preserve">, I find that </w:t>
      </w:r>
      <w:r>
        <w:rPr>
          <w:rFonts w:ascii="arial" w:eastAsia="arial" w:hAnsi="arial" w:cs="arial"/>
          <w:i/>
          <w:color w:val="000000"/>
          <w:sz w:val="20"/>
          <w:lang w:val="en-US" w:eastAsia="en-US" w:bidi="ar-SA"/>
        </w:rPr>
        <w:t>Sohal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Tenhunen</w:t>
      </w:r>
      <w:r>
        <w:rPr>
          <w:rFonts w:ascii="arial" w:eastAsia="arial" w:hAnsi="arial" w:cs="arial"/>
          <w:color w:val="000000"/>
          <w:sz w:val="20"/>
          <w:lang w:val="en-US" w:eastAsia="en-US" w:bidi="ar-SA"/>
        </w:rPr>
        <w:t xml:space="preserve"> are the most similar to the case at bar and I award non-pecuniary damages to the plaintiff in the amount of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is agreed between the parties that past income loss and special damages for the costs of the plaintiff's health care services are to be in the amount of $10,450 and $1,101.32, respectively.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In-Trust Claim for Mr. Owens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advanced an in-trust claim of $5,000 for the labour and care her husband, Mr. Owens, provided to her and their household following the Incident. This consisted of personal care for Ms. Owens, which included assisting with her showering and toileting, and additional household chores, including cleaning and doing the dishes. During the approximately five-month period following the Incident until her return to work, the plaintiff submits that Mr. Owens's additional labour amounted to about 5 to 10 hours per week. During the period from her return to work until their move to Tsawwassen, she estimates his labour amounted to approximately 2 to 5 hours per week more than he would have done but for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Wright v. Mistry</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2017 BCSC 239</w:t>
        </w:r>
      </w:hyperlink>
      <w:r>
        <w:rPr>
          <w:rFonts w:ascii="arial" w:eastAsia="arial" w:hAnsi="arial" w:cs="arial"/>
          <w:color w:val="000000"/>
          <w:sz w:val="20"/>
          <w:lang w:val="en-US" w:eastAsia="en-US" w:bidi="ar-SA"/>
        </w:rPr>
        <w:t xml:space="preserve">. An in-trust award may be made to the plaintiff in trust for her husband as compensation for additional pre-trial work performed by him as a result of her impaired capacity to perform housekeeping chores or to care for herself: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at para. 89, citing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43. Mr. Owens can only recover for care or housekeeping services that went beyond what would normally be expected in a marital or familial relationship: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at para. 90. As stated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at para. 91, citing </w:t>
      </w:r>
      <w:r>
        <w:rPr>
          <w:rFonts w:ascii="arial" w:eastAsia="arial" w:hAnsi="arial" w:cs="arial"/>
          <w:i/>
          <w:color w:val="000000"/>
          <w:sz w:val="20"/>
          <w:lang w:val="en-US" w:eastAsia="en-US" w:bidi="ar-SA"/>
        </w:rPr>
        <w:t>Frankson v. Myre</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2008 BCSC 795</w:t>
        </w:r>
      </w:hyperlink>
      <w:r>
        <w:rPr>
          <w:rFonts w:ascii="arial" w:eastAsia="arial" w:hAnsi="arial" w:cs="arial"/>
          <w:color w:val="000000"/>
          <w:sz w:val="20"/>
          <w:lang w:val="en-US" w:eastAsia="en-US" w:bidi="ar-SA"/>
        </w:rPr>
        <w:t xml:space="preserve"> at para. 51, the court considers the following factors to assess an in-trust claim:</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accept the evidence from the plaintiff and Mr. Owens concerning the personal care and housekeeping services he performed following the Incident. Considering the level of care and assistance and additional work Mr. Owens has provided as a result of the Incident, I grant an in-trust award of $2,500 to Mr. Owens.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plaintiff sought $10,000 for the loss of housekeeping capacity to compensate the loss or impairment of her ability to perform domestic services, relying on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Shongu v. Jing</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2016 BCSC 901</w:t>
        </w:r>
      </w:hyperlink>
      <w:r>
        <w:rPr>
          <w:rFonts w:ascii="arial" w:eastAsia="arial" w:hAnsi="arial" w:cs="arial"/>
          <w:color w:val="000000"/>
          <w:sz w:val="20"/>
          <w:lang w:val="en-US" w:eastAsia="en-US" w:bidi="ar-SA"/>
        </w:rPr>
        <w:t>. A plaintiff whose ability to perform housekeeping services is diminished in part or in whole due to another's tortious conduct is entitled to be compensated for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Here there are tangible indications that the plaintiff had previously been performing services in the home that she no longer can. Following the Incident, some of these services were performed gratuitously by Mr. Owens, and more recently, the Owens have hired the service of cleaners to assist with household chores that, prior to the Incident, the plaintiff had performed. As a result of her injuries, she is no longer as able to perform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Tarazi confirms that she is able to do her regular weekly household cleaning, with pain and some modifications, including avoiding kneeling and squatting. He opines his support for her decision to hire the service of cleaners for dead cleaning and seasonal cleaning for the foreseeable future. He does leave open the possibility that she may require even further household help if she develops "severe enough oseteoarthritis" in the future, and suggests that osteoarthritis will likely develop and progress over the next ten to twelve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Considering the extent to which the plaintiff will likely continue to require help for certain household chores, the plaintiff's age, and the possibility and the extent to which her housekeeping capacity might have become impaired, even if the Incident had not occurred, I award the plaintiff $5,000 for the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claims $10,000 in damages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It is noted in Dr. Tarazi's report that the plaintiff is at increased risk of developing osteoarthritis of her right knee due to the Incident and will highly likely require a knee replacement surgery in the future as a result. I find, in accordance with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that there may be some medical justification for cost of future care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However, I find that the plaintiff has not specified or attempted to quantify the future care costs she anticipates. Accordingly, I have no basis to quantify her damages in this regard, therefore, I decline to make an award with respect to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summary, the plaintiff is awarded $99,051.32 with breakdown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$10,450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$1,101.32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In-trust Claim:</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$99,051.32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event that counsel are unable to reach an agreement respecting costs, they may, within 60 days of the release of this judgment, arrange to address costs by contacting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Royal Bank of Canada v. Richardson Appraisals Inc., [2003] B.C.J. No. 1080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S004020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1080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R.P.R. (4th) 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CarswellBC 1100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Richardson Appraisals Inc., John Green, Grant Coates and Ronald William Richardson,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_0"/>
      <w:bookmarkEnd w:id="50"/>
      <w:r>
        <w:rPr>
          <w:rFonts w:ascii="arial" w:eastAsia="arial" w:hAnsi="arial" w:cs="arial"/>
          <w:b/>
          <w:color w:val="000000"/>
          <w:sz w:val="20"/>
          <w:lang w:val="en-US" w:eastAsia="en-US" w:bidi="ar-SA"/>
        </w:rPr>
        <w:t xml:space="preserve">Professional occupations — Appraisers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inquiries — Causation — Defences,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Defences, fraud.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_0"/>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Royal Bank against Richardson Appraisals for damages. A purchaser, Buck, agreed to buy a property for $255,000. The Bank required an appraisal. The vendor showed Richardson the property to be appraised. There was a house on it under construction. Richardson made no other inquiries to verify that this was the correct property to be appraised. The vendor owned other lots in the area. Richardson appraised the land at $254,000. The Bank advanced a mortgage loan to Buck of $190,000 on the basis of the appraisal. Buck defaulted on the mortgage. When it commenced foreclosure proceedings, the Bank discovered that Richardson had appraised the wrong property. The correct property contained only a foundation, and was worth only $72,500. The Bank sold the land for $68,000. It claimed a shortfall of $140,000. Richardson argued that the Bank was contributorily negligent, in that it possessed a survey which would have identified the discrepancy when compared to Richardson's drawing of the property. It also argued that a fraud was perpetrated on the Bank and Richardson.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2" w:name="Holdings of Court_0"/>
            <w:bookmarkEnd w:id="5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Bank was awarded damages of $140,000. Richardson breached the required standard of care. It did not act reasonably and in accordance with the standards of the appraisal profession when it accepted the vendor's word as to the location of the property. An appraiser had to do an independent verification to ascertain the proper location of the property. The report had to indicate how the property was identified. There was no proof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Richardson's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enabled the fraud to occur.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Counsel_8"/>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L.C. Donaldson, for the plaintiff. M.L. Tweedy,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8"/>
      <w:bookmarkEnd w:id="54"/>
      <w:r>
        <w:pict>
          <v:line id="_x0000_s1066" style="position:absolute;z-index:2517698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MCEWAN J."/>
            <w:bookmarkEnd w:id="55"/>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Royal Bank of Canada, seeks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a firm of appraisers, and the three individual members of the firm who directly participated in the events giving rise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most part the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15, 1995 one Gordon Buck agreed to buy real property at 2788 St. Martin Way in Abbotsford. The legal address of the property was "Lot 27, Section 23, Township 15, New Westminster, Plan 10418, PID 018-247-997. The vendor was a British Columbia company, 483854 B.C. Ltd. The purchase price was $255,000.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Gary Vanderpol was a builder and a principal of 483854 B.C. Ltd. He met with the defendant, Mr. Coates, who was employed by Richardson Appraisals, at their office in June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Vanderpol requested an appraisal of the property, representing that the house on the property was nearly complete. It was understood that the appraisal was needed to "facilitate" the purchase of the property by Mr. Buck. Mr. Coates never met Mr. Buck.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Coates and Mr. Vanderpol met again on June 6, 1995. Mr. Coates had, at some point been given the legal description by Mr. Vanderpol, as well as a copy of the interim agreement with Mr. Buck. Mr. Coates was aware of the sale price before he completed his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Lot 27 was part of the "Glen Mountain Estates" subdivision which Mr. Coates estimated to be 40% complete when he did his appraisal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Vanderpol showed Mr. Coates a property with a house under construction. Mr. Coates prepared an appraisal of that property which is dated June 6, 1995. The property was assessed at $254,000 "subject to 100%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Coates had worked at Richardson Appraisals (and its predecessor) since 1990, as a staff appraiser. At the time he prepared the Buck appraisal he was not accredited, and was restricted to performing residential appraisals under the supervision of the defendant, Mr. Richardson. Mr. Coates and Mr. Richardson signed the report under the following printed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SUPERVISORY APPRAISER'S CERTIFICATION: If a supervisory appraiser signed the appraisal report, he or she certifies and agrees that direct supervision of the appraiser who prepared the appraisal report was performed and that the supervisor participated in the development of the estimate of market value in this appraisal report, reviewed the appraisal report, agree with the statements and conclusions of the appraiser, and take full responsibility for the appraisal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John Green, became involved when Mr. Vanderpol requested a further report on the state of completion of the dwelling, at a time when Mr. Coates was unavailable. On June 20, 1995 Mr. Green prepared an appraisal that estimated the dwelling on the property to be 98% complete. On June 22, 1995 he prepared a further report at the request of the plaintiff, in which he observed that the dwelling was "for all intents and purposes 100%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report reiterated the appraised value of $254,000.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Bank advanced a mortgage loan in the amount of $190,500 to Mr. Buck on the strength of those appraisals and updates.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fall of 1998, Mr. Buck defaulted on the mortgage and the Bank commenced foreclosure proceedings. It was then that the Bank discovered that there was no house on the property. There was just a foundation, some footings and drain tile. An appraisal of the property fixed the value of the actual Lot 27 at $72,500. It became apparent that the lot Mr. Coates had appraised was Lot 25. The Bank realized net sale proceeds in the foreclosure proceeding of $67,783.77 for a shortfall of $140,066.20, which it claims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Apart from relying on Mr. Vanderpol as to the particular property to be appraised, Mr. Coates took no other steps to verify that he was in fact appraising Lot 27. He said there were no house numbers on the property he visited. He could not remember whether there were vacant lots or houses adjacent to the house he appraised. He said that "not all the lots were marked" but it is clear that this was essentially an offhand observation, not something that emerged from any diligence. Mr. Coates simply relied on the word of the owner as to which was the lot to be appraised. The appraisal included a "location map addendum" showing the location of the property on a street map and a "site map addendum" showing, by means of an arrow, the location of Lot 27 within its subdivision. In light of the investigations carried out by Mr. Coates, this representation was informed by nothing more than where "27" was printed on the map: it constituted, in fact, no corroboration that "27" corresponded to the property Mr. Coates had appraised.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general test for negligent misstatement is found in Queen v. Cognos Inc., </w:t>
      </w:r>
      <w:hyperlink r:id="rId259"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 110, per Iacobucci,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required elements for a successful Hedley Byrne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specific duty of care of a real estate appraiser is found in Avco Finacial Services v. Holstein </w:t>
      </w:r>
      <w:hyperlink r:id="rId260" w:history="1">
        <w:r>
          <w:rPr>
            <w:rFonts w:ascii="arial" w:eastAsia="arial" w:hAnsi="arial" w:cs="arial"/>
            <w:i/>
            <w:color w:val="0077CC"/>
            <w:sz w:val="20"/>
            <w:u w:val="single"/>
            <w:shd w:val="clear" w:color="auto" w:fill="FFFFFF"/>
            <w:lang w:val="en-US" w:eastAsia="en-US" w:bidi="ar-SA"/>
          </w:rPr>
          <w:t>(1980), 109 D.L.R. (3d) 128</w:t>
        </w:r>
      </w:hyperlink>
      <w:r>
        <w:rPr>
          <w:rFonts w:ascii="arial" w:eastAsia="arial" w:hAnsi="arial" w:cs="arial"/>
          <w:color w:val="000000"/>
          <w:sz w:val="20"/>
          <w:lang w:val="en-US" w:eastAsia="en-US" w:bidi="ar-SA"/>
        </w:rPr>
        <w:t xml:space="preserve"> at 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owed by an appraiser to his client is identical in principle to the duty owed by all professional men to people who employ them. It is always implied that he will carry out the duty with a reasonable degree of care, knowledge and skill. An appraiser who fails to live up to that standard is negligent and is liable for his client's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Here, there is no dispute that the defendants owed a duty of care to the plaintiff. Although the appraisal was not originally commissioned by Mr. Buck there is no argument that the purposes for which residential real estate appraisals are requested typically include financing by lenders like the Royal Bank, and that such entities are, and would have been well within the contemplation of the defendants. There is, in any event, the June 22, 1995 inspection report prepared directly for the Bank, based on the original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real issue in this case is whether the defendants breached the standard of care applicable to real estate agents. There are a number of formulations of this standard, several of which were reviewed by Melnick, J. in VSH Management Inc. et al v. Neufeld et al, </w:t>
      </w:r>
      <w:hyperlink r:id="rId261" w:history="1">
        <w:r>
          <w:rPr>
            <w:rFonts w:ascii="arial" w:eastAsia="arial" w:hAnsi="arial" w:cs="arial"/>
            <w:i/>
            <w:color w:val="0077CC"/>
            <w:sz w:val="20"/>
            <w:u w:val="single"/>
            <w:shd w:val="clear" w:color="auto" w:fill="FFFFFF"/>
            <w:lang w:val="en-US" w:eastAsia="en-US" w:bidi="ar-SA"/>
          </w:rPr>
          <w:t>[2002] B.C.J. No. 1673</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2002 BCSC 755</w:t>
        </w:r>
      </w:hyperlink>
      <w:r>
        <w:rPr>
          <w:rFonts w:ascii="arial" w:eastAsia="arial" w:hAnsi="arial" w:cs="arial"/>
          <w:color w:val="000000"/>
          <w:sz w:val="20"/>
          <w:lang w:val="en-US" w:eastAsia="en-US" w:bidi="ar-SA"/>
        </w:rPr>
        <w:t>. These, predictably, tend to address the duty as it relates to valuation. For the purposes of this case, Melnick, J.'s brief encapsulation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summary, the determination of whether or not an appraiser was negligent will be based on whether or not the appraiser acted reasonably having regard to the standards prevailing in the profession and the imprecision inherent in the methods by which the value of the property is determined. This is the minimum standard that an appraiser must meet in order to not be found negligent.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all comes down to whether the defendants acted reasonably and in accordance with the standards of the profession in accepting the word of the owner, Vanderpol, as to the legal description of the particular property to be appraised.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parties have tendered opinion evidence from two acknowledged experts. The plaintiff led evidence from a Mr. R.A. Malcolm, AACI, P.App. RI(BC). He was asked what the prevailing practice of professional real estate appraisers was in 1995 with respect to determining that the property viewed bore the legal and/or civic address of the property described in the written appraisal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Malcolm's answer was that the prevailing practice was to follow the guidelines of the Uniform Standards of Professional Appraisal Practice (USPAP), inclusive of the Canadian Supplement to USPAP. Those he considered pertinent to his opinion are marked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Malcolm's opinion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property inspection phase of the appraisal process, the most obvious method of legal description verification with the actual physical property, is to locate survey stakes/markers that clearly indicate the parcel number. Lacking a civic (numeric) street address for preliminary property identification, an appraiser would typically attempt to locate any defining survey stakes/markers to verify that the correct property was being inspected. In the context of a developing subdivision with extensive ongoing construction, survey information is occasionally not evident due to excavated material covering the markers, or the survey markers being dislodged/removed by construction equipment. If no survey markers are evident, then verification of the site placement and apparent configuration, from Land Title Office plans or Municipal cadastral mapping would be the next possibility. This could include examining adjacent and opposite properties for relative placement/alignment, finding a relevant landmark (i.e. intersection/corner, intervening pathway, obvious bisecting right-of-way, known address/legal description) and measuring/pacing distance to the expected placement of the subject property, or counting intervening parcels. If none of these property identification options are available, an appraiser should indicate this within the appraisal. Additionally, the report should include appropriate references to the limited reliance that should be placed on the appraisal, the need for BCLS verification of the legal description with the physical property, as well as scope and limitation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tendered a report from a Mr. Larry Dybvig, A.A.C.I., P.App., MAI. His opinion includes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appraisal literature, the term "identify" means the location, kind and nature of the property, not simply its specific location. Advisory Opinion A)-2 of USP AP6 points out that an appraiser is required to "adequately identify the real estate." Further, "the extent and depth of the inspection process varies with the type of property and the conditions of the appraisal." Again, this section deals with how much information one must gain about a property's characteristics. It does not provide any guidance on the minimum level of investigation to ensure no one is deceiving the appraiser.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Appraisers know that clients and others occasionally try to deceive them. It is the discretion and judgment of the appraiser that determines, how much verification they seek on information provided to them, the extent to which they seek independent verification of information, and what disclosures they make about the information provided to them.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appraiser will consider the source of their identification information and decide if it is reliable on its face. If a house number exists, the appraiser would take at face value that it is reliable, unless it was inconsistent with other readily available information. Similarly, an appraiser would normally accept at face value a municipal map or client-supplied directions, unless something obvious suggested the location was wrong.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Appraisers are not surveyors. They do not confirm from primary sources the location of a property. It is routine to obtain help in locating a property form a host of third party sources. Neighbours, postal employee, contractors, couriers and others I a neighbourhood, and people form the municipal hall are all sources that help an appraiser identify a property.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instance, the appraiser met the owner of the property at the site. A property owner is a reasonable and frequent source of information on basic property facts. Appraisers commonly rely without verification on owner-supplied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appraisal reports rely without verification on a wide variety of things, such as the reliability of municipal maps on lot size, that a property is legally connected to utility services, that title encumbrances or other claims do not affect the utility or value of the property, and that no encroachments or violations of zoning building standards exist. Because of this, appraisers put standard assumptions and limiting conditions into their report, such as those in the Richardson Appraisals Inc.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Dybvig's sources included an informal poll of 165 appraisers at a series of conferences. It was his view that the defendant's conduct "followed the standard for the appraisal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Dybvig's report alludes to the "standard assumptions and limiting conditions" in the defendant's appraisal. These include:</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estimates, and opinions that have been expressed in the appraisal report are obtained from sources considered to be reliable and they are believed to be true and correct. No responsibility is assumed for the accuracy of such items that were furnished by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addition, the Appraiser's Certification includes the following provision:</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Appraisal has been performed in conformity with the Standards of the Appraisal Institute of Canada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the defendants clearly had an address and a legal description, and had obtained information respecting the tax assessment pertinent to that location and legal description. These are asserted without qualification. The problem was that his only source identifying the location on the ground was the owner, who was also the owner of other lots in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I have noted earlier, Mr. Coates took the further step of appending to the appraisal a copy of a subdivision map to which he affixed an arrow pointing to Lot 27. The appraiser's certification included the straightforward assertion that "the interior and exterior of the subject property were personally inspected on the date shown . . .". I think it inescapable that this is an assertion that the place Mr. Coates actually went was the place located on the map.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appraiser's certificate also stated flatly that the appraisal conformed to the standards of the Appraisal Institute. These include, as shown on Appendix "A", USPAP SR2-2(b)(vii), and Advisory Opinion AO-2: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SR 2-2(b_(vii) - "The Summary Appraisal Report must state all assumptions and limiting conditions that affect the analyses, opinions, and conclusions". Acknowledging this requirement, if an appraiser cannot confirm the legal description of a property with the actual physical site, an assumption should be included, indicating that the appraised property is assumed to be the legally described parcel, although no verification was possible. The assumptions should further indicate that if it cannot be verified that the subject property is, in fact, the legally described parcel, the appraisal report is not valid, and should not be relied upon, to accurately represent the legally described subject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Advisory Opinion A_-2 - Inspection of Subject Property Real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lengthy advisory opinion (extract attached) includes the underlying message that "It is the appraiser's responsibility to determine if adequate information is available about the subject real estate to develop a real property appraisal that conforms with USPAP". In other words, an appraisal, including the inspection process, must allow the reader to rely on the information and analysis, or advise the reader that the appraisal should not be relied upon for a specific reason (i.e. - no on-site verification of actual legal description; - BCLS should verify the legal description with the specific property appraised).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Coates did nothing to verify the representations he said were made by Mr. Vanderpol. His recollection of whether there were readily available markers, stakes or other means of ascertaining where Lot 27 was, were vague, which is understandable, in that it is evident that he really was not looking. The evidence falls far short of establishing that verification was complicated or impossible. The map shows roads and pathways and lot dimensions that on the face of it should have made verification a fairly simple matter. I accept that if that were not the case, a warning should have issued as outlined in the USPAP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submit that Mr. Malcolm's report is "largely a recitation of various professional standards", which, they submit, is "akin to citing sections of the Lawyer's Professional Conduct Handbook when assessing whether a securities lawyer met the standard of care in a commercial transaction". I am not sure I find that particularly alarming, inasmuch as such guidelines amount, in almost every profession, to a kind of collective wisdom. However that may be, these submissions overlook the significant fact that the appraisal certification incorporates those standards into the appraisal by asserting they have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think that that submission also fails to recognize that there may be a difference between what is "reasonable" and what is "common". It may well be, as Mr. Dybvig suggests, that it is common practice for appraisers to content themselves with the word of the owner or of someone they deem to be reliable as to the legal description. But in making the positive assertion that, in effect, "this is the place I appraised" without the sort of qualifying language recommended in the USPAP guidelines, they must assume the risk if such a shortcut proves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raise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cite as authority Avco Fincial Services Canada Ltd. v. Jakubeic </w:t>
      </w:r>
      <w:hyperlink r:id="rId262" w:history="1">
        <w:r>
          <w:rPr>
            <w:rFonts w:ascii="arial" w:eastAsia="arial" w:hAnsi="arial" w:cs="arial"/>
            <w:i/>
            <w:color w:val="0077CC"/>
            <w:sz w:val="20"/>
            <w:u w:val="single"/>
            <w:shd w:val="clear" w:color="auto" w:fill="FFFFFF"/>
            <w:lang w:val="en-US" w:eastAsia="en-US" w:bidi="ar-SA"/>
          </w:rPr>
          <w:t>(1981), 22 R.P.R. 219</w:t>
        </w:r>
      </w:hyperlink>
      <w:r>
        <w:rPr>
          <w:rFonts w:ascii="arial" w:eastAsia="arial" w:hAnsi="arial" w:cs="arial"/>
          <w:color w:val="000000"/>
          <w:sz w:val="20"/>
          <w:lang w:val="en-US" w:eastAsia="en-US" w:bidi="ar-SA"/>
        </w:rPr>
        <w:t xml:space="preserve"> (Alta. Q.B.). There, an appraiser was found to have been negligent in overvaluing a certain property. The court found that there was other evidence which should have put the lender on notice that it ought to enquire, particularly since the loan was for 85% of the apparent equity in the property. The court apportioned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equally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Here the defendants submit that the bank was in possession of a survey, which, if compared with the sketch plan drawn by Mr. Coates, would have immediately revealed a discrepancy. This, they further say, should have put the bank on notice of the problem of which they now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no evidence before the court as to the specific purpose of a survey in a residential conveyancing transaction. I may be stretching the concept of judicial notice slightly in accepting the plaintiff's submission that "[the] Bank relied on the appraisal report as an opinion of the value of the lot and improvements thereon; it relies on surveys to see if there are any non-conforming structures, encroachments, easements or the like". However, this distinction is well understood to anyone familiar with residential conveyancing. I would have to be satisfied on convincing positive evidence that, in fact, the practice of lenders is to use surveys as cross references as to the accuracy of assertions made in appraisal reports before I could accept that proposition. Having none, I do not, on that basis, find the plaintiff to have contributed to its own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Lastly, the defendants submit that what has really occurred in this case is that a fraud has been perpetrated on both the defendants and the plaintiffs. While the evidence does not go so far as to conclusively establish fraud, it is a distinct possibility. If that is, in fact, what occurred, and Mr. Vanderpol and Mr. Buck were somehow collaborating to finance the project by raising money against a vacant lot as if it were improved, the weakness they needed to exploit was the failure of the appraiser to verify the legal description. Seen in that light,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enabled the fraud, if that is what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summary, my view is that if it has become common practice in the appraisal business to take the word of an interested party as to whether or not a property corresponds to the legal description by which purchasers, borrowers, and lenders, will necessarily be governed, that standard is unacceptably low, and does not accord with what a "reasonable" standard ought to be. I find that Mr. Malcolm's evidence, and the standards set forth in the USPAP guidelines more closely approximate what is reasonable, and that the defendants, having failed to meet that standard, are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damages consequent upon its foreseeable reliance on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has submitted that its damages are $140,066 plus court order interest. If the parties are unable to agree that that is the amount, or if there are issues respecting the proper calculation, the parties shall be at liberty to make further submission upon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Court order interest will be applied at Registrar's rates from April 13,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is entitled to costs unless counsel have reason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USPAP (see attachments for extracts from 1988 Edition of USPAP):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SR1-1(a) - "In developing a real property appraisal, an appraiser must be aware of, understand, and correctly employ those recognized methods and techniques that are necessary to produce a credible appraisal". This rule acknowledges and emphasizes, that a credible appraisal must be developed. Clearly, the appraiser must apply methods and techniques necessary to produce a credible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SR 1-1(b) - "In developing a real property appraisal, an appraiser must not commit a substantial error of omission of commission that significantly affects an appraisal". This rule acknowledges that sufficient care must be implemented in developing an appraisal. This is necessary to allow the user to rely on the appraisal as reasonably and accurately representing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SR 1-1(c) - "In developing a real property appraisal, an appraiser must not render appraisal services in a careless or negligent manner, such as a series of errors that, considered individually, may not significantly affect the results of an appraisal, but which, when considered in the aggregate, would be misleading". This rule acknowledges that in developing an appraisal, due diligence and due care are required. The implied intention is to allow the user to rely on the appraisal and to be assured that the appraisal services have not been rendered in a careless or negligent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SR 2-2(b)(vi) - "The Summary Appraisal Report must summarize the extent of the process of collecting, confirming, and reporting date". This rule is intended to require an appraiser to inform the client and intended users whose expected reliance on an appraisal report may be affected by the scope/extent of the appraiser's investigation. Accordingly, if an appraiser cannot confirm the legal description of a property with the physical site, the intended user/reader should be warned that no confirmation of the legal description, with the actual subject site was possible/attempted/completed. If no legal/physical confirmation is possible, the appraisal should be contingent on a British Columbia Land Surveyor confirming the legal description and on-site property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SR 2-2(b_(vii) - "The Summary Appraisal Report must state all assumptions and limiting conditions that affect the analyses, opinions, and conclusions". Acknowledging this requirement, if an appraiser cannot confirm the legal description of a property with the actual physical site, an assumption should be included, indicating that the appraised property is assumed to be the legally described parcel, although no verification was possible. The assumptions should further indicate that if it cannot be verified that the subject property is, in fact, the legally described parcel, the appraisal report is not valid, and should not be relied upon, to accurately represent the legally described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Advisory Opinion A_-2 - Inspection of Subject Property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lengthy advisory opinion (extract attached) includes the underlying message that "It is the appraiser's responsibility to determine if adequate information is available about the subject real estate to develop a real property appraisal that conforms with USPAP". In other words, an appraisal, including the inspection process, must allow the reader to rely on the information and analysis, or advise the reader that the appraisal should not be relied upon for a specific reason (i.e. - no on-site verification of actual legal description; - BCLS should verify the legal description with the specific property appraised).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Scheelar v. Kibblewhite, 2006 CHFL para. 15,434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McEwan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May 18, 2005.</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S035409</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2005</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2006 CHFL para. 15,434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2006 BCSC 797</w:t>
        </w:r>
      </w:hyperlink>
    </w:p>
    <w:p>
      <w:pPr>
        <w:spacing w:before="120" w:line="260" w:lineRule="atLeast"/>
        <w:rPr>
          <w:lang w:val="en-US" w:eastAsia="en-US" w:bidi="ar-SA"/>
        </w:rPr>
      </w:pPr>
      <w:r>
        <w:rPr>
          <w:rFonts w:ascii="arial" w:eastAsia="arial" w:hAnsi="arial" w:cs="arial"/>
          <w:color w:val="000000"/>
          <w:sz w:val="20"/>
          <w:lang w:val="en-US" w:eastAsia="en-US" w:bidi="ar-SA"/>
        </w:rPr>
        <w:t>Scheelar v. Kibblewhite</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8" style="position:absolute;z-index:2516684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6" w:name="Keywords_1"/>
      <w:bookmarkEnd w:id="56"/>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Informed consent — Action for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against surgeon who repaired perforation in plaintiff's nose — Surgery successfully repaired perforation in plaintiff's nose but altered plaintiff's nose profile — Action dismissed — Change in appearance of plaintiff's nose not result of surgeon's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Surgeon performed surgery in accordance with duty and did not contractually undertake to do more.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7" w:name="Case Summary_1"/>
            <w:bookmarkEnd w:id="57"/>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the defendant, Dr. Kibblewhite, a plastic surgeon. Dr. Kibblewhite repaired a perforation in the cartilage of the plaintiff's nose. The plaintiff was an actor and stuntman, and he feared that the perforation would be visible in some lighting conditions and would have a negative effect on his employability. The surgery successfully repaired the perforation in the plaintiff's nose, but altered the plaintiff's nose profile. This change was very distressing to the plaintiff. The plaintiff subsequently had two surgeries to restore the appearance of his nose. The plaintiff contended that he asked Dr. Kibblewhite if the procedure would change the appearance of his nose in any way, and was assured that what was to be done was all internal and would have no external effect. He maintained that he would not have gone through with the operation if he had been told of such a risk. Dr. Kibblewhite maintained that the main risk was that the perforation would not fully close, and that he placed the chance at 25% in the plaintiff's case. According to Dr. Kibblewhite, this had been discussed with the plaintiff. Dr. Kibblewhite did not recall discussing any risk that the plaintiff's appearance would change. He conceded that he might have told the plaintiff that such an outcome was unlikely, but that any assurance he would have given would not have been anything in the nature of a guarantee. He maintained that he did not expect there to be any change to the appearance of the nose as a result of the procedure. </w:t>
            </w:r>
            <w:r>
              <w:rPr>
                <w:lang w:val="en-US" w:eastAsia="en-US" w:bidi="ar-SA"/>
              </w:rPr>
              <w:cr/>
            </w:r>
          </w:p>
          <w:p>
            <w:pPr>
              <w:spacing w:before="120" w:line="260" w:lineRule="atLeast"/>
              <w:ind w:left="240"/>
              <w:jc w:val="both"/>
              <w:rPr>
                <w:lang w:val="en-US" w:eastAsia="en-US" w:bidi="ar-SA"/>
              </w:rPr>
            </w:pPr>
            <w:bookmarkStart w:id="58" w:name="Holdings of Court_1"/>
            <w:bookmarkEnd w:id="58"/>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There was no lack of informed consent. The Court was satisfied that the plaintiff asked Dr. Kibblewhite whether his appearance would change. The Court was also satisfied that Dr. Kibblewhite reassured the plaintiff that such an outcome was unlikely. Moreover, the Court was satisfied that whatever Dr. Kibblewhite said did not amount to a flat guarantee. Given that the risk of a change in the external appearance of the plaintiff's nose was highly remote, it was not likely that the plaintiff would have declined the operation. A reasonable person in the plaintiff's circumstances, even having been told that there was a remote risk that his appearance might change, would have consented to the operation. Dr. Kibblewhite acted in accordance with the standard expected of a reasonably competent plastic surgeon in the performance of the surgery conducted on the plaintiff. The operation was performed in accordance with an appropriate standard and a good result was obtained. It had not been established on a balance of probabilities that the change in the external appearance of the plaintiff's nose was the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Kibblewhite. Dr. Kibblewhite performed the surgery in accordance with his duty. He did not contractually undertake to do more.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19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Scott v. Brown, [2013] B.C.J. No. 1013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11347, 11348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2013 BCSC 860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Scott, Plaintiff, and John Lewis Brown, Defendant, and Valerie Scott, Third Party And between Raylee Armstrong, Plaintiff, and John Lewis Brown, Defendant, and Yvonne Schoff,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jc w:val="both"/>
        <w:rPr>
          <w:rFonts w:ascii="arial" w:eastAsia="arial" w:hAnsi="arial" w:cs="arial"/>
          <w:sz w:val="20"/>
          <w:lang w:val="en-US" w:eastAsia="en-US" w:bidi="ar-SA"/>
        </w:rPr>
      </w:pPr>
      <w:bookmarkStart w:id="59" w:name="Counsel_9"/>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Jennifer Scott: Kevin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John Lewis Brown: John Marquardt.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Valerie Scott: Richard Spilker.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Raylee Armstrong and Yvonne Schoff: Joseph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9"/>
      <w:bookmarkEnd w:id="60"/>
      <w:r>
        <w:pict>
          <v:line id="_x0000_s1071" style="position:absolute;z-index:251720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M.A. HUMPHRIES J."/>
            <w:bookmarkEnd w:id="61"/>
            <w:r>
              <w:rPr>
                <w:rFonts w:ascii="arial" w:eastAsia="arial" w:hAnsi="arial" w:cs="arial"/>
                <w:b/>
                <w:color w:val="000000"/>
                <w:sz w:val="30"/>
                <w:lang w:val="en-US" w:eastAsia="en-US" w:bidi="ar-SA"/>
              </w:rPr>
              <w:t>M.A. 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actions, ordered to be tried together, concern liability for damages arising out of the collision in 2003 between a sled, ridden by two young girls, and a pick-up truck driven by the defendant. The defendant, who was 69 years old at the time of the accident and whose health was not good, was deposed in 2005 prior to the trial and is now deceased. The girls were nine and ten years old at the time of the accident and suffered various injuries. Both testified at trial. The girls' mothers were joined as third parties but the action was discontinued against them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contend that the collision was entirely the defendant's fault. The defendant takes the position that the plaintiffs have failed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causation. In the alternative, if the defendant's actions contributed to the accident, the plaintiffs are substantially more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took place in Nakusp, British Columbia, on November 25, 2003, at about 5:00 p.m. It was snowing heavily. The two girls, half-sisters, were returning home from sledding at a nearby hill after school, accompanied by Ms. Scott's large black dog, Rocco. They walked a friend home and then started down the hill on 4th Street to their respective homes. They had borrowed a GT racer from a friend. It had a seat to sit on and wide runners to stand on, with a front ski and steering wheel. Ms. Armstrong was seated on it and Ms. Scott was standing behind her. The hill westward down 4th Street is gradual, about a five degree slope. 2nd Avenue meets 4th Street at the bottom of the hill at a T-intersection, but except as a point of reference, the cross street is not of significance in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paragraphs are from an agreed statement of facts entered as an exhibit. References to photographs and diagrams have been omitted:</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on 4th Street, near the intersection with 2nd Avenue. 4th Street runs east-west and forms a T-intersection where 2nd Avenue intersects from the south (the "Intersection").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Defendant owned and was driving a 1995 Toyota pick-up truck (the "Truck") eastbound on 4th Street.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afternoon of November 25, 2003, Jennifer, Raylee and a third friend had been tobogganing at a hill in Nakusp. After finishing that, Jennifer and Raylee accompanied the third girl to her home and were then proceeding westbound on 4th Street on their way to their homes.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4th Street east of 2nd Avenue slopes down towards the Intersection and Jennifer and Raylee were riding a snow sled (the "Sled") westbound down 4th Street. Raylee was sitting at the front of the Sled and Jennifer was standing behind her with her hands on Raylee's shoulders and with her feet on the Sled runners. It was snowing heavily and visibility was very limited.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front of the Truck struck the Sled and both Plaintiffs.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 was piled up on both sides of 4th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streetlight near the northwest corner of the Intersection which was lit at the time of the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Traffic traveling north on 2nd Avenue faces a stop sign at 4th Street. There is no stop sign at 2nd Avenue for traffic travelling along 4th Street.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4th Street nor 2nd Avenue has sidewalks.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said he was driving 47 km/h in the moments before the Collision. The speed limit along 4th Avenue near the Intersection is 50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Collision, the Truck stopped east of the Intersection. Raylee was underneath the Truck in or near the front driver's side wheel-well. Rocco was underneath the Truck near the rear axle. Jennifer was on the road behind the Truck in the northwest corner of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lived in the Nakusp region for most of his life and in Nakusp since 1988 or 1989. At the time of the Collision, the Defendant had lived on 1st Avenue, near Fourth Street, or roughly 1-2 blocks from the Intersection, for approximately 5 years. He was very familiar with the Intersection, and would have driven along this section of 4th Street hundreds of times prior to the Collision.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it was snowing heavily and the road was covered with snow.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Jennifer was born in Nakusp and lived at 312 Second Avenue, three houses south of the Intersection.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Jennifer suffered a variety of injuries in the Collision including:</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Fractures to her face, including her nasal, erthmoid (bone at the roof of the nose) and left zygoma (cheek) bone;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to the left elbow;</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 comminuted fracture of the distal femur;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Fractures of the lateral knee cap, tibial plateau and proximal tibial shaft.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Raylee was born in Alberta and moved to Nakusp approximately two years prior to the Accident. She lived at 311 Fourth Avenue, just over two blocks from the Intersection.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Raylee suffered a variety of injuries in the Collision including:</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to her left cheek;</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to the right wrist;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and ligamentous injuries to her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Throughout the oral evidence given at trial, despite the use of "sled" in the Agreed Statement of Facts, "toboggan" was used as a general term to cover sleds, sleighs, and toboggans.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Jennifer Scott, now 20 years old, testified that she remembered very little of the accident and could not distinguish between what was a memory and what she had been told. She said she had been taught to stop, look and listen at cross walks, to pay attention, and if a vehicle was coming, to move way over. She knew she should walk on the left facing traffic. She was allowed to play road hockey and roller blade on the road. Although the usual hill to use for tobogganing was one called "Stevie's Hill", she was never taught not to toboggan on 4th Street. She said it was common for kids to toboggan anywhere. She agreed that her mother did not know she had tobogganed on the 4th Street hill. She acknowledged that she had done an earlier run down the hill that evening and had been on the left-hand side of the road. There were no further details of that event offered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Scott acknowledged that she knew better than to go down a hill if she saw lights coming, and that she ought to have been able to see headlights all the way down to 6th Avenue - that is four blocks beyond the accident scene to the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Valerie Scott, Jennifer Scott's mother, testified that her daughter lived in Nakusp her whole life. The town is small, about 1,500 people, and children play in the streets. She learned of the accident when the defendant, John Brown, came to her door and said he had hit some girls. She ran to the scene. She said her daughter was 25 to 30 feet behind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had taught her daughter to watch for cars, get off the road, walk facing traffic, stop at stop signs and look before crossing. She had allowed Jennifer to do one or two runs on the 4th Street hill when she was five or six when she was there herself. She agreed with her discovery evidence that she had told Jennifer not to sleigh on public streets, although she had not told her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Raylee Armstrong, born in 1993, recalls nothing of the accident. She testified she did not recall learning the rules of the road, but is sure she heard "stop, look and listen". She was aware that it would be dangerous to toboggan down a street with cars coming and that she should check for cars before going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Yvonne Schoff, Raylee Armstrong's mother, testified that Ms. Armstrong has always lived in small towns or in the country. She did not teach her a lot about road safety as they were mainly out of town on a farm. She taught her to stay to the side of the road or on the sidewalk when in town. She did not teach her not to play on the road, as all the kids played on the road. She said if Raylee had asked her about tobogganing on a street she would not have accepted it but they did not discuss it. She learned of the accident when a friend called her and she ran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their mothers, Ms. Scott had on blue clothing; Ms. Armstrong was wearing a blue jacket and pink snow 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testified that he was returning from a trip to Vernon, and turned onto the residential street about six blocks from the collision site, travelling east. It was quiet, with no traffic. He said he checked his speedometer and noted he was going about 27 miles per hour, which he thought was approximately 47 kph. The road was covered in snow and was slippery. The snow was falling heavily in big wet flakes, making it difficult to see. The conditions were some of the worst he had seen. Visibility was about 100 - 200 feet. His tires had good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Brown had his lights on dim, as headlights on high beam reflected even more brightly off the snow. He said the light from his headlights projected 100 - 200 feet. He could see the streetlights four blocks away but could not see anything in between the lights as he drove toward them. As he went under the streetlights, the downward cast light made it even more difficult to see. He slowed down a bit and considered lowering his speed, given the weather conditions. He said he wasn't flying up the street, but he was going at "a good clip", given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he went through the intersection at 2nd Ave, about halfway through the street light, a black object came "flying out of the darkness" going "at a good clip" towards him. He testified that there was a split second between seeing the object and the impact. He had no time to do anything but slam on his brakes. He testified that he knew as soon as he hit them that it was kids sleigh riding - "it had to be",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Brown testified that after he slammed on his brakes, he slid 15 - 20 feet before the impact, and came to a stop with the rear end of his truck about 10 feet from the east side of the intersection. He said the truck ended up about where the object was when he first saw it. Ms. Armstrong was pushed forward by the front left wheel. Ms. Scott was across the intersection behind the truck, toward the left side of the road, maybe six to ten feet behind, although he was uncertain of her exact location. He never did see Rocco, the dog, who was under the truck and unfortunately had to be put down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Bruneau, a resident of Nakusp for 25 years, came by after the accident, travelling down the hill in the same direction as the sled. He said it was snowing and the road conditions were slippery. Visibility was "not the greatest" but he could see the aftermath of the accident when he was halfway down the hill. He could not confidently give any estimates of positions, but said Ms. Scott was 20 to 40 feet behind the truck. He said he drove that street regularly and did not recall ever seeing children sledding or tobogganing on that hill, although he acknowledged it is common in Nakusp to see people walking on the roads, riding bikes, and playing ball hockey, day or night, winter or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measurements or photographs were taken the night of the accident, but the attending officer did a not-to-scale diagram showing the approximate location of the truck, and the plaintiffs when he arrived. The officer was not called as a witness but his diagram was admitted by agreement. The rough diagram shows Ms. Scott's position at about one truck length behind the truck. According to the plaintiff's expert, the truck is five meters in length. None of the pictures or diagrams show other street lights to the east of the intersection, that is, on the block up the hill where the girls began their descent.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brake pedals on the sled were bent; the skis were gouged and broken, and the frame and bench were twisted. One of the lights beside the left headlight of the truck was cracked, and the left corner of the plastic front bumper was broken. Both right and left corners of the plastic molding under the truck were damaged. It is not clear from the evidence what, if any, of this damage occurred in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retained an accident reconstructionist, as did the defendant. The two experts had only the defendant's evidence and the rough diagram to go by. Each was somewhat selective in the evidence they used to offer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expert, Mr. Rempel, assumed Mr. Brown was travelling at 47 kph, and that the truck came to rest beyond the intersection so that the front end was at most 15 meters east of the east edge of 2nd Avenue. He assumed that when Mr. Brown initially saw the plaintiffs they were beyond the east side of the intersection, and impact occurred at or near the east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Taking the reaction time from perceived hazard (average response time is 1.5 seconds) and the average emergency stopping distance required when travelling at a speed of 47 kph on a snow covered road, a vehicle would travel 48.5 meters or 159 feet before stopping. Thus, the speed that would allow the driver to stop within limits of visibility of 100 feet would be 26 kph. Mr. Rempel suggested that 2.5 seconds as a reaction time would be more appropriate in order to assure a good margin of safety. However, using an emergency reaction time of 1.8 seconds, a driver could stop within visibility distances of 60, 80 and 100 feet at 20, 25, and 29 kph respectively. For Mr. Brown to have stopped where he did, travelling at a speed of 47 kph, he had to have seen the sled 45 meters west of the rest position. All of Mr. Rempel's calculations for reaction time were based on the other object being stationary.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considered an alternative scenario of reduced speed for the truck and movement of the sled across the intersection, and was of the opinion that a collision would only have occurred if the sled had gone straight across the intersection instead of veering to the north, and thus the slower the truck was going, the more time the plaintiffs would have had to move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he acknowledged that he did not work with visibility distances beyond 100 feet, and he did not consider the other object to be in motion. He also acknowledged that there was no scenario in which Mr. Brown could have been going as fast as 47 kph, first saw the object where he said he did (as he passed under the streetlight), and have stopped at the rest location Mr. Rempel had been asked to use for his calculations. If Mr. Brown's evidence of "first sight" and final rest locations were accepted, Mr. Brown would have been going less than 30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Rempel acknowledged that the sled had to come into Mr. Brown's field of vision before he could do anything, and that was not necessarily related to the light cast out by his headlights. It is more likely the sled would become visible as a matter of decreased density of the snow between the sled and the truck as the sled came closer.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Rempel acknowledged that it is technically conceivable that the sled could have been going between 10 and 15 kph. At 10 kph, the sled would be moving 2.8 m/sec. At 15 kph, the sled would be moving 4.2 m/sec.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Rempel agreed that if Mr. Brown were going 47 kph when he first saw the sled and slowed to 32 kph by the point of impact in 2.75 seconds, and then took a further 3.2 seconds to come to rest, Mr. Brown's evidence that he came to rest where he first saw the sled would make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expert, Mr. McInnis, stated that the usual factors required to give an opinion (visibility, coefficient of friction, perception/reaction time, speed of truck, speed of sled, and whether the sled was being braked or steered) were not available. They depended on witness statements and findings by the court. Assuming the point of impact as described by Mr. Brown, the resting positions of Ms. Scott and the pickup truck from the not-to-scale diagram, the resting position of Ms. Armstrong in front of the wheel, he concluded that the pickup truck was likely going 18 to 24 kph and the sleigh was likely going 20 to 30 kph when they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His estimate of the speed of the sled was based on the slope and an estimated coefficient of friction, as well as an informal study done by a student in Maryland which Mr. McInnis used to understand the speeds at which children enjoy sledding. He considered that the truck may have been stopped at the point of impact because Ms. Armstrong was up against the tire and he would have expected more injuries if she had been pushed ahead of the wheel. He acknowledged Mr. Brown's evidence about his rate of travel, but said 47 kph was simply not consistent with seeing the girls in the intersection and stopping where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McInnes' opinion was that the headlights of the truck should have been visible to the girls. Mr. Brown would have had light reflected back at him from his headlights on the snow; the girls would not have had to cope with reflected light and should have been able to see the approaching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say the law is clear: a driver must drive at a speed consistent with maintaining control of his vehicle within the limits of visibility (</w:t>
      </w:r>
      <w:r>
        <w:rPr>
          <w:rFonts w:ascii="arial" w:eastAsia="arial" w:hAnsi="arial" w:cs="arial"/>
          <w:i/>
          <w:color w:val="000000"/>
          <w:sz w:val="20"/>
          <w:lang w:val="en-US" w:eastAsia="en-US" w:bidi="ar-SA"/>
        </w:rPr>
        <w:t>McDermid v. Bowen,</w:t>
      </w:r>
      <w:r>
        <w:rPr>
          <w:rFonts w:ascii="arial" w:eastAsia="arial" w:hAnsi="arial" w:cs="arial"/>
          <w:color w:val="000000"/>
          <w:sz w:val="20"/>
          <w:lang w:val="en-US" w:eastAsia="en-US" w:bidi="ar-SA"/>
        </w:rPr>
        <w:t xml:space="preserve"> (No. 3), </w:t>
      </w:r>
      <w:hyperlink r:id="rId279" w:history="1">
        <w:r>
          <w:rPr>
            <w:rFonts w:ascii="arial" w:eastAsia="arial" w:hAnsi="arial" w:cs="arial"/>
            <w:i/>
            <w:color w:val="0077CC"/>
            <w:sz w:val="20"/>
            <w:u w:val="single"/>
            <w:shd w:val="clear" w:color="auto" w:fill="FFFFFF"/>
            <w:lang w:val="en-US" w:eastAsia="en-US" w:bidi="ar-SA"/>
          </w:rPr>
          <w:t>[1938] 3 D.L.R. 617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Provincial Transport Co. v. Dozois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[1954] S.C.R. 223</w:t>
        </w:r>
      </w:hyperlink>
      <w:r>
        <w:rPr>
          <w:rFonts w:ascii="arial" w:eastAsia="arial" w:hAnsi="arial" w:cs="arial"/>
          <w:color w:val="000000"/>
          <w:sz w:val="20"/>
          <w:lang w:val="en-US" w:eastAsia="en-US" w:bidi="ar-SA"/>
        </w:rPr>
        <w:t>. It is their contention that Mr. Brown drove blindly through a snow storm in a residential area where he should have expected to see people on the road. To drive at such a speed, particularly through the white-out under the streetlights,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say that, in the circumstances here, the winter driving conditions, blinding snow, and the additional white-out curtain created by the overhead street light required Mr. Brown to drive much slower than 47 kph. In fact, Mr. Brown admitted that he considered slowing down as he went up 4th Street, passing under the street lights. He had his lights on dim, and testified that the low-beam does not go out more than 100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the plaintiffs suggests that visibility was limited to 60 feet, and thus the appropriate speed was 18 kph or less. Even at 29 kph or less, Mr. Brown could have stopped at or before the 2nd Avenue intersection, thus avoiding an accident. The plaintiffs suggest Mr. Brown was going at such a speed that he ran through the point of impact by 40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There were no sidewalks and there were snow banks on the side of the road. Therefore, the plaintiffs say the defendant ought to have anticipated the presence of pedestrians on the road, as s. 182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requires pedestrians to walk on the extreme left side of the roadway, facing traffic, if there is no sidewalk. The defendant was required to drive at a speed that would allow him to react to the presence of people on the road, including adjusting his speed as he went under the street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If the defendant is found to be negligent, the burden is on him to establish that the infant plaintiffs were also negligent. The issue is whether the children exercised the care to be expected from a child of similar age, intelligence and experience: </w:t>
      </w:r>
      <w:r>
        <w:rPr>
          <w:rFonts w:ascii="arial" w:eastAsia="arial" w:hAnsi="arial" w:cs="arial"/>
          <w:i/>
          <w:color w:val="000000"/>
          <w:sz w:val="20"/>
          <w:lang w:val="en-US" w:eastAsia="en-US" w:bidi="ar-SA"/>
        </w:rPr>
        <w:t>Connell (Guardian ad litem of) v. Dyck,</w:t>
      </w:r>
      <w:r>
        <w:rPr>
          <w:rFonts w:ascii="arial" w:eastAsia="arial" w:hAnsi="arial" w:cs="arial"/>
          <w:color w:val="000000"/>
          <w:sz w:val="20"/>
          <w:lang w:val="en-US" w:eastAsia="en-US" w:bidi="ar-SA"/>
        </w:rPr>
        <w:t xml:space="preserve"> 1998 CarswellBC 1656 (S.C.), relying on </w:t>
      </w:r>
      <w:r>
        <w:rPr>
          <w:rFonts w:ascii="arial" w:eastAsia="arial" w:hAnsi="arial" w:cs="arial"/>
          <w:i/>
          <w:color w:val="000000"/>
          <w:sz w:val="20"/>
          <w:lang w:val="en-US" w:eastAsia="en-US" w:bidi="ar-SA"/>
        </w:rPr>
        <w:t>McEllistrum v. Etches</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argue that there is no evidence to show any conduct of the girls led to the accident. Children always played on the street in Nakusp, but in any event, the girls could not have been travelling at any speed beyond a walk, and pedestrians are expected to be on the streets in Nakusp in the winter. There are no sidewalks and nowhere else to walk. The children cannot be expected to have appreciated the effect of the defendant's headlights reflecting off the snow. Even if the girls were negligent, their conduct was not causative, as the accident would have happened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says he was driving at a safe speed for the road conditions. He testified that visibility was 100 to 200 feet and he was driving at 47 kph. He was driving at a speed that would have allowed him to stop safely for a stationary object. He would have been able to cope with pedestrians on the side of the road. However, he should not have had to anticipate a sled moving towards him close to the middle of the road, out of the snow and darkness. Mr. Bruneau testified that in all the years he had been in Nakusp, he had never seen anyone sledding down that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 submits that requiring a driver to drive particularly slowly because of the possibility that a hazard may appear on the highway is too high a standard to set for drivers. There is no requirement that a driver must drive at a speed that would enable him to bring his vehicle to a standstill without collision after the driver, keeping a reasonable lookout, sees a stationary object in front of him (see </w:t>
      </w:r>
      <w:r>
        <w:rPr>
          <w:rFonts w:ascii="arial" w:eastAsia="arial" w:hAnsi="arial" w:cs="arial"/>
          <w:i/>
          <w:color w:val="000000"/>
          <w:sz w:val="20"/>
          <w:lang w:val="en-US" w:eastAsia="en-US" w:bidi="ar-SA"/>
        </w:rPr>
        <w:t>Pitts Enterprises Ltd. v. Farkes et al</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2004 BCSC 1493</w:t>
        </w:r>
      </w:hyperlink>
      <w:r>
        <w:rPr>
          <w:rFonts w:ascii="arial" w:eastAsia="arial" w:hAnsi="arial" w:cs="arial"/>
          <w:color w:val="000000"/>
          <w:sz w:val="20"/>
          <w:lang w:val="en-US" w:eastAsia="en-US" w:bidi="ar-SA"/>
        </w:rPr>
        <w:t xml:space="preserve">, and cases cited therein, including </w:t>
      </w:r>
      <w:r>
        <w:rPr>
          <w:rFonts w:ascii="arial" w:eastAsia="arial" w:hAnsi="arial" w:cs="arial"/>
          <w:i/>
          <w:color w:val="000000"/>
          <w:sz w:val="20"/>
          <w:lang w:val="en-US" w:eastAsia="en-US" w:bidi="ar-SA"/>
        </w:rPr>
        <w:t>McCannell v. McLean</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[1937] 2 D.LR. 639</w:t>
        </w:r>
      </w:hyperlink>
      <w:r>
        <w:rPr>
          <w:rFonts w:ascii="arial" w:eastAsia="arial" w:hAnsi="arial" w:cs="arial"/>
          <w:color w:val="000000"/>
          <w:sz w:val="20"/>
          <w:lang w:val="en-US" w:eastAsia="en-US" w:bidi="ar-SA"/>
        </w:rPr>
        <w:t xml:space="preserve"> (Ont. C.A., aff'd by S.C.C. in same cite). [I note that a reading of </w:t>
      </w:r>
      <w:r>
        <w:rPr>
          <w:rFonts w:ascii="arial" w:eastAsia="arial" w:hAnsi="arial" w:cs="arial"/>
          <w:i/>
          <w:color w:val="000000"/>
          <w:sz w:val="20"/>
          <w:lang w:val="en-US" w:eastAsia="en-US" w:bidi="ar-SA"/>
        </w:rPr>
        <w:t>McCannell</w:t>
      </w:r>
      <w:r>
        <w:rPr>
          <w:rFonts w:ascii="arial" w:eastAsia="arial" w:hAnsi="arial" w:cs="arial"/>
          <w:color w:val="000000"/>
          <w:sz w:val="20"/>
          <w:lang w:val="en-US" w:eastAsia="en-US" w:bidi="ar-SA"/>
        </w:rPr>
        <w:t xml:space="preserve"> shows that the court was more limited in its statement - that is, there is no categorical rule that requires a driver to drive at such a speed; whether he was negligent is a finding of fact dependent on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Given that the sled was moving, counsel for the defendant argues, there was no opportunity for Mr. Brown to avoid it. Unless Mr. Brown should have known that children could be sledding down into his lane of travel, he had no obligation to take extra precautions, and even if he had been travelling more slowly, he would have had no opportunity to avoid the moving sled. Even where extra precaution is required around children, the plaintiffs must still show that the defendant, acting as a reasonably competent driver, could have avoided the collision (</w:t>
      </w:r>
      <w:r>
        <w:rPr>
          <w:rFonts w:ascii="arial" w:eastAsia="arial" w:hAnsi="arial" w:cs="arial"/>
          <w:i/>
          <w:color w:val="000000"/>
          <w:sz w:val="20"/>
          <w:lang w:val="en-US" w:eastAsia="en-US" w:bidi="ar-SA"/>
        </w:rPr>
        <w:t>Brewster (Guardian ad litem of) v. Swain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2007 BCCA 347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Rempel, the plaintiff's expert, admitted that Mr. Brown could not have been travelling at 47 kph if he first saw the sled as he passed under the street light. If Mr. Brown's evidence as to his resting position is correct, he would have been travelling 29 to 35 kph. Mr. Rempel's opinion is based upon the sled being stationary. If it had been, the truck would have stopped before hitting it. It was the movement of the sled, not the speed of the vehicle that caused the collision. As well, Mr. Rempel did not deal with scenarios of visibility beyond 100 feet, and Mr. Brown testified visibility was 100 to 200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 submits that even if there is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the children should be allocated the larger share of blame since their conduct created the greatest degree of risk. They were old enough to appreciate the situation and its consequences. Ms. Scott admitted that she could see lights all the way down the hill, and if she had noticed car headlights she would not have gone down. Her mother testified that she had told Ms. Scott not to sled on public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addition to cases respecting the principles governing the apportionment of fault (see for example, </w:t>
      </w:r>
      <w:r>
        <w:rPr>
          <w:rFonts w:ascii="arial" w:eastAsia="arial" w:hAnsi="arial" w:cs="arial"/>
          <w:i/>
          <w:color w:val="000000"/>
          <w:sz w:val="20"/>
          <w:lang w:val="en-US" w:eastAsia="en-US" w:bidi="ar-SA"/>
        </w:rPr>
        <w:t>Zawadzki v. Calimosos</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and cases cited therein, and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(B.C.C.A.), counsel provided a number of cases dealing with children. The plaintiff's cases focus on the difficulty of holding children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Connell v. Dyck,</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[1998] B.C.J. No. 1792</w:t>
        </w:r>
      </w:hyperlink>
      <w:r>
        <w:rPr>
          <w:rFonts w:ascii="arial" w:eastAsia="arial" w:hAnsi="arial" w:cs="arial"/>
          <w:color w:val="000000"/>
          <w:sz w:val="20"/>
          <w:lang w:val="en-US" w:eastAsia="en-US" w:bidi="ar-SA"/>
        </w:rPr>
        <w:t>: The eight year-old plaintiff was riding a bicycle and was struck by a motor cycle driven by the defendant. Both were travelling east. The plaintiff was riding on the right side of the road and turned left across the defendant's path to go north. Liability was apportioned 35% to the child plaintiff and 65% to the defendant. The defendant, having seen the child, should have anticipated his conduct in turning across his path. The child failed to adhere to the basic safety rules he had been taught.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Lloyd v. Fox,</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(1991) 57 B.C.L.R. (2d) 332</w:t>
        </w:r>
      </w:hyperlink>
      <w:r>
        <w:rPr>
          <w:rFonts w:ascii="arial" w:eastAsia="arial" w:hAnsi="arial" w:cs="arial"/>
          <w:color w:val="000000"/>
          <w:sz w:val="20"/>
          <w:lang w:val="en-US" w:eastAsia="en-US" w:bidi="ar-SA"/>
        </w:rPr>
        <w:t xml:space="preserve"> (C.A.): Two defendants were driving in opposite directions on a narrow, hilly road and stopped to talk near the crest of a hill. The defendant motorcycle driver came upon them unexpectedly, hesitated before braking, and then collided with one of the vehicles. The trial judge took into account the plaintiff's familiarity with the road and the obvious limited visibility. Liability was apportioned 60% to the defendants and 40% to the plaintiffs,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Mawani v. Pitcairn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2012 BCSC 1288</w:t>
        </w:r>
      </w:hyperlink>
      <w:r>
        <w:rPr>
          <w:rFonts w:ascii="arial" w:eastAsia="arial" w:hAnsi="arial" w:cs="arial"/>
          <w:color w:val="000000"/>
          <w:sz w:val="20"/>
          <w:lang w:val="en-US" w:eastAsia="en-US" w:bidi="ar-SA"/>
        </w:rPr>
        <w:t>: The plaintiff was walking on the side of highway. He was struck by the defendant. The plaintiff had no memory of the accident. The defendant's passenger died prior to trial, and the defendant began to suffer from Alzheimer's disease prior to his discovery. Despite the lack of evidence, the summary trial judge was able to find that the defendant was driving too fast for the conditions and did not give himself time to avoid a collision when a hazard came into view. As well, he was driving too close to the curb. The court also found that the plaintiff stepped into the highway to avoid bushes on the path. Liability was apportioned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McDermid v. Bowen</w:t>
      </w:r>
      <w:r>
        <w:rPr>
          <w:rFonts w:ascii="arial" w:eastAsia="arial" w:hAnsi="arial" w:cs="arial"/>
          <w:color w:val="000000"/>
          <w:sz w:val="20"/>
          <w:lang w:val="en-US" w:eastAsia="en-US" w:bidi="ar-SA"/>
        </w:rPr>
        <w:t xml:space="preserve">, (No. 3) </w:t>
      </w:r>
      <w:hyperlink r:id="rId279" w:history="1">
        <w:r>
          <w:rPr>
            <w:rFonts w:ascii="arial" w:eastAsia="arial" w:hAnsi="arial" w:cs="arial"/>
            <w:i/>
            <w:color w:val="0077CC"/>
            <w:sz w:val="20"/>
            <w:u w:val="single"/>
            <w:shd w:val="clear" w:color="auto" w:fill="FFFFFF"/>
            <w:lang w:val="en-US" w:eastAsia="en-US" w:bidi="ar-SA"/>
          </w:rPr>
          <w:t>[1938] 3 D.L.R. 617</w:t>
        </w:r>
      </w:hyperlink>
      <w:r>
        <w:rPr>
          <w:rFonts w:ascii="arial" w:eastAsia="arial" w:hAnsi="arial" w:cs="arial"/>
          <w:color w:val="000000"/>
          <w:sz w:val="20"/>
          <w:lang w:val="en-US" w:eastAsia="en-US" w:bidi="ar-SA"/>
        </w:rPr>
        <w:t xml:space="preserve"> (B.C.C.A.) "The mere driving in a fog, in my opinion, while hazardous,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providing that such driving is at a speed consistent with control of the car within the limits of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Provincial Transport Co. v. Dozois,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[1954] S.C.R. 223</w:t>
        </w:r>
      </w:hyperlink>
      <w:r>
        <w:rPr>
          <w:rFonts w:ascii="arial" w:eastAsia="arial" w:hAnsi="arial" w:cs="arial"/>
          <w:color w:val="000000"/>
          <w:sz w:val="20"/>
          <w:lang w:val="en-US" w:eastAsia="en-US" w:bidi="ar-SA"/>
        </w:rPr>
        <w:t>: An automobile travelling west collided with a bus that was travelling east before making a left turn in heavy fog. The bus driver, having stopped, looked and listened before making his turn, did all he could. The oncoming car was going over the speed limit, which was especially dangerous because of the fog, and was entirely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Carson v. Pruden,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[1990] B.C.J. No. 1226</w:t>
        </w:r>
      </w:hyperlink>
      <w:r>
        <w:rPr>
          <w:rFonts w:ascii="arial" w:eastAsia="arial" w:hAnsi="arial" w:cs="arial"/>
          <w:color w:val="000000"/>
          <w:sz w:val="20"/>
          <w:lang w:val="en-US" w:eastAsia="en-US" w:bidi="ar-SA"/>
        </w:rPr>
        <w:t xml:space="preserve"> (C.A.): Eight and nine year-old children were instructed how to cross the road. The defendant noticed the two girls standing on the side of the road. They looked right and left and walked out into his lane of travel. The trial judge's finding that the defendant was negligent and the children exercised at most an error in judgment and were not negligent was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Christie v. Slevinsky</w:t>
      </w:r>
      <w:r>
        <w:rPr>
          <w:rFonts w:ascii="arial" w:eastAsia="arial" w:hAnsi="arial" w:cs="arial"/>
          <w:color w:val="000000"/>
          <w:sz w:val="20"/>
          <w:lang w:val="en-US" w:eastAsia="en-US" w:bidi="ar-SA"/>
        </w:rPr>
        <w:t xml:space="preserve">, 1981 CarswellAlta 143, </w:t>
      </w:r>
      <w:hyperlink r:id="rId290" w:history="1">
        <w:r>
          <w:rPr>
            <w:rFonts w:ascii="arial" w:eastAsia="arial" w:hAnsi="arial" w:cs="arial"/>
            <w:i/>
            <w:color w:val="0077CC"/>
            <w:sz w:val="20"/>
            <w:u w:val="single"/>
            <w:shd w:val="clear" w:color="auto" w:fill="FFFFFF"/>
            <w:lang w:val="en-US" w:eastAsia="en-US" w:bidi="ar-SA"/>
          </w:rPr>
          <w:t>12 M.V.R. 67</w:t>
        </w:r>
      </w:hyperlink>
      <w:r>
        <w:rPr>
          <w:rFonts w:ascii="arial" w:eastAsia="arial" w:hAnsi="arial" w:cs="arial"/>
          <w:color w:val="000000"/>
          <w:sz w:val="20"/>
          <w:lang w:val="en-US" w:eastAsia="en-US" w:bidi="ar-SA"/>
        </w:rPr>
        <w:t xml:space="preserve"> (Alta Q.B.): An eleven year old infant was driving a dune buggy at a high rate of speed at dusk, while his vision was obscured by dust. He was excited and not paying full attention. He struck the plaintiff, who was walking in the field with his father. The court held that the plaintiff was too young to appreciate the danger and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cited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Ibrahim (Guardian ad litem of) v. Mclenahan,</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[1996] B.C.J. No. 3128</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1996 CanLII 550</w:t>
        </w:r>
      </w:hyperlink>
      <w:r>
        <w:rPr>
          <w:rFonts w:ascii="arial" w:eastAsia="arial" w:hAnsi="arial" w:cs="arial"/>
          <w:color w:val="000000"/>
          <w:sz w:val="20"/>
          <w:lang w:val="en-US" w:eastAsia="en-US" w:bidi="ar-SA"/>
        </w:rPr>
        <w:t xml:space="preserve"> (B.C.S.C.): The defendant was driving along a city street towards an intersection with a cross walk controlled by a flashing signal. A five year-old child ran out in front of him from behind a rock wall and shrubbery. The court held that the sole cause of the accident was the infant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Feener v. McKenzie,</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5 N.S.R. (2d) 660</w:t>
        </w:r>
      </w:hyperlink>
      <w:r>
        <w:rPr>
          <w:rFonts w:ascii="arial" w:eastAsia="arial" w:hAnsi="arial" w:cs="arial"/>
          <w:color w:val="000000"/>
          <w:sz w:val="20"/>
          <w:lang w:val="en-US" w:eastAsia="en-US" w:bidi="ar-SA"/>
        </w:rPr>
        <w:t xml:space="preserve"> (C.A.): The defendant was driving on the highway; some children were sledding down a gentle slope nearby to a ridge of snow, which stopped them before they reached the road. The defendant saw the children at the top of the slope, about 60 feet away, but did not see a sleigh and did not know they were coasting down the hill. A five year-old boy went down the incline, was not stopped by the ridge, and came into contact with the defendant's car. The court found no liability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Brewster (Guardian ad litem of) v. Swain,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2007 BCCA 347</w:t>
        </w:r>
      </w:hyperlink>
      <w:r>
        <w:rPr>
          <w:rFonts w:ascii="arial" w:eastAsia="arial" w:hAnsi="arial" w:cs="arial"/>
          <w:color w:val="000000"/>
          <w:sz w:val="20"/>
          <w:lang w:val="en-US" w:eastAsia="en-US" w:bidi="ar-SA"/>
        </w:rPr>
        <w:t>: A school bus driver was driving the bus along a residential street. She saw children playing on a cross street. As she reached the cross street, a five year-old boy rode his bicycle into the side of the bus. While the bus driver was required to exercise extra care because of nearby children, she was not required to anticipate that one of them might ride through the stop sign. Once she was in a position to recognize that the child might enter the intersection and the situation was dangerous, she had no time to take evasive action; the accident was unavoidable regardless of evasive action she might have taken. The Court of Appeal held the driver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Chen (Guardian ad litem of) v. Beltran,</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2010 BCSC 302</w:t>
        </w:r>
      </w:hyperlink>
      <w:r>
        <w:rPr>
          <w:rFonts w:ascii="arial" w:eastAsia="arial" w:hAnsi="arial" w:cs="arial"/>
          <w:color w:val="000000"/>
          <w:sz w:val="20"/>
          <w:lang w:val="en-US" w:eastAsia="en-US" w:bidi="ar-SA"/>
        </w:rPr>
        <w:t>: The defendant struck an 11 year-old child who entered an intersection on a skateboard, against a red light. There was nothing to alert the defendant, who was travelling at the speed limit, to such a sudden and unexpected situation. He had no chance to avoid hitting the boy. The driver was held not to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Pitts Enterprises Ltd. v. Farkes,</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2004 BCSC 1493</w:t>
        </w:r>
      </w:hyperlink>
      <w:r>
        <w:rPr>
          <w:rFonts w:ascii="arial" w:eastAsia="arial" w:hAnsi="arial" w:cs="arial"/>
          <w:color w:val="000000"/>
          <w:sz w:val="20"/>
          <w:lang w:val="en-US" w:eastAsia="en-US" w:bidi="ar-SA"/>
        </w:rPr>
        <w:t>: The defendant was driving a tractor-trailer unit in good winter driving conditions in the dark. He struck a moose standing in his lane. The collision rendered his steering inoperative and he struck the plaintiff in the oncoming lane. The plaintiff argued that the defendant simply failed to see the moose, or was driving too fast in an area where wildlife was known to be present. The court found the stretch of road was not one where a moose might be expected, and the speed was reasonable. Even a slower speed would not have resulted in avoidance of the collision. The court held the driver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Currie v. Fitt,</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[1996] B.C.J. No. 2882</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1996 CanLII 3441</w:t>
        </w:r>
      </w:hyperlink>
      <w:r>
        <w:rPr>
          <w:rFonts w:ascii="arial" w:eastAsia="arial" w:hAnsi="arial" w:cs="arial"/>
          <w:color w:val="000000"/>
          <w:sz w:val="20"/>
          <w:lang w:val="en-US" w:eastAsia="en-US" w:bidi="ar-SA"/>
        </w:rPr>
        <w:t xml:space="preserve"> (B.C.S.C.): A four year-old child suddenly ran out in front of the defendant's vehicle from a driveway that was shielded by high grass. The court found that the defendant was not aware of the presence of children prior to the impact, but should have been, given the nearby playground. While the defendant should have been going slower, and would thus have seen the child sooner, there was such a short time between apprehension and impact that he would have been unable to stop in time to avoid a collision in any event. The court held that the driver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view, all the witnesses tried their best to recall the incident to the best of their ability and to testify honestly.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suggests that the court can make certain findings of fact - that the defendant was travelling at 47 kph; that visibility was 100 feet or under; that the children were pushing the sled slowly along the side of the road; that the headlights of the defendant's truck were not visible to them until just prior to impact; and that Ms. Scott ended up about 40 feet back from the end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However, from the rest positions of the girls and the evidence of the defendant, there is no other conclusion to reach than that the girls were travelling close to the middle of the road. Ms. Armstrong ended up against the front of the driver's wheel, Ms. Scott landed behind the vehicle across the intersection and toward the north side of the road, and the poor dog ended up under the truck. The girls simply could not have been pushing the sled on their left side of the road facing traffic. Even if the defendant had been driving too close to his right side of the road, and there is no evidence that he was doing so, the girls could not have been walking along the side of the road, given their ultimate resting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the plaintiffs submits that the sled would have had trouble coming down the hill at all and it could have been moving at most at the speed of a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direct evidence that the plaintiffs' sled was moving at the speed of a walk. Plaintiff's counsel asks for that conclusion because the slope was gentle, and the plaintiffs were two little girls who would be content with pushing a sled along. However, Ms. Scott said she recalled going down the hill once before that night. If one were to draw conclusions simply from the fact of two little girls sledding on a hill, one might conclude they would not bother to slowly push a sled twice down a hill that offered no sliding surface. However, the only evidence is from the defendant - the roads were slippery and the sled was moving in the split second he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says the sled seemed to him to be moving "at a good clip"; he testified that they came "flying out of the darkness" at him. I do not take this to mean that the sled was travelling at a significant speed, but that, from the defendant's perspective, it appeared out of nowhere and was moving when he first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the estimates of the speed of the sled from the defendant's expert are much too high to withstand scrutiny, the plaintiff's expert acknowledged that a speed of 10 to 15 kph was technically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road was sloped and the surface was slippery. I find that the sled was moving at faster than a walk (which the plaintiffs' expert said was 5 kph). There is no evidence as to whether Ms. Scott was assisting in propelling the sled as she stood on the runners at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expert evidence about the speed and stopping distance of the truck is not of much assistance, for the reasons stated by Mr. McInnes. There was no objective evidence for the experts to use - no photographs, accurate scale diagrams of the accident site, or measurements; there was no method by which an accurate co-efficient of friction could be obtained. Each expert had to rely on the defendant's evidence of speed, visibility, point when he first saw the object, distance of his skid mark on the snow, and resting positions of the vehicle and the girls. However, those pieces of evidence are not all reconcilable. This is understandable, since the defendant was trying to recall a traumatic event that took place in a few seconds a year and a half after it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Brown described his reaction as dazed and dumbfounded; he testified that he wondered how this could be happening to him, to run over two little girls. When questioned about Ms. Scott's exact resting position and that of the sleigh, he said: "I don't really know. I - well, I was very upset and emotional". He tried to describe Ms. Scott's position on the road, but said: "Seemed to me she was about halfway between the truck and here. Maybe not, I don't know. Like I say, I was pretty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exact speed of the vehicle was obviously important to the experts. However, even that is not entirely clear. At p. 12 of the transcript, Mr. Brown was asked if he maintained a consistent speed of 47 kph and answered "yes". At p. 23, when asked if he ever slowed down as he went up 4th Street, the defendant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Slight bit, thought about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think about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of the vision.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for the point where he first saw the object, and reading his evidence as a whole, it appears that the defendant was reconstructing some of his evidence, that is, he was working out what he thought must have happened, rather than testifying from an actual memory. For instance, at pp. 17 - 18 he said, when trying to remember where he first saw the black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about - no that would be impossible. I saw it about halfway through the streetlight, because if I would have not seen it to that point, from where the accident was, I wouldn't have had my brakes on. I couldn't possibly put my brakes on in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helpful. So you were halfway through the streetlight when you saw the black object?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kind of think that would be, approximately.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p. 19, he said, when asked about whether his wheels 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they, of course they did. I just finished telling you that I didn't run over the girl. If the wheels hadn't been locked, it wouldn't have slid along the...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 what I'm trying to understand, is whether the vehicle was sliding on the snow or whether the tires were gripping the snow and slowing the vehicle down. That's what I'm exploring.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they would have to be slowing it down, because it wasn't long after I stopped.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testified to various visibility limits, an issue that was important to the experts. At p. 3 of the deposition transcript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the streetlight I could see approximately two hundred feet, I'd say. ...when you get to the streetlight, it has a tendency to take your vision off beyond, like, the brightness of the lights on the snow has a problem with your vision seeing beyond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 examination, at p. 10, he was asked how far the low beam on his headlights goes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couldn't exactly tell you. I never measured it...I'd say at the most it goes out is a hundred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p. 16, the following exchange appears: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You've told us that your low-beams gave you about a hundred feet of driving distance visibility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this was a snow evening; it was snow evening that impaired your visibility?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couldn't say exactly whether it's a hundred feet or two hundred feet, really, what the lights are. I've never measured it. But it's in that neighbourhood somewhere.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examination of the evidence is not done to show that there are other precise speeds or distances that can be found or that should have been used by the experts; it shows just the opposite. None of the parameters that an expert in accident reconstruction needs to give an informed opinion are present. The speed of the vehicle is questionable; the speed of the sled is unknown; the visibility distances are guesses within wide margins; the point where the defendant saw the sled is a matter of reconstruction. The evidence of the witnesses as to the distance between Ms. Scott's resting position and the truck varies widely - from 10 feet to 40 feet. Assuming the police diagram is roughly accurate, the distance would be about the length of the truck - 5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expert started with the defendant's evidence as to the speed of the truck, took the shortest visibility distance, and assumed the sled was stationary in order to come to the opinion that the defendant should have been driving much more slowly in order to be able to come to a safe stop upon seeing the sled. That is, if Mr. Brown was driving 47 kph, as he said he was, and his visibility was limited to 100 feet or less, he could not have stopped for a stationary object. He had to be travelling at 26 kph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expert took the point where the defendant said he saw the object, the sliding distance, and the resting positions of the truck and Ms. Scott, and concluded that the truck was travelling at a slower speed than the sled at impact. That scenario is very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point upon which both experts agree is that Mr. Brown could not have stopped where he did if he was going 47 kph and if he saw the girls as he was halfway through the street light. Either he was going slower than he thought he was, or he saw the girls some distance west of the light pole - 45 meters west of the rest position, or 30 meters from the from the east side of the intersection, according to Mr.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before the court is fraught with imprecision, but some facts can be discerned. It was snowing heavily; the road was slippery. Visibility was limited to between 100 and 200 feet, and was further curtailed by the effect of the streetlights. The streetlights themselves were visible for about four blocks. The defendant testified he was travelling at 47 kph and slowed "a slight bit" and thought about slowing more, given the conditions, but apparently did not. There is no evidence to suggest that Mr. Brown was travelling other than in his regular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found that the girls were travelling down the road on the sled in or towards the left side of Mr. Brown's lane of travel. The speed of the sled is undetermined but I have found the sled was moving at the point of impact, and its speed was faster than a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that the defendant's vehicle had its headlights on, and the headlights would have been visible to the girls. While the defendant's headlights were reflecting off the falling snow, impeding his vision, the children, who were in darkness, would have no such impediment to seeing the defendant's headlights approaching up 4th Street, other than the falling snow itself. There were no streetlights on the portion of the hill they were on. There is simply no explanation for why the girls did not see the truck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first issue is whether Mr. Brown was driving too fast for the road conditions and was thus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McCannell v. McLean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there is no rule that a driver is required to drive at a speed that allows him to bring his vehicle to a standstill after the driver, keeping a reasonable outlook, observes a stationary object confronting him. Whether a driver is negligent will depend on the individual facts. The case relied on by the Supreme Court of Canada in </w:t>
      </w:r>
      <w:r>
        <w:rPr>
          <w:rFonts w:ascii="arial" w:eastAsia="arial" w:hAnsi="arial" w:cs="arial"/>
          <w:i/>
          <w:color w:val="000000"/>
          <w:sz w:val="20"/>
          <w:lang w:val="en-US" w:eastAsia="en-US" w:bidi="ar-SA"/>
        </w:rPr>
        <w:t>McCannell</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Irvine v. Metropolitan Transport Co. Ltd.,</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[1933] 4 D.L.R. 682</w:t>
        </w:r>
      </w:hyperlink>
      <w:r>
        <w:rPr>
          <w:rFonts w:ascii="arial" w:eastAsia="arial" w:hAnsi="arial" w:cs="arial"/>
          <w:color w:val="000000"/>
          <w:sz w:val="20"/>
          <w:lang w:val="en-US" w:eastAsia="en-US" w:bidi="ar-SA"/>
        </w:rPr>
        <w:t>, where the court said, at. p. 695: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driver is not bound to anticipate a breach of the law by other users of the highway nor to take anticipatory precautions against the possible happening of illegal acts by others. This rule is subject to the limitation that if when he becomes aware or ought to have become aware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of another he is able by exercise of ordinary care to avoid the results of the 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is bound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driver, while required to take reasonable care, is entitled to rely on certain assumptions: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Traffic in the streets would be impossible if the driver of each vehicle did not proceed more or less on the assumption that the drivers of all other vehicles will do what it is their duty to do, namely, observe the rules regulating the traffic of the streets. </w:t>
      </w:r>
      <w:r>
        <w:rPr>
          <w:rFonts w:ascii="arial" w:eastAsia="arial" w:hAnsi="arial" w:cs="arial"/>
          <w:i/>
          <w:color w:val="000000"/>
          <w:sz w:val="20"/>
          <w:lang w:val="en-US" w:eastAsia="en-US" w:bidi="ar-SA"/>
        </w:rPr>
        <w:t>Toronto Railway v. King,</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quoted in </w:t>
      </w:r>
      <w:r>
        <w:rPr>
          <w:rFonts w:ascii="arial" w:eastAsia="arial" w:hAnsi="arial" w:cs="arial"/>
          <w:i/>
          <w:color w:val="000000"/>
          <w:sz w:val="20"/>
          <w:lang w:val="en-US" w:eastAsia="en-US" w:bidi="ar-SA"/>
        </w:rPr>
        <w:t>Swartz Brothers Ltd. v. Wills,</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accept the obvious proposition that a driver is required to drive safely within the limits of his visibility. He must keep a reasonable lookout and drive within the limits of his ability to control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accident happened at about 5:00 p.m. There is no evidence that this was a hill where children normally sledded; the evidence is to the contrary. Although children played on the roads in Nakusp, the evidence is they played road hockey and other games. While Mr. Brown should have had in mind the possibility of pedestrians on the road, I cannot conclude that Mr. Brown should have anticipated as a reasonable possibility that he would meet a sled coming at him in his lane of travel. Thus he was not required to drive at a speed that would allow him to cope with such an eventuality.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any case, was Mr. Brown driving too fast for the winter conditions and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47 kph, Mr. Rempel estimated Mr. Brown would take 48.5 meters to stop, which would be too fast to avoid a stationary object coming into his visibility at 60 to 100 feet. However, the evidence is that visibility was between 100 to 200 feet with some reduction in visibility under the cone of the streetlight, and that the sled was not stationary. If Mr. Brown's visibility was 100 feet and the sled had been stationary, he was travelling at a speed that would not allow him to stop once he saw it. If his visibility was 200 feet, he had time to stop for a stationary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not possible, on the evidence before the court, to determine which of Mr. Brown's estimates of visibility is more accurate or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well, in Mr. Rempel's opinion, the headlights would not have illuminated the sled in any event. The sled would only have become visible as it appeared through the snow, which means Mr. Brown had to drive at a speed which would allow him to anticipate a sled suddenly coming at him in his own lane of travel. I have found that that was not a reasonably foreseeable event and he was not required to drive at such a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Brown's evidence of his speed is not reconcilable with the rest of the evidence, that is, his estimate of his resting position (which is similar to that on the police diagram) and his evidence of where he first saw the object. Mr. Brown's evidence is the only evidence on those points. While a court need not accept evidence even if it is not contradicted, there is nothing else to consider in this case, except Mr. Rempel's attempt to explain the discrepancy by saying Mr. Brown must have seen the girls much farther back. However, against this is Mr. Rempel's evidence that it would not be possible to see the girls through the snow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Taking all of this into account, I am unable to conclude that the plaintiffs have established that Mr. Brown was driving too fast for the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Was Mr. Brown otherwise negligent in failing to avoid the collision? The plaintiffs must establish that Mr. Brown became aware, or by the exercise of reasonable care should have become aware, of their presence as a hazard, and that he had sufficient opportunity to avoid the accident of which a reasonably careful and skilful driver would have availed himself (</w:t>
      </w:r>
      <w:r>
        <w:rPr>
          <w:rFonts w:ascii="arial" w:eastAsia="arial" w:hAnsi="arial" w:cs="arial"/>
          <w:i/>
          <w:color w:val="000000"/>
          <w:sz w:val="20"/>
          <w:lang w:val="en-US" w:eastAsia="en-US" w:bidi="ar-SA"/>
        </w:rPr>
        <w:t>Brewster v. Swain,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quoting </w:t>
      </w:r>
      <w:r>
        <w:rPr>
          <w:rFonts w:ascii="arial" w:eastAsia="arial" w:hAnsi="arial" w:cs="arial"/>
          <w:i/>
          <w:color w:val="000000"/>
          <w:sz w:val="20"/>
          <w:lang w:val="en-US" w:eastAsia="en-US" w:bidi="ar-SA"/>
        </w:rPr>
        <w:t>Pacheko (Guardian ad litem) v. Robinson</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[1993] B.C.J. No. 154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Rempel agreed that if Mr. Brown were travelling at 47 kph, and given the average time to react after seeing the sled, and assuming the point of impact was the east side of the intersection, he would have slowed to 32 kph by the time of the impact and the front of the vehicle would stop at 23 meters beyond the intersection. He said Mr. Brown's estimate that he came to rest where he first saw the sled makes sense. If the sled were moving at 10 kph, it would move forward into the path of the truck, giving the driver no chance to avoid a collision. The result of that scenario is that Mr. Brown was driving at a speed that would allow him to stop for a stationary object and it was the movement of the sled that led to the collision, not the speed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If the sled were stationary in the middle of the road, using the figures for speed and visibility most favourable to the plaintiffs, Mr. Brown would not have been able to stop in time to avoid an accident once he perceived the unexpected hazard. However, those figures have not been established on a balance of probabilities and the sled was not stationary.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not persuaded that Mr. Brown had an opportunity, by the exercise of reasonable care, to avoid this accident once he became aware of the sled travelling towards him and recognized the situation as dangerous. He had a split second to react; he slammed on the brakes; he was able to stop in a very short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paucity of the evidence and its obvious frailties has made the plaintiffs' task in this trial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a consideration of all the evidence, I am unable to conclude that the plaintiffs have established that the collision was caused by any fault of the defendant. Both actions are dismissed. Unless there is a reason to address costs, the defendant is entitled to one set of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Sears Canada Inc. v. Bartram, [2004] B.C.J. No. 751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35460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509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430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Sears Canada Inc., appellant, and Darlene Bartram,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jc w:val="both"/>
        <w:rPr>
          <w:rFonts w:ascii="arial" w:eastAsia="arial" w:hAnsi="arial" w:cs="arial"/>
          <w:sz w:val="20"/>
          <w:lang w:val="en-US" w:eastAsia="en-US" w:bidi="ar-SA"/>
        </w:rPr>
      </w:pPr>
      <w:bookmarkStart w:id="62" w:name="Counsel_10"/>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 Zasada, for appellant. S.D. Dley, for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10"/>
      <w:bookmarkEnd w:id="63"/>
      <w:r>
        <w:pict>
          <v:line id="_x0000_s1074" style="position:absolute;z-index:251721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COLE J."/>
            <w:bookmarkEnd w:id="64"/>
            <w:r>
              <w:rPr>
                <w:rFonts w:ascii="arial" w:eastAsia="arial" w:hAnsi="arial" w:cs="arial"/>
                <w:b/>
                <w:color w:val="000000"/>
                <w:sz w:val="30"/>
                <w:lang w:val="en-US" w:eastAsia="en-US" w:bidi="ar-SA"/>
              </w:rPr>
              <w:t>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the decision of a Provincial Court judge who found the appellant was in breach of section 3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Damages were assessed at trial and this appeal relates only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28, 2002, the appellant's escalator went out of service. Mr. Brandon Robinson, then a five-year employee of the appellant whose duties included general safety for employees and customers, put up warning signs at the bottom and top of the escalator. The warning signs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Attention. This escalator is temporarily out of service. We apologize for any inconvenience to our customers. An elevator is available next to the toy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Robinson positioned the signs so that an individual would see the signs if he or she attempted to use the escalator. In addition, he strung caution tape from rail to rail at both the top and bottom of the escalator.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29, 2002, the signs and tape were taken down by the manager, apparently because of a customer complaint. Later that day, Mr. Robinson put the signs back up in their original positions, but did not replace the tape. Mr. Robinson testified at trial that the signs were still up on March 30,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March 30, the respondent was shopping in the lower level of the appellant's store and walked up the escalator to get to the second floor. Her sister, Ms. Athay, was ahead of her. Near the top of the escalator, the respondent tripped and fell, fracturing her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respondent was aware that the escalator was stopped. She testified that she had been on approximately two dozen stopped escalators in her lifetime and that the escalator in the appellant's store was no different from the others that she had climbed. She was aware that the risers of the steps at the top and bottom of the escalator were of different heights from the risers of the steps in the middle of the escalator, and was aware that there was a "lip" where the steps slide under the floor at the top of the escalator. She said there was no debris, protrusions, or foreign substances on the escalator at the time. She said she was holding the escalator rail with one hand as she climbed. Neither the plaintiff nor her sister saw any signs located at the base of the escalator.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is no issue that the standard of review in this case is that the learned trial judge must be clearly wrong in his apprehension of the facts or incorrect in his application of the law: see Rogers (c.o.b. B and B Custom Cycle) v. Bolin, </w:t>
      </w:r>
      <w:hyperlink r:id="rId306" w:history="1">
        <w:r>
          <w:rPr>
            <w:rFonts w:ascii="arial" w:eastAsia="arial" w:hAnsi="arial" w:cs="arial"/>
            <w:i/>
            <w:color w:val="0077CC"/>
            <w:sz w:val="20"/>
            <w:u w:val="single"/>
            <w:shd w:val="clear" w:color="auto" w:fill="FFFFFF"/>
            <w:lang w:val="en-US" w:eastAsia="en-US" w:bidi="ar-SA"/>
          </w:rPr>
          <w:t>2003 BCSC 1442</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[2003] B.C.J. No. 2230</w:t>
        </w:r>
      </w:hyperlink>
      <w:r>
        <w:rPr>
          <w:rFonts w:ascii="arial" w:eastAsia="arial" w:hAnsi="arial" w:cs="arial"/>
          <w:color w:val="000000"/>
          <w:sz w:val="20"/>
          <w:lang w:val="en-US" w:eastAsia="en-US" w:bidi="ar-SA"/>
        </w:rPr>
        <w:t xml:space="preserve"> at [paragraphs] 18-20. The standard of review for findings of fact and findings of mixed law and fact is such that they cannot be reversed unless the trial judge has made a "palpable and overriding error." The standard of review on questions of law is one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ERRORS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appellant says that the learned trial judge erred in finding as a matter of fact that no witnesses provided evidence that the signs alleged to be present on March 30, 2002 were in fact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[paragraph] 18 of his reasons for judgment, the learned trial judge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thing that is interesting about this is nobody from Sears has been able to testify that the signs that were allegedly in place were, indeed, in place on the occasion in question. The young man who dealt with this lady [Mr. Robinson], went to get her, carried out what he thought was his duty to the store, took her back to his office, got a statement from her and recorded that and had her sign it, but did not go down to see whether or not the signs were in place at the bottom of the escalator.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Robinson also testified that the signs he posted were in place on March 30, 2002. The evidence of the respondent was that she did not see any signs at the bottom of the escalator. This evidence was corroborated by her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appellant argues that the finding that there were no signs at the bottom of the stairs is a critical palpable and overriding error of fact because the trial judge found that the absence of the sign amounted to reckless disregard on the part of the appellant and a breach of the appellant's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trial judge, however, in finding that there were no signs in place, stated at [paragraphs]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it seems to me that that is clearly something that should have been determined as to whether or not those warning signs were in place. They were not in place and I think that is more reckless disregard because [Mr. Robinson] said in his cross-examination by Mr. Dley that it is usual or it is common for people to move things about in the store and those signs may very well have not been in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scene was recreated in the photos have been put into evidence here [sic], at a time substantially after this incident, and there is no way for this court to find that those signs were in place at the time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trial judge weighed the evidence of the respondent and her sister that they did not see any signs, against Mr. Robinson's evidence that the signs were present and were situated such that they would be seen if someone used the escalator. He accepted the evidence of the respondent and her sister. I am not satisfied that the learned trial judge erred; there was ample evidence upon which he could conclude that at the time of the accident there were no signs posted at the bottom of the escalator.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ERRORS OF LAW AND ERRORS OF MIXED FACT AND LAW</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Escalator Was Not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 3(1) of the Occupiers' Liability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care that in all the circumstances of the case is reasonable to see that a person...on the premises...will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appellant submits that whether the condition on the premises was "dangerous" is a question the Court must assess on an objective standard: see Felix v. Royal Park Shopping Centre Holdings Ltd., </w:t>
      </w:r>
      <w:hyperlink r:id="rId307" w:history="1">
        <w:r>
          <w:rPr>
            <w:rFonts w:ascii="arial" w:eastAsia="arial" w:hAnsi="arial" w:cs="arial"/>
            <w:i/>
            <w:color w:val="0077CC"/>
            <w:sz w:val="20"/>
            <w:u w:val="single"/>
            <w:shd w:val="clear" w:color="auto" w:fill="FFFFFF"/>
            <w:lang w:val="en-US" w:eastAsia="en-US" w:bidi="ar-SA"/>
          </w:rPr>
          <w:t>[1999] B.C.J. No. 1826</w:t>
        </w:r>
      </w:hyperlink>
      <w:r>
        <w:rPr>
          <w:rFonts w:ascii="arial" w:eastAsia="arial" w:hAnsi="arial" w:cs="arial"/>
          <w:color w:val="000000"/>
          <w:sz w:val="20"/>
          <w:lang w:val="en-US" w:eastAsia="en-US" w:bidi="ar-SA"/>
        </w:rPr>
        <w:t xml:space="preserve"> (S.C.) at [paragraph] 32. The appellant submits that the trial judge erred in law by failing to consider whether the escalator was objectively dangerous, by instead placing undue weight on Mr. Robinson's opinion that the escalator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appellant argues that the trial judge based his finding that the escalator was dangerous solely on the subjective evidence of Mr. Robinson when he was asked on cross-examination, "Did you block off the escalator because you considered it to be dangerous?", to which Mr. Robinson replied,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the trial judge took additional evidence into account. In particular, the trial judge heard evidence from Mr. Robinson that his opinion that the escalator was dangerous was based in part on the objective fact that the stairs had an uneven nature to them. Mr. Robinson's opinion was properly given significant weight because it was his duty to look after the general safety of customers, and there was no evidence before the trial judge of a policy developed by the defendant. Therefore, I am not satisfied that the learned trial judge erred in concluding that the stopped escalator was dangerous.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Assumption of Inherent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appellant says that the risk arising out of the use of the stopped escalator is an ordinary risk arising out of the exigencies of everyday life, and that the trial judge therefore erred in law in finding that the defendant owed a duty to warn the respondent of the risk. Where there is an inherent risk, the appellant says, no duty to warn arises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appellant refers to the decision of Potozny v. Burnaby (City), </w:t>
      </w:r>
      <w:hyperlink r:id="rId308" w:history="1">
        <w:r>
          <w:rPr>
            <w:rFonts w:ascii="arial" w:eastAsia="arial" w:hAnsi="arial" w:cs="arial"/>
            <w:i/>
            <w:color w:val="0077CC"/>
            <w:sz w:val="20"/>
            <w:u w:val="single"/>
            <w:shd w:val="clear" w:color="auto" w:fill="FFFFFF"/>
            <w:lang w:val="en-US" w:eastAsia="en-US" w:bidi="ar-SA"/>
          </w:rPr>
          <w:t>2001 BCSC 837</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[2001] B.C.J. No. 1224</w:t>
        </w:r>
      </w:hyperlink>
      <w:r>
        <w:rPr>
          <w:rFonts w:ascii="arial" w:eastAsia="arial" w:hAnsi="arial" w:cs="arial"/>
          <w:color w:val="000000"/>
          <w:sz w:val="20"/>
          <w:lang w:val="en-US" w:eastAsia="en-US" w:bidi="ar-SA"/>
        </w:rPr>
        <w:t>, where Mr. Justice Burnyeat states at [paragraph] 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assumption that I found that there was no voluntary assumption of risk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City submitted that there was an "inherent risk" which was accepted by Ms. Potozny. Unlike the concept of "voluntary assumption of risk", inherent risk is not a separate defence that comes into play after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but is a recognition by the courts that what constitutes reasonable care will depend upon the perils which a person engaged in an activity might reasonably be expected to encounter. In other words, it gives effect to the words "in all the circumstances" contained in s. 3(1)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Further, at [paragraph] 110, Burnyeat J. refers to Malcolm v. British Columbia Transit </w:t>
      </w:r>
      <w:hyperlink r:id="rId309"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[1988] B.C.J. No. 1945</w:t>
        </w:r>
      </w:hyperlink>
      <w:r>
        <w:rPr>
          <w:rFonts w:ascii="arial" w:eastAsia="arial" w:hAnsi="arial" w:cs="arial"/>
          <w:color w:val="000000"/>
          <w:sz w:val="20"/>
          <w:lang w:val="en-US" w:eastAsia="en-US" w:bidi="ar-SA"/>
        </w:rPr>
        <w:t xml:space="preserve"> (C.A.), where Chief Justice McEachern, as he then was, stated at 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 ... such a warning [is] superfluous.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Further at [paragraph] 111, Burnyeat J. refers to Hagerman v. City of Niagara Falls et al. </w:t>
      </w:r>
      <w:hyperlink r:id="rId310"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114 D.L.R. (3d) 184</w:t>
        </w:r>
      </w:hyperlink>
      <w:r>
        <w:rPr>
          <w:rFonts w:ascii="arial" w:eastAsia="arial" w:hAnsi="arial" w:cs="arial"/>
          <w:color w:val="000000"/>
          <w:sz w:val="20"/>
          <w:lang w:val="en-US" w:eastAsia="en-US" w:bidi="ar-SA"/>
        </w:rPr>
        <w:t xml:space="preserve"> (H.C.J.), where Lambrosse J. stated at 612: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Furthermore, the duty owed in respect of reasonably foreseeable risks may be limited where the person, to whom the duty might otherwise be owed, appreciates those risks and it is reasonable to expect him to assume them. No duty of care arises with respect to those risks appreciated and assumed. I use the word "assumed" reluctantly because this situation is not the same as that in which the defence of volenti non fit injuria or voluntary assumption of risk, is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Here, I am satisfied that this case is different from those cited by the appellant. In this case, the trial judge found that the situation created by the stopped escalator was a dangerous situation and that, in my view, is not "an ordinary risk arising out of the exigencies of everyday life". This was a situation that required a clear warning and for the stairs to be roped off. It was not a situation where a warning was "superfluous". It cannot be said that no duty of care arises where a dangerous situation, beyond those arising from the exigencies of everyday life,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not satisfied that the learned trial judge fell into error in respect to this matter.</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appellant says that the learned trial judge erred in law in his assessment of whether the appellant breached its duty of care. The appellant says the trial judge placed disproportionate weight on Mr. Robinson's statement that he considered the stopped escalator to be dangerous and, in so doing, disregarded the other evidence such as: the clean and obstruction-free condition of the escalator, the evidence of otherwise safe use by other customers of the escalator from March 28 to April 1, 2002, and the presence of alternative means of reaching the second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Stavert v. Franklin, </w:t>
      </w:r>
      <w:hyperlink r:id="rId311" w:history="1">
        <w:r>
          <w:rPr>
            <w:rFonts w:ascii="arial" w:eastAsia="arial" w:hAnsi="arial" w:cs="arial"/>
            <w:i/>
            <w:color w:val="0077CC"/>
            <w:sz w:val="20"/>
            <w:u w:val="single"/>
            <w:shd w:val="clear" w:color="auto" w:fill="FFFFFF"/>
            <w:lang w:val="en-US" w:eastAsia="en-US" w:bidi="ar-SA"/>
          </w:rPr>
          <w:t>[1996] B.C.J. No. 1225</w:t>
        </w:r>
      </w:hyperlink>
      <w:r>
        <w:rPr>
          <w:rFonts w:ascii="arial" w:eastAsia="arial" w:hAnsi="arial" w:cs="arial"/>
          <w:color w:val="000000"/>
          <w:sz w:val="20"/>
          <w:lang w:val="en-US" w:eastAsia="en-US" w:bidi="ar-SA"/>
        </w:rPr>
        <w:t xml:space="preserve"> (S.C.), Mr. Stavert was visiting the defendant's premises to repair the furnace. The premises were under construction and there were no stairs leading from the front door to the ground, but there was a ramp. The plaintiff was familiar with working on slippery surfaces and was experienced in using ramps, but fell off the ramp at a height of some 25 inches from the ground. The learned trial judge found that the evidence did not disclose that there was "any unusual danger" of which he could that the defendants "had a duty to warn Mr. Stavert" ([paragraph] 13), and stated at [paragraph] 15 and [paragraphs]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is clear that I cannot presume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defect where none is made out on the evidence.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absolutely no suggestion in the evidence before me that there was any unusual danger connected with the condition of, or use of, the ramp which was known to the defendants which could not have been in the knowledge of Mr. Stavert. He agreed that he had used similar ramps numerous times and was exercising caution in descending the ramp. He was aware of the weather conditions and the appearance of the surface of the ramp. There is no suggestion that Mr. Franklin slipped or had any knowledge of any problem that would not have been equally visible to Mr. Stavert.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I conclude that there is no evidence of the cause of Mr. Stavert's unfortunate fall; no evidence to show that there was any danger connected with the condition, or use, of the ramp of which the defendants were aware and of which they had a duty to warn; nor is there any evidence that the defendants breached any duty of care to ensure Mr. Stavert's reasonable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case, however, is clearly distinguishable as the trial judge in the case at bar found that the premises were dangerous and that at least one of the defendant's employees, Mr. Robinson, was aware of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the trial judge did not make a palpable or overriding error in assessing whether the appellant had breached its duty of care. Insofar as the reasons for judgment do not discuss all the factors listed by the appellant in [paragraph] 24, I find that it is a mere inadequacy in the reasons which does not amount to reversible error because the basis of the finding is apparent from the circumstances: see R. v. Sheppard, </w:t>
      </w:r>
      <w:hyperlink r:id="rId312" w:history="1">
        <w:r>
          <w:rPr>
            <w:rFonts w:ascii="arial" w:eastAsia="arial" w:hAnsi="arial" w:cs="arial"/>
            <w:i/>
            <w:color w:val="0077CC"/>
            <w:sz w:val="20"/>
            <w:u w:val="single"/>
            <w:shd w:val="clear" w:color="auto" w:fill="FFFFFF"/>
            <w:lang w:val="en-US" w:eastAsia="en-US" w:bidi="ar-SA"/>
          </w:rPr>
          <w:t>2002 SCC 26</w:t>
        </w:r>
      </w:hyperlink>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[2002] 1 S.C.R. 869</w:t>
        </w:r>
      </w:hyperlink>
      <w:r>
        <w:rPr>
          <w:rFonts w:ascii="arial" w:eastAsia="arial" w:hAnsi="arial" w:cs="arial"/>
          <w:color w:val="000000"/>
          <w:sz w:val="20"/>
          <w:lang w:val="en-US" w:eastAsia="en-US" w:bidi="ar-SA"/>
        </w:rPr>
        <w:t xml:space="preserve"> and R. v. Barrett, </w:t>
      </w:r>
      <w:hyperlink r:id="rId313" w:history="1">
        <w:r>
          <w:rPr>
            <w:rFonts w:ascii="arial" w:eastAsia="arial" w:hAnsi="arial" w:cs="arial"/>
            <w:i/>
            <w:color w:val="0077CC"/>
            <w:sz w:val="20"/>
            <w:u w:val="single"/>
            <w:shd w:val="clear" w:color="auto" w:fill="FFFFFF"/>
            <w:lang w:val="en-US" w:eastAsia="en-US" w:bidi="ar-SA"/>
          </w:rPr>
          <w:t>[1995] 1 S.C.R. 752</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96 C.C.C. (3d) 319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appellant says that the trial judge was clearly wrong in not finding any degree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respondent. It says that amounts to an error of law with "correctness" being the applicable standard of review for a trial judge to fail to consider a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or 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Hamel v. Westminster Quay Holdings Ltd. </w:t>
      </w:r>
      <w:hyperlink r:id="rId314" w:history="1">
        <w:r>
          <w:rPr>
            <w:rFonts w:ascii="arial" w:eastAsia="arial" w:hAnsi="arial" w:cs="arial"/>
            <w:i/>
            <w:color w:val="0077CC"/>
            <w:sz w:val="20"/>
            <w:u w:val="single"/>
            <w:shd w:val="clear" w:color="auto" w:fill="FFFFFF"/>
            <w:lang w:val="en-US" w:eastAsia="en-US" w:bidi="ar-SA"/>
          </w:rPr>
          <w:t>(1993), 27 B.C.A.C. 73</w:t>
        </w:r>
      </w:hyperlink>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[1993] B.C.J. No. 1190</w:t>
        </w:r>
      </w:hyperlink>
      <w:r>
        <w:rPr>
          <w:rFonts w:ascii="arial" w:eastAsia="arial" w:hAnsi="arial" w:cs="arial"/>
          <w:color w:val="000000"/>
          <w:sz w:val="20"/>
          <w:lang w:val="en-US" w:eastAsia="en-US" w:bidi="ar-SA"/>
        </w:rPr>
        <w:t xml:space="preserve">, the plaintiff stepped backwards off the top step of a loading dock and fell onto the tailgate of a truck. The Court of Appeal upheld the trial judge's finding of liability on the part of the defendant, but found that the trial judge had erred in law failing to consider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stating at [paragraphs] 10-13: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review of the reasons for judgment does not reveal any reference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It would appear that the trial judge failed to direct his attention to that aspect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Miss Hamel knew of the configuration of the stairwell, loading dock and the limited extent to which the rail on the left side of the stairwell provided protection from falling.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learned trial judge erred in law in failing to consider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failing to conclude that the plaintiff's failure to take care of her personal safety contributed to the accident in which she sustained serious injuries.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case at bar, the trial judge stated at [paragraph] 8 of the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overlooking, clearly bearing in mind that this lady had been in the store, been on an escalator before in those circumstances, but here Sears, through their own employee, recognized that this was a danger and he is the only one who testified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At trial, the central question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whether the respondent took care for her own safety by holding onto the handrail. In the reasons for judgment, the learned trial judge clearly accepted the respondent's evidence that she was holding onto the handrail, and rejected the evidence of the appellant's witness to the contrary ([paragraph] 21). Further, my review of the transcript of the proceedings at trial reveals the following exchange between appellant's counsel and the trial judge during the appellant's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ZASADA: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the alternative position, of course, would be that if Your Honour is inclined to find some amount of liability on the part of Sears that, at a very minimum, a heavy amount of contributory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should be found on the part of the claimant insofar as, again, she climbed the staircase, knew it was stopped, had used them before, tripped, the evidence as to whether or not she was holding the handrail or not, is in dispute, I guess. But there's some evidence, at least, that she wasn't holding the handrail. 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think there's any real issue with regard to that. I might as well tell you that now, in your submission. This lady was going up the stairs. She says she was holding on to it. I accept that evidence. Your witness said that she was looking over, at least, thirty feet away. Maybe having to look through the sister who was preceding this lady and says that she was standing in the middle, not holding on. Very simple, on that evidence to find that she was, in my view, in my opinion, holding on to the railing as she said she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Although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voluntary assumption of risk could have been dealt with in a more comprehensive fashion in the reasons for judgment, I am satisfied that the learned trial judge was alive to all the issues, considered and weighed all the evidence and made the necessary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find that the learned trial judge made errors of fact or law and I accordingly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My comments concerning the fact that the reasons for judgment could be more comprehensive is not to be taken as a criticism of the learned Provincial Court judge. This trial took a complete day, including argument and reasons for judgment. There were four witnesses that were called, lengthy submissions made and a well reasoned 14-page decision made within that one day period. To expect a Provincial Court judge in these circumstances to reserve and provide more comprehensive reasons is, in my respectful view, to expect too much. The Provincial Court would grind to a halt if more detailed reasons were required on every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Shooters Production Services Inc. v. Arnold Bros. Transport Ltd., [2003] B.C.J. No. 125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July 12 and 16,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S010818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Shooters Production Services Inc. and Shooters Broadcast Services Inc., plaintiffs, and Arnold Bros. Transport Ltd./Les Freres Arnold Transport ltée., Gurmukh S. Grewal, Thomas Oswald, Ray Waddingham and Robert Robertson,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2"/>
      <w:bookmarkEnd w:id="65"/>
      <w:r>
        <w:rPr>
          <w:rFonts w:ascii="arial" w:eastAsia="arial" w:hAnsi="arial" w:cs="arial"/>
          <w:b/>
          <w:color w:val="000000"/>
          <w:sz w:val="20"/>
          <w:lang w:val="en-US" w:eastAsia="en-US" w:bidi="ar-SA"/>
        </w:rPr>
        <w:t xml:space="preserve">Carriers — Carriage of goods — Contract of carriage — What constitutes — Bills of lading — Liability for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Extent of liability — Limitations, by contract — Whether limitation applies — Loss, defences — Insurance — Duty of shipper.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2"/>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Arnold Brothers Transport, for summary judgment to dismiss the action of Shooters Production Services. Shooters was a television production company. Arnold was a carrier. Shooters owned a mobile broadcast trailer that contained electronic, camera and broadcasting equipment attached to its interior. It contracted with Arnold to transport the trailer from Toronto to Burnaby, British Columbia. Arnold informed Shooters that it would have to obtain its own insurance since only a minimum of insurance would apply on Arnold's behalf. Arnold faxed a customer quotation to Shooters. It included a tariff that stated that Arnold provided insurance coverage to a maximum of $2 per pound. When the trailer was delivered, Arnold had Shooters sign a bill of lading. The bill of lading contained a statement that the conditions on the back were accepted by Shooters. Shooters signed the bill before it inspected the trailer. The trailer was badly damaged. Shooters denied liability based on the provisions of the quotation and the bill of lading. These provisions required Shooters to obtain sufficient insurance coverage and denied liability for loss or damage, regardless how it occurred. Arnold also argued that it was not liable because Shooters did not provide prompt notice of its loss. In the alternative, Arnold argued that if it was liable, its liability was limited to $24,000, which was $2 per pound computed on the total weight of the shipment.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7" w:name="Holdings of Court_2"/>
            <w:bookmarkEnd w:id="6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Arnold was not entitled to summary judgment. The bill of lading did not form part of the contract of carriage. It was not issued until the trailer was delivered. It could only form part of the contract if it had been provided when Arnold accepted the trailer for delivery. It was immaterial that the tariff referred to the bill of lading. The contract only consisted of the quotation and an attached tariff. The provision in the quotation that Shooters was responsible for insurance for the trailer and its contents was not a covenant to insure that exculpated Arnold from liability if it was found to be negligent. There was nothing in the tariff that relieved Arnold from liability. The notice and filing requirements for a claim in the bill of lading did not apply, as they did not form part of the contract. Arnold's liability could not be limited to $24,000, as none of the documents that formed the contract limited Arnold's financial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Legislation Cited"/>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7"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Regulations, </w:t>
      </w:r>
      <w:hyperlink r:id="rId322" w:history="1">
        <w:r>
          <w:rPr>
            <w:rFonts w:ascii="arial" w:eastAsia="arial" w:hAnsi="arial" w:cs="arial"/>
            <w:i/>
            <w:color w:val="0077CC"/>
            <w:sz w:val="20"/>
            <w:u w:val="single"/>
            <w:shd w:val="clear" w:color="auto" w:fill="FFFFFF"/>
            <w:lang w:val="en-US" w:eastAsia="en-US" w:bidi="ar-SA"/>
          </w:rPr>
          <w:t>B.C. Reg. 26/58, s. 37.39</w:t>
        </w:r>
      </w:hyperlink>
      <w:r>
        <w:rPr>
          <w:rFonts w:ascii="arial" w:eastAsia="arial" w:hAnsi="arial" w:cs="arial"/>
          <w:color w:val="000000"/>
          <w:sz w:val="20"/>
          <w:lang w:val="en-US" w:eastAsia="en-US" w:bidi="ar-SA"/>
        </w:rPr>
        <w:t>, 37.39(1), 37.41.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9" w:name="Counsel_11"/>
      <w:bookmarkEnd w:id="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 Wigmore, for the plaintiffs. V.R.K. Orchard and S.K. Padmanabhan,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11"/>
      <w:bookmarkEnd w:id="70"/>
      <w:r>
        <w:pict>
          <v:line id="_x0000_s1079"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DROST J."/>
            <w:bookmarkEnd w:id="71"/>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Shooters Production Services Inc., is a television production company based in Burnaby, British Columbia. It also has an office in Toronto, Ontario, which is operated by its co-plaintiff, Shooters Broadcast Services Inc. For convenience, I will refer to the plaintiffs, collectively, as "Shooters".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Arnold Bros. Transport Ltd./Les Freres Arnold Transport Ltee. ("Arnold Bros.") is a Manitoba company which is registered as an extra-provincial company in British Columbia. It carries on business as a common carrier for reward.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Shooters own a mobile broadcast trailer (the "Trailer") containing electronic, camera and broadcasting equipment mounted in or attached to its interior ("its contents"), which they use in the course of their business. They allege that, on or about March 7, 2000, they entered into a contract of carriage with Arnold Bros. whereby Arnold Bros. agreed to transport the Trailer from Toronto, Ontario, to their premises in Burnaby, British Columbia, and that it was an express or implied term of the agreement that Arnold Bros. would exercise reasonable care in the operation and use of the Trailer's air ride suspension system, and in transporting the Trailer and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Shooters allege that the defendants Grewal, Oswald, Waddington and Robertson are either employees of Arnold Bros., independent driver/contractors, or employees of an independent company with which Arnold Bros. contracted and that, as such, they had care, custody and control of the Trailer during the course of its delivery from Toronto, Ontario to Burnaby,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Shooters claim that in breach of the alleged agreement and their duties as bailees for reward, and/or by their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failed to exercise reasonable care in the transport of the Trailer, and did not deliver it and its contents to their Burnaby B.C. premises in the same good order and condition as received by them in Toronto, Ontario. Particulars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defendants' duties include: failure to operate the air ride system properly, or at all, and failure to take reasonable or proper precautions to avoid damage to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answer to Shooters' claims, Arnold Bros. says that any loss or damage to the Trailer and its contents (which is not admitted but denied) was not the result of any act or omission on its part or for which it is responsible at law, and that if Shooters suffered any such loss or damage, they negligently contributed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further answer to Shooters' claims, Arnold Bros. pleads and relies upon certain provisions of what it says was the agreement pursuant to which it undertook to transport the Trailer and its contents the terms of which, it says, are set out in a quotation letter accepted by Shooters on or about March 7, 2000 (the "Customer Quotation") and a Bill of Lading dated May 5, 2000 (the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particular, Arnold Bros. alleges that it was a term of the agreement that Shooters would obtain sufficient and adequate insurance coverage for any loss or damage they might have sustained while the Trailer and its contents were in the custody of Arnold Bros. or its agents, and that Shooters further agreed that Arnold Bros. would not be liable for any loss or damage to the Trailer and its contents, regardless of how the loss or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Arnold Bros. also alleges that Shooters did not comply with the terms of the agreement in that they failed to:</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prompt or any notice of the alleged loss;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written notice of the loss within sixty days or at all after the delivery of the Trailer and its contents;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final statement of their claim within nine months from the date of shipment,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that it is therefore not liable to Shooters for any loss or damage to the Trailer and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Finally, Arnold Bros. asserts that, if it is liable to the plaintiffs for any loss or damage, the extent of such liability is limited by the terms of the alleged Agreement or, alternatively, by s. 37.39 of the Motor Vehicle Act Regulations, to the sum of $24,000.00.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application was brought by Arnold Bros., pursuant to Rule 18A of the Rules of Court, for:</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action be dismissed on the grounds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consideration for Arnold Bros. agreeing to transport the Trailer and its contents, Shooters agreed to obtain sufficient and adequate insurance coverage for any loss or damage that they potentially might sustain while the Trailer and its contents were in the custody of Arnold Bros. or its agents, and that the plaintiffs further agreed that Arnold Bros. would not be liable to Shooters for any loss or damage occurring to the Trailer or its contents regardless of how the loss or damage was occasioned.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Shooters failed to provide prompt or any notice of the alleged loss, or that they failed to give written notice of the loss within sixty days or at all after the delivery of the Trailer and its contents and, further, that they failed to file a final statement of their claim within nine months from the date of the shipment, or at all.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 declaration that if Arnold Bros. is found liable for Shooters' claims, its liability is restricted to $2.00 per pound computed on the total weight of the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Shooters agreed that these issues are suitable for determination under the summary trial rules. Further, the parties agreed that the governing law is that of British Columbia and that, for the purposes of this application, I am not required to determine any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that arise from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Accordingly, I will say nothing further about Shooters' allegations concerning the cause of the damage to the Trailer and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early March, 2000, Tim Deaton, a broadcast engineer employed by Shooters, spoke to a representative of Arnold Bros. regarding the transport of the Trailer from Toronto to Burnaby. In an affidavit sworn March 22, 2002, Mr. Deaton acknowledged that he was at that time advised that insurance would need to be in place for the Trailer as only a minimum of insurance would apply on Arnold Bros.'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Pursuant to that conversation, Arnold Bros. faxed a letter entitled "Customer Quotation" to Shooters on March 7, 2000, in which the proposed charge for the shipment of "1 Towaway Mobile Broadcast Trailer", at a "Truckload Rate" of $4990.00 is set out, together with other terms of delivery,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 is responsible for insurance for the trailer and contents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Rates are subject to rules of ABT100 Accessorial Tariff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rate into effect please sign and Fax back to 204-257-2213.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Mr. Deaton deposed that the single page Customer Quotation was the only document he received from Arnold Bros. prior to transport of the Trailer, and that the ABT Accessorial Tariff (the "Tariff") was not attached to it, for the purposes of this application Shooters agree that the Tariff was sent to Mr. Deaton with the Customer Quotation.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Tariff contains the following provision: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 Valuation Charge: Arnold Bros. provides free cargo insurance coverage to a maximum of $2.00 per pound (Canadian funds) based on actual weight. Excess value declared on the Bill of Lading will be assessed a charge of 1% of the excess valuation amount (min. charge $5.00). Customer must advise us prior to pickup of any value being declared.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7, 2000, another Shooters employee, acting on Mr. Deaton's direction, signed the Customer Quotation and faxed a copy of it back to Arnold Bros.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Arnold Bros. picked up the Trailer in Toronto on May 5, 2000 and delivered it to Shooters' premises in Burnaby, B.C. on May 10, 2000, at which time Mr. Deaton was presented with and signed a Bill of Lading, the front page of which, in addition to the names and addresses of the "Shipper" and "Consignee" (both being Shooters), the date of shipment ("5/5/00"), and a description of the goods to be carried (the Trailer and its contents), contains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CAREFULLY CONDITIONS ON BACK HEREOF WHICH ARE HEREBY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Deaton's signature appears at the foot of the front page, immediately below that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in these reasons I will consider the effect of the Bill of Lading and the relevant conditions that are set out on its back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affidavit of March 22, 2002, Mr. Deaton deposed that he first saw the Bill of Lading when, after the Trailer had been delivered to Shooters' Burnaby premises on May 10, 2000, the truck driver produced it and asked him to sign it "to confirm receipt of the Trailer". Mr. Deaton went on to depose that he signed it before inspecting the interior of the Trailer and that when he later looked inside the Trailer he saw that it had been "severely jostled" and many items had been badly damaged. Mr. Deaton further deposed that he immediately notified Arnold Bros. of the damage and that, on May 11, 2000, an adjuster for Arnold Bros. arrived and took photographs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Shooters had never before used the services of Arnold Bros., and Mr. Deaton also deposed that when he arranged to have the Trailer moved from Toronto to Burnaby he did not know what a bill of lading was, and was not aware of the standard motor carrier terms and conditions or that motor carriers attempted to limit their liability for loss or damage according to the weight of cargo to be carried. He also deposed that, prior to the arrival of the Trailer at Shooters' Burnaby premises, he was not informed by Arnold Bros. that they would limit their liability to $2.00 per pound, or shown or advised of any terms of carriage other than those set out in the Customer Quotation.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Finally, Mr. Deaton deposed that, to the best of his knowledge, the Trailer and its contents weigh 12,000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this point, it is worth noting that, despite the fact that a copy of Mr. Deaton's affidavit was included in the Chambers Brief filed by Arnold Bros., it was not until its written reply submissions were filed, on July 12, 2000, that Mr. Deaton's testimony was challenged. In paragraph 9 of that submission it is asserted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Deaton's evidence...that he was 'asked to sign the [Bill of Lading] to confirm receipt of the trailer" is unreliable. The words "Note carefully conditions on back hereof which are accepted" appear conspicuously in capital letters just above the portion of the document where he has penned his signature. He must be taken to have read the conditions set out on the reverse side of the Bill of lading. It is significant that, in his affidavit, he does not say that he did not read those conditions. Accordingly, it must be assumed that he did read the conditions and accepted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paragraph 24 of its Reply, Arnold Bros. submitted that "recent developments, including statements made by Mr. Wigmore in his oral argument, render this matter unsuitable for disposition under Rule 18A, at least until steps such as full documentary disclosure, examinations for discovery and cross-examination on affidavits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agree. As noted, Arnold Bros. had full knowledge of Mr. Deaton's evidence before launching this application. It had ample opportunity to initiate discovery procedures or produce other evidence to challenge or contradict that of Mr. Deaton. In my view, it would not be unjust to proceed with the determination of the issues raised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Furthermore, I have been unable to find anything in Mr. Wigmore's submissions that would render this matter unsuitable for determination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Before considering the specific relief sought by Arnold Bros., there is a fundamental issue to be determined, namely, what are the terms of the contract of 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Shooters submit that its terms are contained in the document entitled "Customer Quotation" which was prepared by Arnold Bros. and signed on Shooters' behalf on March 7, 2000, as well as the Tariff attached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Arnold Bros., on the other hand, takes the position that because in Clause 7 of the Tariff there is reference to "the Bill of Lading", it was or should have been clear to Mr. Deaton that the terms of carriage would also include those set out in the Bill of Lading, including the limitation of Arnold Bros.' maximum liability in the event of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Clause 7 of the Tariff reads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 Valuation Charge: Arnold Bros. provides free cargo insurance coverage to a maximum of $2.00 per pound (Canadian funds) based on actual weight. Excess value declared on the Bill of Lading will be assessed a charge of 1% of the excess valuation amount (min. charge $5.00). Customer must advise us prior to pickup of any value being declared.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limitation provisions on which Arnold Bros. seeks to rely are set out in Articles 9 and 10 of the Specified Conditions which appear on the back of the Bill of Lading and which read as follows: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Valuation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article 10, the amount of any loss or damage for which the carrier is liable, whether or not the loss or damage results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shall be computed on the basis of:</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goods at the place and time of shipment including the freight and other charges it paid;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value lower than that referred to in paragraph (a) has been represented in writing by the consignor or has been agreed upon, such lower value shall be the maximum liability.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Maximum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amount of any loss or damage computed under paragraph (a) or (b) of article 9, shall not exceed $2.00 per pound or $.41 per kilogram (computed on the total weight of the shipment) unless a higher value is declared on the face of the Bill of Lading by the consignor.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Arnold Bros. submission raises the critical issue of whether the Bill of Lading forms part of the contract of carriage entered into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the answer is found in B.C. Regulation 26/58, issued under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37.39 of that Regulation requires that a bill of lading be issued in accordance with certain specific requirements, one of which is that it must be issued by the carrier, and signed by the carrier and the shipper at the time the freight is accepted for shipment by the carrier, and s. 37.41 provides that each bill of lading must be signed by both the shipper and the carrier as being a correct itemized list of goods in the shipment and as an acceptance of all terms and conditions contained in the bill of lading. (emphasis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the Bill of Lading was not issued (in the sense that it was not presented to Shooters for signature) until the Trailer and its contents had actually been delivered to its Burnaby premises, whereas s. 37.39(1) of Reg. 26/58 stipulates that a carrier in the position of Arnold Bros. who accepts freight for shipment must, at the time of that acceptance, issue or cause to be issued a bill of lading in accordance with specific requirements, including the incorporation of the Specified Conditions of 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Arnold Bros. Transport Ltd. V. Western Greenhouse Growers' Co-op Assn. </w:t>
      </w:r>
      <w:hyperlink r:id="rId323" w:history="1">
        <w:r>
          <w:rPr>
            <w:rFonts w:ascii="arial" w:eastAsia="arial" w:hAnsi="arial" w:cs="arial"/>
            <w:i/>
            <w:color w:val="0077CC"/>
            <w:sz w:val="20"/>
            <w:u w:val="single"/>
            <w:shd w:val="clear" w:color="auto" w:fill="FFFFFF"/>
            <w:lang w:val="en-US" w:eastAsia="en-US" w:bidi="ar-SA"/>
          </w:rPr>
          <w:t>(1992), 69 B.C.L.R. (2d) 108</w:t>
        </w:r>
      </w:hyperlink>
      <w:r>
        <w:rPr>
          <w:rFonts w:ascii="arial" w:eastAsia="arial" w:hAnsi="arial" w:cs="arial"/>
          <w:color w:val="000000"/>
          <w:sz w:val="20"/>
          <w:lang w:val="en-US" w:eastAsia="en-US" w:bidi="ar-SA"/>
        </w:rPr>
        <w:t>, the Court of Appeal considered the effect of a carrier's failure to issue a bill of lading as required by s. 9.21 of the regulations issued pursuant to the Motor Carrier Act, R.S.B.C. 1979, c. 286 (now s. 37.39 of Reg. 26/58) and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plaintiff did not issue a bill of lading as it was required to do by s. 9.21 of the regulations. Such an obligation is imposed to clearly establish the liabilities and obligations between the parties prior to shipment and it would be inappropriate for the plaintiff now to be allowed to rely upon the benefits of those conditions without first having issued a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Valmet Paper Machinery Inc. v. Hapag-Lloyd AG, </w:t>
      </w:r>
      <w:hyperlink r:id="rId324" w:history="1">
        <w:r>
          <w:rPr>
            <w:rFonts w:ascii="arial" w:eastAsia="arial" w:hAnsi="arial" w:cs="arial"/>
            <w:i/>
            <w:color w:val="0077CC"/>
            <w:sz w:val="20"/>
            <w:u w:val="single"/>
            <w:shd w:val="clear" w:color="auto" w:fill="FFFFFF"/>
            <w:lang w:val="en-US" w:eastAsia="en-US" w:bidi="ar-SA"/>
          </w:rPr>
          <w:t>[2002] B.C.J. No. 1271</w:t>
        </w:r>
      </w:hyperlink>
      <w:r>
        <w:rPr>
          <w:rFonts w:ascii="arial" w:eastAsia="arial" w:hAnsi="arial" w:cs="arial"/>
          <w:color w:val="000000"/>
          <w:sz w:val="20"/>
          <w:lang w:val="en-US" w:eastAsia="en-US" w:bidi="ar-SA"/>
        </w:rPr>
        <w:t xml:space="preserve"> (S.C.), the plaintiffs, who were manufacturers of papermaking machinery, had shipped a piece of equipment from Helsinki, Finland, to Port Alberni, British Columbia. Ten kilometres short of its destination the equipment fell off the tractor-trailer unit on which it was being carried and was hit by a fully loaded logging truck. It was totally destroyed, and the plaintiffs sued to recover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sought to limit their liability on the basis of either the provisions of a bill of lading, the provisions of the Motor Carrier Act, or the generally accepted conditions of carriage in the trucking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Groberman J. found that it was the practice of the carrier not to deliver the bill of lading to the shipper but, instead, to use it as a receipt and provide it to the consignee upon delivery. He held that in those circumstances, because its provisions were not agreed to by the parties and were only disclosed to the shipper and consignee after delivery, the bill of lading could not be characterized as a contract of 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see no difference between a total failure to issue a bill of lading and a failure to issue one on the date the goods are accepted for shipment - in this case, May 5, 2000. Accordingly, I find that as the Bill of Lading was not signed at the time the Trailer and its contents were accepted for shipment its terms are not part of the contract of carriage between Shooters and Arnold Bros. For that, one must look only to the Customer Quotation and the attached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Should the action be dismissed on the ground that Shooters agreed to obtain their own insurance coverage for any loss or damage occasioned to the Trailer and its contents while in transit, and further agreed that Arnold Bros. would not be liable to them for any loss or damage to the Trailer or its contents regardless of how that loss or damage was occasioned?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Arnold Bros. argues that there was a commercial arrangement between the parties whereby Shooters agreed to obtain its own insurance, and did so, thereby evidencing its understanding that it was bearing the risk of any loss or damage to the Trailer and its contents. It submits that because the Customer Quotation (which it refers to as the "key document") provides, in part, that the "Customer is responsible for insurance for the trailer and contents", it follows that the parties "clearly contemplated" that in the event of loss or damage to the Trailer or the contents Arnold Bros. would be held harmless and Shooters would have to rely on its own insurer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Arnold Bros. further submits that "the freight rate was set bearing these factors in mind", and that "there is little doubt that the freight rate would have been much higher to compensate Arnold Bros. for the additional risks that it would be assuming" if it were otherwise. That may be the case, but as I have been unable to find any evidence to support that submission I will give it no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Shooters say that nothing in the Customer Quotation or the Tariff allows Arnold Bros. to limit its liability in the manner it alleges. They submit that the provision in the Customer Quotation that the "Customer is responsible for insurance for the trailer and contents" has nothing to do with a limitation of liability, and that nothing in that document or the attached Accessorial Tariff imposed on them a positive obligation to insure the Trailer and its contents. They say that just because they were to be "responsible" for insuring the Trailer and its contents", it does not follow that they were obliged to obtain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Counsel referred to several authorities, including the decisions of the Supreme Court of Canada in Agnew-Surpass Shoe Stores Ltd. V. Cummer-Younge Investments Ltd. </w:t>
      </w:r>
      <w:hyperlink r:id="rId325" w:history="1">
        <w:r>
          <w:rPr>
            <w:rFonts w:ascii="arial" w:eastAsia="arial" w:hAnsi="arial" w:cs="arial"/>
            <w:i/>
            <w:color w:val="0077CC"/>
            <w:sz w:val="20"/>
            <w:u w:val="single"/>
            <w:shd w:val="clear" w:color="auto" w:fill="FFFFFF"/>
            <w:lang w:val="en-US" w:eastAsia="en-US" w:bidi="ar-SA"/>
          </w:rPr>
          <w:t>(1975), 55 D.L.R. (3d) 676</w:t>
        </w:r>
      </w:hyperlink>
      <w:r>
        <w:rPr>
          <w:rFonts w:ascii="arial" w:eastAsia="arial" w:hAnsi="arial" w:cs="arial"/>
          <w:color w:val="000000"/>
          <w:sz w:val="20"/>
          <w:lang w:val="en-US" w:eastAsia="en-US" w:bidi="ar-SA"/>
        </w:rPr>
        <w:t xml:space="preserve"> (S.C.C.) and T. Eaton Co. v. Smith </w:t>
      </w:r>
      <w:hyperlink r:id="rId326" w:history="1">
        <w:r>
          <w:rPr>
            <w:rFonts w:ascii="arial" w:eastAsia="arial" w:hAnsi="arial" w:cs="arial"/>
            <w:i/>
            <w:color w:val="0077CC"/>
            <w:sz w:val="20"/>
            <w:u w:val="single"/>
            <w:shd w:val="clear" w:color="auto" w:fill="FFFFFF"/>
            <w:lang w:val="en-US" w:eastAsia="en-US" w:bidi="ar-SA"/>
          </w:rPr>
          <w:t>(1977), 92 D.L.R. (3d) 425</w:t>
        </w:r>
      </w:hyperlink>
      <w:r>
        <w:rPr>
          <w:rFonts w:ascii="arial" w:eastAsia="arial" w:hAnsi="arial" w:cs="arial"/>
          <w:color w:val="000000"/>
          <w:sz w:val="20"/>
          <w:lang w:val="en-US" w:eastAsia="en-US" w:bidi="ar-SA"/>
        </w:rPr>
        <w:t xml:space="preserve"> (S.C.C.), in which the relationship between the parties was that of landlord and tenant and the issue was whether, under the terms of the lease agreements, a fire insurance policy taken out by the landlord provided indemnity to the tenant from damage or loss resulting from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Agnew-Surpass it was held that the tenant's obligation to repair was subject to an exculpatory clause in the lease whereby it was relieved from liability for damage to the landlord's building. The lease agreement contained a covenant on the part of the landlord to insure building "...against all risk of loss or damage caused by or resulting from fire, lightning or tempest or any additional peril defined in a standard fire insurance additional perils supplemental contract." In another clause dealing with the tenant's obligation to pay for water, janitor service and the like, the words "insurance covering all its obligations to repair" had been stroked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landlord admitted that it had assumed an obligation to insure both its own and the tenant's interest against loss by fire, but contended that it had not covenanted to insure for the benefit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Chief Justice Laskin, with whom (on this point) the majority agreed,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significant about the lease in this case is that nowhere in it is there found the usual tenant's repairing covenant.... Instead, the lease...requires the tenant to take good and proper care, and make needed repairs and replacements, except for reasonable wear and tear and damage to the building caused by perils against which the lessor is obliged to insure; and again...the tenant must repair according to notice, and surrender the premises in the required condition of maintenance, except for reasonable wear and tear subject to the insurance provisions of the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connection between these matters and the lessor's insurance obligations...are very clear... There is an express undertaking by the lessor to the lessee to insure the shopping centre, including the building which embraces the leased premises, an undertaking explicitly directed to all risk of loss or damage by fire (the emphasis is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all the foregoing provisions of the lease are read together, they force the conclusion that the lessee is to have the benefit of fire insurance to be affected by the lessor in respect of loss or damage resulting from the lessee's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then held that the tenant was thereby exonerated from liability for the loss resulting from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Similarly, in T. Eaton Co. v. Smith, the leases in question contained covenants by the landlords to insure the property against fire damage. Chief Justice Laskin, again writing for the majority,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Had the landlord insured without giving a covenant to that effect in the lease, the tenant's risk of liability for fire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unquestionable; and if the landlord collected from his insurer, the latter would have an equally unquestionable right of recovery from the tenant in a subrogated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as stated in the headnote to the reported decision, the majority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effect of the insurance obligation was to entitle the tenant to protection against the risk of loss by fire caused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this notwithstanding the repairing covenants which, if they had stood alone, would have saddled the tenant with liability for losses from such fires.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Leung v. Takatsu, </w:t>
      </w:r>
      <w:hyperlink r:id="rId327" w:history="1">
        <w:r>
          <w:rPr>
            <w:rFonts w:ascii="arial" w:eastAsia="arial" w:hAnsi="arial" w:cs="arial"/>
            <w:i/>
            <w:color w:val="0077CC"/>
            <w:sz w:val="20"/>
            <w:u w:val="single"/>
            <w:shd w:val="clear" w:color="auto" w:fill="FFFFFF"/>
            <w:lang w:val="en-US" w:eastAsia="en-US" w:bidi="ar-SA"/>
          </w:rPr>
          <w:t>[1980] B.C.J. No. 1350</w:t>
        </w:r>
      </w:hyperlink>
      <w:r>
        <w:rPr>
          <w:rFonts w:ascii="arial" w:eastAsia="arial" w:hAnsi="arial" w:cs="arial"/>
          <w:color w:val="000000"/>
          <w:sz w:val="20"/>
          <w:lang w:val="en-US" w:eastAsia="en-US" w:bidi="ar-SA"/>
        </w:rPr>
        <w:t>, a decision of the British Columbia Court of Appeal, the issue was whether a landlord's covenant "to pay property taxes and building insurance" constituted a covenant to insure in such a manner as to exculpate the tenant from fire liability. The trial judge held that it did. However, on appeal, Carrothers J.A., for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circumstances of the lease...as distinct from the circumstances in the authorities cited to us, including the case of the T. Eaton Co. v. Smith, </w:t>
      </w:r>
      <w:hyperlink r:id="rId326" w:history="1">
        <w:r>
          <w:rPr>
            <w:rFonts w:ascii="arial" w:eastAsia="arial" w:hAnsi="arial" w:cs="arial"/>
            <w:i/>
            <w:color w:val="0077CC"/>
            <w:sz w:val="20"/>
            <w:u w:val="single"/>
            <w:shd w:val="clear" w:color="auto" w:fill="FFFFFF"/>
            <w:lang w:val="en-US" w:eastAsia="en-US" w:bidi="ar-SA"/>
          </w:rPr>
          <w:t>[1978] 2 S.C.R. 749</w:t>
        </w:r>
      </w:hyperlink>
      <w:r>
        <w:rPr>
          <w:rFonts w:ascii="arial" w:eastAsia="arial" w:hAnsi="arial" w:cs="arial"/>
          <w:color w:val="000000"/>
          <w:sz w:val="20"/>
          <w:lang w:val="en-US" w:eastAsia="en-US" w:bidi="ar-SA"/>
        </w:rPr>
        <w:t>, relied upon by the trial judge, do not persuade me that the extended meaning of the wording in question was intended by the parties to be the covenant to insure as claimed; that is, a covenant to insure in such a manner as to exculpate both the tenant and the wife from fire liability. I would give the wording its ordinary and plain meaning, which I would not extend to include a covenant on the part of the owner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Ruge v. Kennedy, </w:t>
      </w:r>
      <w:hyperlink r:id="rId328" w:history="1">
        <w:r>
          <w:rPr>
            <w:rFonts w:ascii="arial" w:eastAsia="arial" w:hAnsi="arial" w:cs="arial"/>
            <w:i/>
            <w:color w:val="0077CC"/>
            <w:sz w:val="20"/>
            <w:u w:val="single"/>
            <w:shd w:val="clear" w:color="auto" w:fill="FFFFFF"/>
            <w:lang w:val="en-US" w:eastAsia="en-US" w:bidi="ar-SA"/>
          </w:rPr>
          <w:t>[1991] B.C.J. No. 230</w:t>
        </w:r>
      </w:hyperlink>
      <w:r>
        <w:rPr>
          <w:rFonts w:ascii="arial" w:eastAsia="arial" w:hAnsi="arial" w:cs="arial"/>
          <w:color w:val="000000"/>
          <w:sz w:val="20"/>
          <w:lang w:val="en-US" w:eastAsia="en-US" w:bidi="ar-SA"/>
        </w:rPr>
        <w:t>, a decision of this court, the issue was whether a clause providing that the owner/landlord of a mobile home was to "pay all mobile home insurance and property taxes" amounted to a covenant to insure and, as a result precluded the owner/landlord from recovery from the defendant in the event that the defendant was found negligent in starting the fire which damaged the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Relying on the Court of Appeal's decision in Leung et al v. Takatsu, Melvin J. held that, unlike the case of T. Eaton Co., where there was a clear and express covenant on the part of the landlord to insure against loss by fire, the covenant to "pay all mobile home insurance" was not a covenant to insure "in such a manner as to exculpate the tenant"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Applying that reasoning to the facts in the case at bar, I find that the provision in the Customer Quotation that the "Customer is responsible for insurance for the trailer and contents" is not a covenant to insure such as would exculpate Arnold Bros. from liability should it be found negligent as to the manner in which the Trailer and its contents were transported.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also find that there is nothing in the Tariff which would relieve Arnold Bros.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those reasons I find that the application for an order dismissing the action on the ground that Shooters agreed to obtain their own insurance coverage for any loss or damage to the Trailer and its contents while in transit, and that Arnold Bros. would be held harmless,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Should the action should be dismissed on the grounds that Shooters failed to file a final statement of its claim within nine (9) months of the date of shipment as required by clause 12 (b) of the conditions set out on the reverse side of the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already given my reasons for holding that the terms of the Bill of Lading, including the Conditions of Carriage set out on the reverse side thereof, do not form part of the contract of carriage entered into by the parties. However, in case I am wrong in that regard, the following are my conclusions with respect to this second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Clauses 1 and 12 of the Conditions of Carriage read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Carrier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carrier of the goods herein described is liable for any loss of or damage to goods accepted by him or his agent except as hereinafter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Claim</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carrier is liable for loss, damage or delay to any good carried under the Bill of Lading unless notice thereof setting out particulars of the origin, destination and date of shipment of the goods and the estimated amount claimed in respect of such loss, damage or delay is given in writing to the origination carrier or the delivering carrier within sixty (60) days after the delivery of the goods, or, in the case of failure to make delivery, within nine (9) months from the date of shipment.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final statement of the claim must be filed within nine (9) months from the date of the shipment together with a copy of the paid freight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Clauses 12(a) and 12(b) mirror the provisions of Articles 12a. and 12b. of the Specified Conditions of Carriage which must be contained in, or incorporated by reference into, a bill of lading issued by a carrier in accordance with s. 37.39 of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p. 110 of the third edition of Motor Carrier Cargo Claims, the author, John S. McNeil, Q.C., explains the purpose of such notice provisions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fear of the carrier is that want of notice is a frail defence and the court will perceive it to be a defence based on a technicality. This should not be so. The liability of the carrier at common law is so onerous that, it is submitted, that courts should have no hesitation in upholding a defence of want of notice. The notice provision is a protection afforded the carrier to ensure that he is given prompt notice of an intended claim so as to allow him a fair opportunity to develop any defence with in a reasonable time to what is almost strict liability, and is also a provision designed to afford the carrier some degree of certainty, to permit him to run his affairs with the knowledge that at or after certain points of time, he can close his books with respect to past shipments. It is a defence afforded the carrier by legislative process and must thus be taken as a matter of public policy, to have public support, and least of all should it be recognized as being a technical matter. Indeed, there is abundant authority for the proposition that failure to give notice has been fatal to the claim. Nor has the absence of prejudice to the carrier, arising from want of notice, been seen in the past to afford any excuse for compliance with the terms of the bargain that the parties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At p. 112, the learned author referred to the decision of the Ontario Court of Appeal in Newman v. Grand Trunk Railway Co. </w:t>
      </w:r>
      <w:hyperlink r:id="rId329" w:history="1">
        <w:r>
          <w:rPr>
            <w:rFonts w:ascii="arial" w:eastAsia="arial" w:hAnsi="arial" w:cs="arial"/>
            <w:i/>
            <w:color w:val="0077CC"/>
            <w:sz w:val="20"/>
            <w:u w:val="single"/>
            <w:shd w:val="clear" w:color="auto" w:fill="FFFFFF"/>
            <w:lang w:val="en-US" w:eastAsia="en-US" w:bidi="ar-SA"/>
          </w:rPr>
          <w:t>(1910), 21 O.L.R. 72</w:t>
        </w:r>
      </w:hyperlink>
      <w:r>
        <w:rPr>
          <w:rFonts w:ascii="arial" w:eastAsia="arial" w:hAnsi="arial" w:cs="arial"/>
          <w:color w:val="000000"/>
          <w:sz w:val="20"/>
          <w:lang w:val="en-US" w:eastAsia="en-US" w:bidi="ar-SA"/>
        </w:rPr>
        <w:t xml:space="preserve">, where, although the carrier was in no way prejudiced by the claimant's failure to deliver notice of its claim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carrier had been established, the action against the carrier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my reading of both the extract from Mr. McNeil's textbook and the Newman decision leads me to conclude that they relate to Article 12a of the Specified Conditions of Carriage and Clause 12(a) of terms set out in the Bill of Lading, and not to Article 12b or Clause 12(b).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any event, Newman was decided in 1910, and in my view was superseded by the decision of the Supreme Court of Canada in CNR v. Canadian Industries Ltd., </w:t>
      </w:r>
      <w:hyperlink r:id="rId330" w:history="1">
        <w:r>
          <w:rPr>
            <w:rFonts w:ascii="arial" w:eastAsia="arial" w:hAnsi="arial" w:cs="arial"/>
            <w:i/>
            <w:color w:val="0077CC"/>
            <w:sz w:val="20"/>
            <w:u w:val="single"/>
            <w:shd w:val="clear" w:color="auto" w:fill="FFFFFF"/>
            <w:lang w:val="en-US" w:eastAsia="en-US" w:bidi="ar-SA"/>
          </w:rPr>
          <w:t>[1941] S.C.R. 591</w:t>
        </w:r>
      </w:hyperlink>
      <w:r>
        <w:rPr>
          <w:rFonts w:ascii="arial" w:eastAsia="arial" w:hAnsi="arial" w:cs="arial"/>
          <w:color w:val="000000"/>
          <w:sz w:val="20"/>
          <w:lang w:val="en-US" w:eastAsia="en-US" w:bidi="ar-SA"/>
        </w:rPr>
        <w:t>. In that case it was held that, as the plaintiff had given notice of damage to its goods and of intention to make a claim, the purpose for which a notice provision was included in a bill of lading had been fulfilled, and that a formal notice could not possibly have resulted in anything further being done by the carrier.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That, in my view, is the situation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 series of letters, the first of which was dated May 19, 2000, insurance adjusters representing Shooters' insurers, informed Arnold Bros. and its insurer's adjuster that a claim would be made with respect to the damage to the Trailer and its contents during its transport from Toronto to Burnaby, that the damage was substantial, and that Shooters' insurers intended to seek full recovery. Finally, in a letter to Arnold Bros. dated September 14, 2000, Shooters' adjuster stated,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various items of correspondence forwarded to your company and Insurers and upon advice of our Principals' lawyers we attach copy of your Bill of Lading detailing place of origin, destination, date of shipment as formal notice of intent to claim as required under the Motor Carrier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advise that claimed amount is currently being settled in the amount of $293,563.47.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February 9, 2001, Shooters' solicitors wrote to Arnold Bros. and its insurers advising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Writ of Summons and Statement of claim was filed in the Supreme Court of British Columbia on February 9, 2001. We will serve filed copies of these documents upon Arnold Bros. in due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enclose documents setting out Shooters' final Statement of Claim in the amount of $296,063.47, plus survey fees, expenses and prejudgment interest. We also enclose a copy of the freight bill relating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Arnold Bros. concedes that conditions of Clause 12(a) were complied with but maintains that, because the date of shipment - that date the Trailer and its contents left Toronto - was May 5, 2000, the final statement of claim was out of time. Furthermore, it says the notice given in the letter of February 9, 2001 was defective in that, notwithstanding the enclosure of a copy of the freight bill, a copy of the paid freight bill was not attached. In fact, the freight bill was not paid until April 19, 2000, more than 11 months after the date of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the requirements of s. 12b and clause 12(b) were substantially complied with, and that Arnold Bros. suffered no prejudice by reason of Shooters failure to deliver a final statement of claim before February 9, 2001. Arnold Bros. had timely and explicit notice of the claimed loss and the intention of Shooters' insurer to proceed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find, too, that the failure to include a paid freight bill with the documents attached to the letter of February 9, 2001, has no bearing on the reasonableness of the notice given to Arnold Bros. As our Court of Appeal held in Lentia Manufacturing Ltd. V. Inter-City truck Lines (Canada) Ltd. </w:t>
      </w:r>
      <w:hyperlink r:id="rId331" w:history="1">
        <w:r>
          <w:rPr>
            <w:rFonts w:ascii="arial" w:eastAsia="arial" w:hAnsi="arial" w:cs="arial"/>
            <w:i/>
            <w:color w:val="0077CC"/>
            <w:sz w:val="20"/>
            <w:u w:val="single"/>
            <w:shd w:val="clear" w:color="auto" w:fill="FFFFFF"/>
            <w:lang w:val="en-US" w:eastAsia="en-US" w:bidi="ar-SA"/>
          </w:rPr>
          <w:t>[1990] B.C.J. No. 736</w:t>
        </w:r>
      </w:hyperlink>
      <w:r>
        <w:rPr>
          <w:rFonts w:ascii="arial" w:eastAsia="arial" w:hAnsi="arial" w:cs="arial"/>
          <w:color w:val="000000"/>
          <w:sz w:val="20"/>
          <w:lang w:val="en-US" w:eastAsia="en-US" w:bidi="ar-SA"/>
        </w:rPr>
        <w:t>, failure to pay freight charges is not a condition precedent to bringing an action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conclusion, I think it is clear that the legislature did not intend the phrase "final statement of claim" in s. 12b to mean a Statement of Claim filed in this or any other court. So far as the law of this province is concerned, that time requirement is governed by the provisions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those reasons I dismiss the defendant's application for an order dismissed this action on the ground that Shooters failed to file a final statement of its claim within nine (9) months of the date of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now turn to the third and final issue, that is whether a Declaration should be granted that the maximum liability provisions (clause 10) of the Bill of Lading and/or Clause 7 of the Tariff, or alternatively, section 37.39 of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limit Shooters' recovery to a maximum of $24,000.00 (assuming that liability on the part of Arnold Bros. is proved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stated earlier, the total weight of the shipment was 12,000 pounds. As the basis for its submission that its liability can be no more than $24,000.00, Arnold Bros. relies on:</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7 of the Accessory Tariff;</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10 of the Bill of Lading;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Article 10 of s. 37.39 of the Motor Vehicle Act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opinion, none of these provisions have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noted above, Clause 7 of the Accessory Tariff provides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 Valuation Charge: Arnold Bros. provides free cargo insurance coverage based on actual weight. Excess value declared on the Bill of Lading will be assessed a charge of 1% of the excess valuation amount (min charge $5.00). Customer must advise us prior to pickup of any value being declared.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Nothing in that provision limits the amount of Arnold Bros. financial liability should it be found liable to Shooters.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Articles 9 and 10 of the Specified Conditions of Carriage set out in s. 37.39 of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Article 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Subject to Article 10, the amount of any loss or damage for which the carrier is liable, whether or not such loss arises from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is to be computed on the basis of the value of the goods at the place and time of shipment (including the freight and other charges if paid and the duty if paid or payable and not refundable) unless a lower value has been represented in writing by the consignor or has been agreed on between the parties to this bill of lading, or is determined by the classification or tariff on which the rate is based, in any of which events such lower value is the amount that governs the computation of the maximum liability of the carrier.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Article 10: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amount of any loss or damage computed under Article 9 must not exceed $2 per pound ($4.41 per kilogram), computed on the total weight of the shipment unless a higher value is declared on the face of the bill of lading by the consignor.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Those two Articles are repeated, virtually word-for-word, in Clauses 9 and 10 of the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authority upon which Arnold Bros. places the greatest reliance is the decision of this court in JWI Jewellery World International Ltd. V. Jarret Quinn Jewellers Ltd. </w:t>
      </w:r>
      <w:hyperlink r:id="rId332" w:history="1">
        <w:r>
          <w:rPr>
            <w:rFonts w:ascii="arial" w:eastAsia="arial" w:hAnsi="arial" w:cs="arial"/>
            <w:i/>
            <w:color w:val="0077CC"/>
            <w:sz w:val="20"/>
            <w:u w:val="single"/>
            <w:shd w:val="clear" w:color="auto" w:fill="FFFFFF"/>
            <w:lang w:val="en-US" w:eastAsia="en-US" w:bidi="ar-SA"/>
          </w:rPr>
          <w:t>(1989), 42 B.C.L.R. (2d) 163</w:t>
        </w:r>
      </w:hyperlink>
      <w:r>
        <w:rPr>
          <w:rFonts w:ascii="arial" w:eastAsia="arial" w:hAnsi="arial" w:cs="arial"/>
          <w:color w:val="000000"/>
          <w:sz w:val="20"/>
          <w:lang w:val="en-US" w:eastAsia="en-US" w:bidi="ar-SA"/>
        </w:rPr>
        <w:t>. In that case, a carrier who delivered a package of jewellery found no one at the jeweller's premises, so he left the package outside the door. It subsequently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issue in that case was whether the $2 per pound limitation provisions set out in s. 9.21 of the then applicable regulations (now s. 37.39) applied so as to limit the carrier's liability. Hood J. concluded that the conditions set out in the regulations would be, in effect, incorporated into a bill of lading even though they were not expressly stated therein, and that the limitation therefore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However, I find it significant that in Arnold Bros. Transport Ltd. V. Western Greenhouse Grower's Co-op Assn. (supra), the Court of Appeal expressly stated that it found it unnecessary to decide whether the statement of law in JWI Jewellery World was correct, because the reasons given by Hood J. were based on the premise that a bill of lading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already given my reasons for concluding that, because the Bill of Lading was not presented to Shooters until May 10, 2000, its terms do not form part of the contract of carriage and do not apply to relieve Arnold Bros. from liability. For the same reasons I find that neither Article 10 of s. 37.39 nor Clause 10 of the Bill of Lading apply to limit the amount of any loss or damage for which Arnold Bros. might be found liable should Shooters' action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Accordingly, I dismiss Arnold Bros.' application for a Declaration that, assuming its liability is established at trial, its maximum liability is the sum of $24,000.00.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shall have the costs of this application at Scale 3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Wang v. Johal, [2019] B.C.J. No. 1197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6-10, 13-15,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M169099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1197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2019 BCSC 1036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Cui Lan Wang, Plaintiff, and Ashaan Johal and Selina Johal,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jc w:val="both"/>
        <w:rPr>
          <w:rFonts w:ascii="arial" w:eastAsia="arial" w:hAnsi="arial" w:cs="arial"/>
          <w:sz w:val="20"/>
          <w:lang w:val="en-US" w:eastAsia="en-US" w:bidi="ar-SA"/>
        </w:rPr>
      </w:pPr>
      <w:bookmarkStart w:id="72" w:name="Counsel_12"/>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Kuntze, B.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du Plessis, G. Law.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12"/>
      <w:bookmarkEnd w:id="73"/>
      <w:r>
        <w:pict>
          <v:line id="_x0000_s1082"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 AND POST MVA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 ACCIDENT HEALTH - LAY WITNESS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Jing Wang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Yu Ming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 ACCIDENT HEALTH -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Sze Wai Helen Gan - Family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Zeeshan Waseem - Physiatrist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Hiram Mok - Psychiatrist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Marc Boyle -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Conclusion on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Costs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Rehabilitation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Household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Pain Management Aids and Positional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A.P.A. MAYER J._0"/>
            <w:bookmarkEnd w:id="74"/>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 2014, the plaintiff Cui Lan Wang ("Ms. Wang") was injured when a vehicle travelling through the uncontrolled intersection at St. Albans and Bennett Roads in Richmond, BC, turned left, striking the left side of her body and knocking her from her bicycle onto the pavement (the "Accident"). The vehicle was being driven by the defendant Ashaan Johal and was owned by the defendant Selina Johal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has been admitted by the defendants. The parties dispute the nature, severity and long-term impact of the injuries sustained by Ms. Wang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Wang claims that she sustained soft tissue injuries and a laceration to her left foot and that she continues to suffer symptoms resulting from those injuries including chronic lower back, tailbone, leg and hip pain, chronic headaches and a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concede that Ms. Wang sustained soft tissue injuries in the Accident but say that she has not shown that all of her alleged current symptoms, including chronic headaches, tailbone pain and major depression, result from the Accident. As a result, the issues for determination include the nature and extent of the injuries caused by the Accident and the resulting assessment of general damages, past wage loss and loss of future earning capacity and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have agreed on special damages in the amount of $10,873.80 and I award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Wang was 56 years old at the time of the Accident and is now 61. She was born in Tianjin,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Ms. Wang graduated from high school in China, she had a number of jobs involving physical labour including working as a farm labourer, factory worker, cook, cleaner and supermarket salesperson. She has not completed any post-secondary education and does not hold any trades-related certifications. She speaks Mandarin and can read and write in the Chinese language but speaks very little English. She provided her testimony at trial through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Wang married her first husband Yuming Liu in 1984. They divorced in 1996 and Ms. Wang married Mr. Mi in 2000. In June 2007, Ms. Wang and Mr. Mi immigrated to Canada and settled in Richmond,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moving to Canada, Ms. Wang continued to work in jobs that were physical in nature. These included first working as a labourer on a mushroom farm, later as a cleaner at a dormitory for China Air employees and working with Mr. Mi, who was better able to communicate in English, as a caretaker at the townhouse complex where they lived. In 2008, Ms. Wang took a job with a company hired to clean at a T &amp; T Supermarket bakery in Richmond. She took a job in 2011 working on food preparation in the T &amp;T Supermarket bakery.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Wang worked mornings and early afternoons as a baker and afternoons and early evenings as a cleaner, five or six days per week, approximately 12 to 14 hours per day in total. She was working as a cleaner and baker at the T &amp; T Supermarket right up to the date of the Accident and other than a brief, unsuccessful attempt to return to work,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2012, Ms. Wang and Mr. Mi divorced and in 2014, Ms. Wang remarried her first husband, Mr. Liu. She spent approximately six months in China living with Mr. Liu before she returned to Canada. Mr. Liu followed her to Canada and arrived after the Accident in approximately November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 and Post MVA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facts of the Accident are that Ms. Wang was struck on her left side, bounced off the hood of the defendants' vehicle and landed on her buttocks. She lay on the ground at the side of the road and could not move. She called her ex-husband Mr. Mi by cell phone and he attended at the scene. Ambulance and police personnel attended and Ms. Wang was placed on a stretcher and taken by ambulance to Richmond General Hospital, arriving at approximately 7:00 pm. At the hospital, Ms. Wang complained of left thigh, left shoulder and low back pain. An X-ray of her chest and left hip and pelvis did not show any fractures. She was discharged around midnight the same day and was driven by Mr. Mi to the Richmond townhouse where she lived with her aunt and uncle, who also owned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Wang testified that she continued to feel lower back pain and her tailbone ached in the days and weeks following the Accident. She said that she had difficulty standing for long periods of time and lying down, the latter as a result of pain in her lower back and tailbone. She also said that in the weeks and months following the Accident, her symptoms included neck pain, dizziness caused by lowering and raising her head, lower back and tailbone pain, a sore right leg and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Wang testified that she still experiences occasional dizziness, most recently in April 2019, and neck pain, although her neck pain has improved and is not affecting her everyday life. She also testified that her lower back pain initially improved but that pain in this area returned after she received physical therapy in January 2019 and that she experiences right leg pain radiating from her buttocks down. Ms. Wang says that she is unable to sleep on her back and tosses from side to side, waking every two hours, three times a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Wang testified that her tailbone pain is the most significant on-going symptom and although it has improved since the Accident, she continues to feel pain in this area almost 24 hours per day and that the pain increases after sitting or walking. During cross-examination, Ms. Wang testified that after she received treatment for her symptoms in China in 2017, during a trip made to China for this purpose, that the numbness in her legs went away and her legs didn't hurt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indication that Ms. Wang was suffering from any significant and relevant pre-existing medical conditions before the Accident. She testified that she did most of the housework for her aunt, uncle and Mr. Mi, including shopping, cooking and cleaning. She says that since the Accident, she is no longer able to do these things which are now being done by her family, including Mr. Mi after he moved to Canada. Her reported limitations include the following: she is unable to mop the floors as a result of difficulty bending over; she can no longer do laundry; she is unable to stand at the kitchen long enough to prepare meals, which she previously enjoyed doing and can only provide minimal help by, for example, washing vegetables; and finally, she is unable to shop on her own as a result of difficulty lifting objects weighing more than 3 lbs and is unable to walk back to the townhome carrying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terms of other impacts on her quality of life, Ms. Wang testified that she no longer rides her bicycle. She says that her ability to travel has been restricted as a result of back pain. She says that her intimate relationship with Mr. Liu has been impacted. Finally, Ms. Wang says that she used to be good natured and is now bad tempered and frequently quarrels with her husband, experiences mood swings, is irritable and does not laugh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 Accident Health - Lay Witness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Jing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Wang called evidence from her friend Jing Wang with respect her pre and post-Accident condition. Although I do not make any negative findings with respect to Jing Wang's credibility, I find her evidence of little assistance as it does not indicate that she spent a great deal of time with Ms. Wang either before or after the Accident. Jing Wang testified that after the Accident, Ms. Wang did not participate in cooking meals as she had in the past, appeared more tired, appeared to have difficulty walking and did not appear to have the same level of social energy.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Yu Ming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Liu testified that after the Accident, Ms. Wang became more irritable than she was before, loses her temper more easily and complains about pain. He does not share a bedroom with Ms. Wang but sleeps on the bed in the living room as Ms. Wang's tossing and turning disrupts his sleep. He testified that the couple's financial stresses have increased as a result of Ms. Wang's inability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 Accident Health -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number of expert reports concerning Ms. Wang's pre and post Accident health were entered into evidence at trial. A review of this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Sze Wai Helen Gan -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Wang tendered an expert report from Dr. Gan completed on April 30, 2017, two years before this trial, and called Dr. Gan as a witness at trial. Dr. Gan has been Ms. Wang's family physician since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Gan saw Ms. Wang after the accident on December 4, 2014. She stated that Ms. Wang reported left shoulder, low back and left thigh pain and complained of dizziness. At that time, Dr. Gan found that Ms. Wang had limited flexion and lateral rotation of her lumbar spine; pain with rotation, flexion and extension of her cervical spine; tenderness in her left trapezius, upper arm and hip; and a 4 cm laceration of her left lower foot. She presented with pain in her left foot and was limping.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Gan saw Ms. Wang again on December 17, 2014. At that time, Ms. Wang reported neck and left ankle pain. Dr. Gan found that Ms. Wang had a limited range of motion of her cervical spine but normal range of motion for her lumbar spine. Dr. Gan ordered X-rays of Ms. Wang's cervical, thoracic and lumbar spine as well as her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Gan saw Ms. Wang again on January 23, 2015, and reviewed the results of her X-rays. The X-rays did not show any fractures but indicated some degeneration, including disc space height loss. At that time, Dr. Gan noted that Ms. Wang reported right leg pain, low back pain and an occipital headache, but was not suffering from neck pain. She also noted that Ms. Wang reported that she could not stand for more than thirty minutes and observed that Ms. Wang had limitations in movement of her cervical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Gan continued to see Ms. Wang on a regular basis between 2015 and April 2017 and prescribed various treatments, including physiotherapy, acupuncture, chiropractic treatment and exercise. She relatively consistently noted in her expert report that Ms. Wang had reported neck, low back and leg pain. Dr. Gan's expert report indicates that during this period, Ms. Wang continued to report that she had difficulty sitting or walking for prolonged periods, although the extent of those limitations fluctuated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Gan's report references only one complaint by Ms. Wang that she was suffering from a headache, which was made on January 23, 2015. In addition, the first reference to tailbone pain in Dr. Gan's clinical notes, which she referenced in her expert report, is dated February 8, 2017. According to Dr. Gan's expert report, a subsequent X-ray of Ms. Wang's tailbone showed an area of mild angulation in the bones comprising the tailbone but no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Gan noted that on April 7, 2017, the date of Ms. Wang's last visit before Dr. Gan completed her expert report, Ms. Wang reported mild lower back pain, that she could stand and walk for one hour and no longer had leg or foot pain. Dr. Gan also noted that Ms. Wang reported that she continued to have difficulties sleeping and had some limited flexion in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her expert report, Dr. Gan concluded that Ms. Wang suffered low back pain and leg pain which were most likely caused by the Accident. She stated that her prognosis for Ms. Wang was "guarded", which I take to mean that she considered the chances of Ms. Wang's symptoms improving to be uncertain. She also stated that in her opinion, Ms. Wang will likely only be able to work at jobs that do not require standing and carrying heavy items. However, Dr. Gan opined that Ms. Wang will continue to be independent with self-care and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future care, Dr. Gan recommended treatments including exercise and physiotherapy, chiropractic treatment and massage therapy for back pain. During cross-examination, she agreed that if these treatments were not helping Ms. Wang, there is no reason to continue them indefinitely.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Zeeshan Waseem -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Wang tendered an expert report from Dr. Zeeshan Waseem, completed on December 7, 2017, and called Dr. Waseem as an expert witness at trial in the areas of physiatry and rehabilitative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Waseem diagnosed Ms. Wang as having sustained injuries including lacerations to the left lower leg, contusions to her buttocks and sprain and soft tissue injuries predominantly of the cervical and lumbar spines and shoulders. In his opinion these injuries have resulted in chronic myofascial pain and chronic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noteworthy that Dr. Waseem stated in his report that Ms. Wang was "an occasionally contradictory historian". In cross-examination, he confirmed that by this he was referring to inconsistencies in Ms. Wang's description of her symptoms during his interview of her in December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report, Dr. Waseem stated that in his opinion Ms. Wang's symptoms probably resulted from the Accident. He stated that relevant findings on his examination included altered muscle tone and texture in the spine and periscapular muscles, focussed tailbone pain, and positive indications for occipital neuralgia. In coming to his conclusion that the Accident caused these symptoms he assumed that there was no reported or documented history of similar complaints pre-dating the Accident, that the onset of symptoms was reported and documented within a reasonable period of time after the Accident and have persisted continuously since, and that there is no evidence of a subsequent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his finding that the Accident was the cause of Ms. Wang's tailbone pain, Dr. Waseem agreed on cross-examination that if Ms. Wang's tailbone symptoms occurred for the first time in January 2017, it is unlikely that this pain is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his finding that the Accident resulted in chronic headaches, Dr. Waseem acknowledged on cross-examination that if Ms. Wang had only complained of headaches on one occasion then his diagnosis of occipital headaches is probably not related to the Accident. He also acknowledged that Ms. Wang's history of headaches did not justify a finding of chronic headaches.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Hiram Mok -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Wang tendered an expert report from Dr. Hiram Mok, completed on December 7, 2017, and called Dr. Mok as an expert in psychiatric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the opinion of Dr. Mok that Ms. Wang suffers from a moderate Somatic Symptom Disorder (equivalent to a diagnosis of chronic pain syndrome as set out in DSM IV) and a chronic Major Depressive Disorder (both related to, or resulting from, chronic pain) and mild anxiety as a result of the Accident. He deferred to other experts on Ms. Wang's physical prognosis and disability from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Mok's expert report does not set out the basis for his finding that Ms. Wang suffered from moderate Somatic Symptom Disorder. He agreed that such a diagnosis requires a finding that a patient has disproportionate and persistent thoughts about the seriousness of their symptoms, persistent high level anxiety around health concerns or symptoms, or spends excessive time and energy devoted to these symptoms. Dr. Mok's report did not reference such disproportionate and persistent thoughts either from Ms. Wang's medical records or during his assessment of her in December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Mok's finding that Ms. Wang suffered from depression was based entirely on her report to him that she suffered from intermittent depressed mood on most days of the week. He agreed on cross-examination that Ms. Wang never complained of depression to Dr. Gan and that if Ms. Wang had in fact never suffered from symptoms of depression, his diagnosis of a Major Depressive Disorder would be incorrect.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Marc Boyle -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tendered an expert report from Dr. Boyle completed on February 6, 2019, and called Dr. Boyle as an expert witness at trial in the areas of orthopaedic surgery and the diagnosis and treatment of skeletal and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Boyle diagnosed Ms. Wang as having suffered a soft tissue injury to the ligaments, tendons and muscles of the cervical spine and lumbar regions as a result of the Accident. He recommended treatment including stretching and strengthening exercises and over the counter anti-inflammatory medication. In his opinion there is a better than 50% chance that Ms. Wang will recover from the symptoms attributable to her soft tissue injury and that any residual injury would not be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Boyle's expert report and his evidence at trial suggest that Ms. Wang has exaggerated some of her symptoms. This includes, for example, his view that Ms. Wang is exaggerating her difficulty walking, exaggerating her pain response during her physical examination and exaggerating her self-reported pain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Boyle recommended that Ms. Wang seek to return to work. He does not consider that further treatments, including physiotherapy, chiropractic care, massage and acupuncture,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plaintiff must establish on a balance of probabilities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Under the "thin skull" rule, tortfeasors must take their victims as they find them, even if the plaintiff's injuries are more severe than they would be for a normal person. However, the "crumbling skull" rule states that a defendant need not compensate the plaintiff for any debilitating effects of a pre-existing condition which the plaintiff would have experienced anyway. If a pre-existing condition creates a "measureable risk" that would have detrimentally affected the plaintiff in the future, then the overall award may be reduced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contend that Ms. Wang is not a reliable witness or is at best a poor historian and therefore her evidence should be treated with caution. In their closing submissions, they pointed to various inconsistencies between the testimony of Ms. Wang and her reports to various medical practitioners and the testimony of lay witnesses. The examples cited by the defendants include the following:</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Wang testified that her tailbone pain started immediately after the Accident but Dr. Gan did not record a complaint of tailbone pain until March 7, 2017;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Wang testified that she did little to no cooking and housecleaning after the Accident but Mr. Liu said that when he landed in Canada from China in November of 2015, Ms. Wang, her aunt and her uncle were doing household cleaning;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Wang testified that her aunt could no longer do any cooking because she had cancer but Ms. Wang's friend, Jing Wang, said that when she visited Ms. Wang's apartment after the accident, her aunt had recovered from cancer and was doing all the cooking;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Wang testified that she could no longer do any household chores after the Accident but Dr. Gan noted in her report that based on what Ms. Wang reported to her, Ms. Wang was independent in self-care including being independent in doing laundry and ironing (although I note that Ms. Wang testified that she did not have an iron) and taking out the garbage, although slower in meal preparation and light and heavy cleaning;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Wang's evidence regarding her limitations related to walking and sitting varied over time and between her various medical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concern with respect to the accuracy of Ms. Wang's testimony on the nature of her injuries resulting from the Accident, the related symptoms and the impact of these injuries is supported by the comments of both Dr. Waseem and Dr. Boyle in their expert reports. Dr. Waseem referred to Ms. Wang as a poor historian and Dr. Boyle expressed concern that she was exaggerating her symptoms during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given the comments of these experts, the inconsistencies in Ms. Wang's evidence set out above and my general assessment of her reliability as a witness, I agree that some of Ms. Wang's evidence should be treated with caution. Where her evidence at trial regarding the nature and impact of her injuries conflicts with her previous reporting of symptoms to medical practitioners set out in medical records and the objective findings in the expert medical reports, I prefer the evidence of the latter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the expert medical evidence establishes that the Accident caused Ms. Wang to suffer soft tissue injuries, which have resulted in ongoing low back and leg pain - which is equivalent to myofascial pain in those areas. In addition, the Accident resulted in a small laceration to Ms. Wang's left foot, contusions to her buttocks and sprains to her cervical and lumbar spine and shoulders, which have all healed. I note that these findings are consistent with the medical opinions of both Dr. Gan and, to a lesser extent, 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unable to find on the evidence that Ms. Wang's tailbone pain, which she testified is the most significant symptom she currently suffers from, was caused by the Accident. There is an insufficient temporal link between the date of the Accident and the date on which Ms. Wang first reported these symptoms to her doctor. I do not accept Ms. Wang's evidence that she told Dr. Gan that her tailbone was sore when she saw her shortly after the Accident. As set out above, there are no references in Ms. Wang's medical records to tailbone pain until February 2017, over two years after the Accident, when Ms. Wang returned from a trip to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do not accept that Dr. Gan, where she referred to lower back pain in Ms. Wang's clinical notes, was referring to Ms. Wang's lower back area including her tailbone. In my view, lower back and tailbone are not the same thing. This finding is consistent with the testimony of Dr. Waseem at trial when, in response to a question from the Court, he confirmed that in his practice he would have distinguished between tailbone pain and lower back pain when recording a patient's complaints. In addition, there is no medical evidence linking Ms. Wang's tailbone pain to the soft tissue injuries which I have found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unable to find on the evidence that Ms. Wang suffers from a moderate somatic symptom disorder. Ms. Wang and other witnesses did not provide evidence at trial on which I can conclude that Ms. Wang was experiencing disproportionate and persistent thoughts about the seriousness of their symptoms, persistent high level anxiety around health concerns or symptoms, or spending excessive time and energy devoted to these symptoms - which Dr. Mok confirmed was a condition for a finding of a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unable to find on the evidence that Ms. Wang suffers from chronic headaches. There is insufficient evidence either in Dr. Gan's records or from Ms. Wang's testimony at trial that she suffered from regular headaches after the Accident. As I stated above, Dr. Waseem acknowledged that Ms. Wang's history of headaches did not justify a finding of chronic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I am unable to find on the evidence that Ms. Wang suffers from a major depressive disorder. Ms. Wang and other lay witnesses called on her behalf, provided very little evidence with respect to her post-Accident mental health, including that she had become more irritable, less tolerant and experiences mood swings. There is no suggestion in the expert report of Dr. Gan that Ms. Wang had reported any symptoms consistent with depression. As a result, I do not accept that Dr. Mok's diagnosis of a major depressive disorder, which was premised on his belief that such symptoms existed,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The compensation awarded should be fair to all parties with fairness being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8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 have found above, Ms. Wang sustained soft tissue injuries as a result of the Accident which have resulted in ongoing low back and leg pain. I find that Ms. Wang's Accident-related symptoms resulted in a reduced capacity to participate in recreational, social and work pursuits, although these Accident related impacts have lessened over time and, in my view, are not presently as severe as Ms. Wang contends. I accept the opinion of Dr. Gan that there is potential, although the prognosis is guarded, for Ms. Wang's symptoms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Wang submits that an award of non-pecuniary damages in the range of $130,000 is appropriate. She relies upon the following decisions: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Banic-Govc v. Timm</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2018 BCSC 1073</w:t>
        </w:r>
      </w:hyperlink>
      <w:r>
        <w:rPr>
          <w:rFonts w:ascii="arial" w:eastAsia="arial" w:hAnsi="arial" w:cs="arial"/>
          <w:color w:val="000000"/>
          <w:sz w:val="20"/>
          <w:lang w:val="en-US" w:eastAsia="en-US" w:bidi="ar-SA"/>
        </w:rPr>
        <w:t xml:space="preserve"> $130,000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Carver v. Or</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2017 BCSC 1496</w:t>
        </w:r>
      </w:hyperlink>
      <w:r>
        <w:rPr>
          <w:rFonts w:ascii="arial" w:eastAsia="arial" w:hAnsi="arial" w:cs="arial"/>
          <w:color w:val="000000"/>
          <w:sz w:val="20"/>
          <w:lang w:val="en-US" w:eastAsia="en-US" w:bidi="ar-SA"/>
        </w:rPr>
        <w:t xml:space="preserve"> $115,000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De La Garza v. Carson</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2018 BCSC 1858</w:t>
        </w:r>
      </w:hyperlink>
      <w:r>
        <w:rPr>
          <w:rFonts w:ascii="arial" w:eastAsia="arial" w:hAnsi="arial" w:cs="arial"/>
          <w:color w:val="000000"/>
          <w:sz w:val="20"/>
          <w:lang w:val="en-US" w:eastAsia="en-US" w:bidi="ar-SA"/>
        </w:rPr>
        <w:t xml:space="preserve"> $115,000</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Kam v. Van Keith</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2015 BCSC 1519</w:t>
        </w:r>
      </w:hyperlink>
      <w:r>
        <w:rPr>
          <w:rFonts w:ascii="arial" w:eastAsia="arial" w:hAnsi="arial" w:cs="arial"/>
          <w:color w:val="000000"/>
          <w:sz w:val="20"/>
          <w:lang w:val="en-US" w:eastAsia="en-US" w:bidi="ar-SA"/>
        </w:rPr>
        <w:t xml:space="preserve">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submit that an appropriate award for non-pecuniary damages is $68,000 and relies upon the following cases: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Morgan v. Allen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2017 BCSC 1958</w:t>
        </w:r>
      </w:hyperlink>
      <w:r>
        <w:rPr>
          <w:rFonts w:ascii="arial" w:eastAsia="arial" w:hAnsi="arial" w:cs="arial"/>
          <w:color w:val="000000"/>
          <w:sz w:val="20"/>
          <w:lang w:val="en-US" w:eastAsia="en-US" w:bidi="ar-SA"/>
        </w:rPr>
        <w:t xml:space="preserve"> $62,000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Kagrimanyan v. Weir</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2018 BCSC 1458</w:t>
        </w:r>
      </w:hyperlink>
      <w:r>
        <w:rPr>
          <w:rFonts w:ascii="arial" w:eastAsia="arial" w:hAnsi="arial" w:cs="arial"/>
          <w:color w:val="000000"/>
          <w:sz w:val="20"/>
          <w:lang w:val="en-US" w:eastAsia="en-US" w:bidi="ar-SA"/>
        </w:rPr>
        <w:t xml:space="preserve"> $75,000</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Jiang v. Pappas</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2016 BCSC 1015</w:t>
        </w:r>
      </w:hyperlink>
      <w:r>
        <w:rPr>
          <w:rFonts w:ascii="arial" w:eastAsia="arial" w:hAnsi="arial" w:cs="arial"/>
          <w:color w:val="000000"/>
          <w:sz w:val="20"/>
          <w:lang w:val="en-US" w:eastAsia="en-US" w:bidi="ar-SA"/>
        </w:rPr>
        <w:t xml:space="preserve">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have considered the cases relied upon by the parties, which provide useful guidance in determining an appropriate award for non-pecuniary damages in this case. In my view, the decisions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De La Garza</w:t>
      </w:r>
      <w:r>
        <w:rPr>
          <w:rFonts w:ascii="arial" w:eastAsia="arial" w:hAnsi="arial" w:cs="arial"/>
          <w:color w:val="000000"/>
          <w:sz w:val="20"/>
          <w:lang w:val="en-US" w:eastAsia="en-US" w:bidi="ar-SA"/>
        </w:rPr>
        <w:t xml:space="preserve"> are the most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53-year-old plaintiff suffered soft tissue injuries and experienced symptoms including headaches, neck and shoulder pain. The trial judge found that the effect of the injuries on the plaintiff were more or less constant and that there had been no notable improvement of her symptoms. In </w:t>
      </w:r>
      <w:r>
        <w:rPr>
          <w:rFonts w:ascii="arial" w:eastAsia="arial" w:hAnsi="arial" w:cs="arial"/>
          <w:i/>
          <w:color w:val="000000"/>
          <w:sz w:val="20"/>
          <w:lang w:val="en-US" w:eastAsia="en-US" w:bidi="ar-SA"/>
        </w:rPr>
        <w:t>De La Garza</w:t>
      </w:r>
      <w:r>
        <w:rPr>
          <w:rFonts w:ascii="arial" w:eastAsia="arial" w:hAnsi="arial" w:cs="arial"/>
          <w:color w:val="000000"/>
          <w:sz w:val="20"/>
          <w:lang w:val="en-US" w:eastAsia="en-US" w:bidi="ar-SA"/>
        </w:rPr>
        <w:t>, the plaintiff was 51 years old at the time of trial. He suffered from symptoms including headaches, muscle stiffness, neck, mid back and low back pain. He continued to suffer chronic pain at the time of trial. The accident affected his active lifestyle and ability to maintain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Considering the impacts of the accident on Ms. Wang,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the case authorities cited by the parties, I find that a reasonable award of non-pecuniary damages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standard of proof of actual past events is proof on a balance of probabilities. An assessment of loss of both past and future earning capacity involves consideration of hypothetical events. The plaintiff is not required to prove these hypothetical events on a balance of probabilities but they are instead given weight according to their relative likelihood.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assessing an award for past and future loss of earning capacity, allowances should be made and the award must be fair and reasonable taking into account all of the circumstances: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4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 claim for past loss of income is to be addressed on the basis of a lack of capacity, rather than as a mathematical formula. While pre-accident earnings are evidence of the value of earning capacity, they are not necessarily determinative its value, and the overall fairness and reasonableness of an award must be considered after taking all relevant circumstances into account: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Wang submits that an award of $185,535 for past loss of earning capacity is appropriate. She relies upon the calculation of potential past income loss completed by Mr. Sergiy Pivnenko, an economist, whose expert report was tendered at trial. Mr. Pivnenko completed his calculation based on an analysis of Ms. Wang's recent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accept that Ms. Wang suffered an income loss from the date of the Accident until the end of 2016 and adopt the income loss calculation completed by Mr. Pivnenko for this period in the amount of $84,955. They contend that Ms. Wang failed to mitigate her income loss by failing to look for and return to work after she returned from China in 2017. They point to the clinical notes of Dr. Gan for April 2017 which suggest that Ms. Wang's condition had substantially improved. They submit that Ms. Wang's past wage loss from the start of 2017 to the date of trial, which according to the calculations completed by Pivnenko total $100,580, should be reduced by 62% - being the approximate portion of her past income earned working as a cleaner at T &amp; T Supermarket. The defendants submit that in total, Ms. Wang should be awarded $104,698.75 for past wage loss, after deducting 15% for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Ms. Wang's accident related symptoms were not a complete impediment to her returning to work by April 2017, but likely had some impact on her earning potential. I do not accept Dr. Gan and Dr. Waseem's opinions that Ms. Wang was totally disabled from work after October of 2016. This finding is inconstant with Dr. Gan's own clinical records which indicate substantial improvement by April 2017. In addition, the most significant symptoms at that time was tailbone pain which is not Accident related. I was not provided with evidence allowing me to determine what impact Ms. Wang's tailbone pain had on her past income loss. In the circumstances, I find that as a result of her Accident related symptoms, Ms. Wang suffered an income loss from the start of 2017 to the date of trial to be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conclusion, I assess Ms. Wang's damages for loss of past earning capacity to be $97,550, inclusive of a deduction of 15% for the income tax which she would otherwise have had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To the extent possible, a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a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and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Wang submits that she is no longer competitively employable as a result of the injuries she sustained during the Accident. She says that but for the Accident, she would have likely continued to work in labour intensive jobs until she was seventy years old. She submits that the earnings approach is the appropriate methodology to apply to determine her future loss of earning capacity. Based on an assumption that she will never work again, Ms. Wang seeks damages for future income loss of $353,559, relying on the calculation of the net present value of future income loss to the age of seventy completed by Mr. Pivnenko.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submit that this Court should apply a loss of capital asset approach in determining Ms. Wang's damages for future loss of earning capacity. I agree. The defendants submit that it would be appropriate to assume that Ms. Wang would only have worked until the age of 65 and that her future earnings to that age will be reduced by 38% (the percentage of her past earnings working as a baker at T &amp; T Supermarket) until that time, which after applying a 13.5% deduction for negative market contingencies results in an award of $78,630.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Wang tendered an expert report from Dr. Pieter van den Berg, an expert in vocational assessment. Dr. van den Berg did not consider that Ms. Wang was capable of returning to her previous work as a baker and cleaner at T &amp; T Supermarket but did not find that she was completely unable to return to any work. In his opinion, Ms. Wang likely has vocational capacity for gainful employment at 60-70% of full-time employment in a select range of occupations and with accommodation from employers, as a result of her physical limitations and reduced opportunities arising from her English language limitations. It is the opinion of Dr. van den Berg that as a result of her reduced work capacity and employment options that Ms. Wang will likely suffer, in total, a 55% reduction in her previous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van den Berg did not distinguish between the impact of the soft tissue injuries to her back and legs and her tailbone pain on her vocational prospects. Accordingly, I find his opinion of little assistance in quantifying Ms. Wang's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establishes that Ms. Wang is capable of some employment, perhaps even full-time employment in a different sedentary field. In my view, given the circumstance of this case and a level of uncertainty with respect to the extent that Ms. Wang's tailbone pain has negatively impacted her earning capacity, the capital asset approach is most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do find that as a result of Ms. Wang's existing Accident-related symptoms, and in consideration of the factors outlined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the negative and positive contingencies, that she is less capable overall of earning income from all types of employment and that she is less marketable as a potential employee. I accept Ms. Wang's evidence that she planned to work until she is seventy years old. I assess her damages for future loss of earning capacity at $90,000. This figure is based on an estimate of nine further years of employment and takes into consideration deductions for labour market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plaintiff is entitled to compensation for the costs of future care based on what is reasonably necessary to restore them to their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49"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aff'd </w:t>
      </w:r>
      <w:hyperlink r:id="rId51"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likely be required in the future and will not be rejected,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&amp;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Wang seeks an award for costs of future care in the amount of $166,681. This amount is the net present value of the costs of Ms. Wang's future care over her lifetime as calculated by Mr. Pivnenko. With respect to medical necessity of the future care items claimed, Ms. Wang relies upon the opinion of Ms. Mair Edwards, who prepared an expert report dated November 29, 2018, and was called an expert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submit that an appropriate award for costs of future care is warranted for counselling, vocational assessment, cervical pillow and back rest support - totalling $10,776.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Rehabilitation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Waseem and Dr. Boyle do not believe that further physiotherapy or chiropractic treatments are needed. Ms. Wang contends that Ms. Edwards' opinion that such treatments would be beneficial should be preferred on the basis that an occupational therapist is in the best position to assess the future care needs of Ms. Wang. I agree with the submissions of the defendants that Dr. Waseem, a physiatrist and specialist in rehab medicine, is abundantly qualified to provide an opinion on the merits of future rehabilitative treatments. I also accept that Dr. Boyle has sufficient expertise in the treatment of soft tissue injuries to provide such advice. As a result, I do not find that Ms. Wang has demonstrated that these costs are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do not believe that Dr. Waseem and Dr. Gan made any recommendations, positive or negative, for on-going acupuncture treatments. Dr. Boyle did not consider that further acupuncture treatments were required but did recommend, as did the other practitioners, that Ms. Wang continue to exercise. I do not find that the costs of on-going acupuncture treatments are medically justified. I do accept that the cost of attending at the pool are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satisfied that Ms. Wang will benefit from three vocational assessment sessions to allow her to investigate opportunities for employment which are appropriate in light of all of her current symptoms and her English language limitations and that the costs are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Wang claims for the cost of home support, primarily cleaning and related in-home services, on a monthly basis and for bi-annual clean up. Ms. Edwards has recommended that these services be provided. I am satisfied on the evidence that Ms. Wang suffers from some functional limitations as a result of the Accident and from her tailbone pain, which currently and will continue to impact her ability to perform the same household duties she did in the past. I am also satisfied that as Ms. Wang's aunt and uncle continue to age, that they will not be able to perform as many of the household services as they currently do and that Ms. Wang will require outside assistance. In the circumstances I consider it appropriate to award one-half of the amount claimed under this head on the assumption that 50% of her limitations are Accident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Wang also claims for the cost of in-home household maintenance services, exterior yard work and bi-annual yard clean-up costs. At this time, Ms. Wang is living in a townhome with Mr. Liu and her aunt and uncle and there is no evidence suggesting that she intends to move to a single family home. Therefore, I do not find that these costs will be incurred and I decline to award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Pain Management Aids and Positional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Wang claims for the cost of a TENS machine with electrodes and hot and cold wraps which are recommended by Ms. Edwards on the basis that they will provide some relief from neck, shoulder, lower back and right leg pain. I accept that the relevant costs are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Wang claims for the cost of various other furniture and safety equipment, which are recommended by Ms. Edwards. I do not consider that there is sufficient evidence to justify awarding the cost of obtaining a Tempur-Pedic queen mattress every ten years ($3,878) or a lift and recliner chair every five years ($6,229). I accept that the balance of the costs claimed are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Finally, Ms. Wang claims for the cost of obtaining an orthotics assessment and orthotics every two years. Ms. Edwards' opinion is that this is necessary to correct Ms. Wang's gait. Dr. Gan and Dr. Waseem confirmed that there were no issues with Ms. Wang's gait. Accordingly, I do not find that these costs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summary, I award the following future care costs to Ms.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Item</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 Services: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$14,067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Household Services (in-home cleaning):</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$10,565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 Management Aids: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Positional Aids: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Applicable taxes: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$1,385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$32,327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Wang is claiming a pecuniary award for loss of housekeeping capacity and submits that damages in the amount of $30,000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Where a plaintiff suffers an injury which would make a reasonable person in their circumstances unable to perform usual and necessary household work - that is where the plaintiff has suffered a loss of capacity - that loss may be compensated by way of a pecuniary award: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have already included an award for damages for loss of housekeeping capacity in my assessment of damages for costs of future care for cleaning and related in-home services, on a monthly basis and bi-annual cleanup. That award did not include any amounts for a loss of capacity to perform routine day-to-day cleaning and other household tasks including cooking, laundry and grocery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satisfied that Ms. Wang has suffered a loss of capacity to perform the above described usual and necessary day-to-day household work and that award of damages under this head is warranted. Although Ms. Wang is able to perform some household work, the evidence establishes that she has some difficulty with tasks including bending and lifting heavy objects. Similar to discussion earlier in my reasons regarding past and future wage loss, it is difficult to determine what portion of Ms. Wang's loss of housekeeping capacity results from the Accident and what results from her tailbone pain. I assume that there has been some limitation but am required to estimate the value of Accident-related loss of capacity. In the circumstances, I assess damages under this head in the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Wang's claim for damages is allowed. I award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Description</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$97,550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$32,327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$10,874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$310,751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Wang is entitled to her costs. The parties are at liberty to appear before me, if necessary, to speak to the quantum of costs with attendance to be arranged through Supreme Court Scheduling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Bakken v. Young, [2000] B.C.J. No. 1508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Koenigsberg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18 - 22, 25 - 27, November 22, 1999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B975203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346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John Bakken, plaintiff, and William Gordon Young and David Edward Gust,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5" w:name="Keywords_3"/>
      <w:bookmarkEnd w:id="75"/>
      <w:r>
        <w:rPr>
          <w:rFonts w:ascii="arial" w:eastAsia="arial" w:hAnsi="arial" w:cs="arial"/>
          <w:b/>
          <w:color w:val="000000"/>
          <w:sz w:val="20"/>
          <w:lang w:val="en-US" w:eastAsia="en-US" w:bidi="ar-SA"/>
        </w:rPr>
        <w:t>Damages — Special damages — General damages — Elements of general damages — Loss of wages — Loss of opportunity — Loss of enjoyment of life — Loss of amenities (incl. personal preferences and predilections) — Limits of compensatory damages — Predisposition to damage (thin skull rule) — Personal injury, victim's mental condition — Low pain threshold.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6" w:name="Case Summary_3"/>
            <w:bookmarkEnd w:id="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Bakken for damages for personal injuries. Bakken was injured in a motor vehicle accident in August, 1997. Liability was admitted. Prior to the accident, Bakken had worked as a provincial corrections officer for 16 years. Two and a half years following the accident he continued to complain of significant pain in his neck and back, and particularly, his lower back to the extent that he felt unable to return to work or engage in a vigorous physical rehabilitation program. Bakken could no longer participate in active sporting events. He could no longer continue his avocation of purchasing, renovating and renting or reselling properties. He developed a dependence on narcotics. The medical-psychological picture of Bakken before the accident was replete with interruptions in his work and social life. Psychological assessments indicated that some of his problems were the result of his personality. He had pre-existing physical fragilities. He was psychologically fragile. He did not tolerate stress very well and had a very low tolerance for pain. His pre-existing problems were activated or made worse by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7" w:name="Holdings of Court_3"/>
            <w:bookmarkEnd w:id="7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Bakken was awarded $70,000 in non-pecuniary damages. Past wage loss was awarded to February 2000, with the award reduced by 25 per cent after one year to account for absenteeism. Future wage loss was assessed as a loss of opportunity or loss of a capital asset valued at $150,000. He was awarded $10,150 special damages. Bakken was a thin skull plaintiff. If it were not for his psychological problems he would have recovered from the accident such that he could have returned to work in February 2000. However it was unlikely that he could have returned to work as a corrections officer. In calculating his future wage loss it was assumed that he would have left his job by around the age of 50 because of increasing stress.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Counsel_13"/>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E.J. Goddard, for the plaintiff. C.C. Godwin,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3"/>
      <w:bookmarkEnd w:id="79"/>
      <w:r>
        <w:pict>
          <v:line id="_x0000_s1086" style="position:absolute;z-index:2517749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KOENIGSBERG J."/>
            <w:bookmarkEnd w:id="80"/>
            <w:r>
              <w:rPr>
                <w:rFonts w:ascii="arial" w:eastAsia="arial" w:hAnsi="arial" w:cs="arial"/>
                <w:b/>
                <w:color w:val="000000"/>
                <w:sz w:val="30"/>
                <w:lang w:val="en-US" w:eastAsia="en-US" w:bidi="ar-SA"/>
              </w:rPr>
              <w:t>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Bakken was in an automobile accident on August 17, 1997. He was injured. Liability is admitted. This action is to determine the scope and amount of damages which flow from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motor vehicle accident of August 17, 1997, Mr. Bakken suffered moderate soft tissue injury affecting his neck, back and, to a minor extent, his knees. His spine was x-rayed, he was treated, and released from the hospital on the same day. The x-rays showed no abnormalities in the lumbar region but they showed kephosis of the cervical spine and degeneration of the C5-6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Bakken, nearly two and one-half years later, still complains of significant pain in his neck and back and, particularly, his low back to the extent that he feels unable to return to work or engage in a vigorous physical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16 years, up to the time of the accident, Mr. Bakken worked as a corrections officer for the provincial government. His employment record for that 16 year period reflects a complicated medical and psychological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Over several years up to about one year prior to the accident, Mr. Bakken was off work for varying lengths of time from several days to ten months due to illness, injury, or a combination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Bakken is now 44 years of age. At the time of the accident he was 42. When he was 16, he was in a motor vehicle accident and his back was severely injured. By his account, he was not completely recovered for approximately 15 years. He reported to his doctor that even up to the time of this accident he was slower and occasionally affected by the previous back injury. Nevertheless, up to the time of the accident, with only periodic difficulties of one kind or another, some relating to musculo-skeletal problems of the neck or back, Mr. Bakken was able to do heavy labour both at work as a corrections officer and at home doing various renovation projects on his home or his rental properties. He also enjoyed recreational activities requiring some physical fitness such as water sports and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Bakken's corrections work required him to work alongside the inmates on forestry projects in order to turn in the superior performance of which he was capable and which he usually performed. It is also true that general physical fitness is a requirement for a corrections officer who works directly with inmates. Weakness, injury or perceived weakness is an invitation to trouble. By all accounts, despite repetitive absenteeism for various stress or medical reasons, Mr. Bakken was an excellent corrections officer who not only was physically able to perform heavy labour alongside inmates, he also had an excellent rapport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Bakken developed an attitude problem at work just a year or so before the accident. This problem resulted in a five day suspension from work. He also developed a serious stress-related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Throughout Mr. Bakken's medical records over an approximate 10 year period there are periodic references to his difficulty in maintaining a positive attitude toward his work. He has a problem, beyond the normal range, in dealing with stress. The job is occasionally very stressful and from time-to-time Mr. Bakken indicated to his doctor that he seriously considered finding other employment. Financial considerations usually won out over the need to find less stressful work. In addition, despite the stressful and personally dangerous aspects of the corrections work, Mr. Bakken enjoyed his work, probably in large part because he is good 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One of the medical problems experienced by Mr. Bakken before the accident related to problems with his stomach. There is still no precise diagnosis although ulcers of some type have been hypothesized. In the medical records this affliction has been associated with stress. This problem, whatever its genesis and diagnosis, has caused interference with both Mr. Bakken's renovation work and his work as a corrections officer. He found, at times, he was unable to do heavy labour on his renovation work because of these stomach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Bakken has undergone several psychological assessments over the last several years. Some because of his problems with stress on the job and some because of the claims he has made in relation to this lawsuit. The assessments are generally consistent. Mr. Bakken is an unusually anxious person with little personal insight into his problems. He relies on alcohol and marijuana and large amounts of narcotic prescription drugs to relieve his pain and anxiety. The psychological assessments all indicate that Mr. Bakken has chronic pain and that a great deal of it is non-organically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the accident and Mr. Bakken's ineffective means of dealing with the discomfort from a minor to medium soft tissue injury, Mr. Bakken has become severely deconditioned and moderately depressed. He is angry with the medical-legal system which he perceives victimizes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accident there is no doubt that Mr. Bakken's back was predisposed to injury. That is, any relatively minor injury to his back or neck would likely take longer to heal and have a greater chance of having flare-ups after healing took place. As well, Mr. Bakken was, before the accident, a person with anxiety above the norm and he experienced stress and stress-related illness in response to traumatic events in his life whether physical or psychological or both. All psychological assessments agree that Mr. Bakken's psychologically based experience of pain after the accident into the end of the first and on into the second year after the accident were significantly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the real question in this case is at what point in time, if at all, does the accident cease being the significant contributing factor and the other factors causing Mr. Bakken continuing dysfunction take over as causes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previously outlined, the medical-psychological picture of Mr. Bakken before the accident is replete with interruptions in Mr. Bakken's work and social life and his ability to do his renovation work as a result of work-related incidents, stress, stress-related illness or just illness. The psychological assessments indicate that some of Mr. Bakken's problems are the result of his personality which has been variously described as a personality or anxiety disorder. He is described as being somewhat resistant to psychological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expressed at trial and to various assessors or workplace evaluators that he feels very insecure about trying to find other work within the government because anything he would choose to do which requires retraining might not be successful for him. When, for instance, it was suggested that becoming a probation officer might be appropriate because it would utilize both his skills and experience he rejects it because it would likely require a two year return to academic work. Mr. Bakken found community college quite stressful when he undertook it at an earlier age and he did not complete teacher training which he had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the plaintiff's ongoing disability relates to his perception of pain which was at least triggered by the accident and the significant pain he experienced as a result of the accident. He either cannot or will not try a graduated return to work, and he cannot or will not engage in an active exercise program. I find, in other words, that Mr. Bakken is a thin skull plaintiff. He had pre-existing physical fragilities both in relation to his musculo-skeletal system and his digestive system. He also was psychologically fragile. He did not and does not tolerate stress very well from any cause and he has a very low tolerance for pain. His pre-existing problems were activated or made worse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Athey v. Leonati </w:t>
      </w:r>
      <w:hyperlink r:id="rId28"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is the leading case regarding the proper analysis given a variety of causes for continuing injury. The passage most relevant to the facts of this case is found at p. 239: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Myers v. Peel County Board of Education, </w:t>
      </w:r>
      <w:hyperlink r:id="rId355"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123 D.L.R. (3d) 1</w:t>
        </w:r>
      </w:hyperlink>
      <w:r>
        <w:rPr>
          <w:rFonts w:ascii="arial" w:eastAsia="arial" w:hAnsi="arial" w:cs="arial"/>
          <w:color w:val="000000"/>
          <w:sz w:val="20"/>
          <w:lang w:val="en-US" w:eastAsia="en-US" w:bidi="ar-SA"/>
        </w:rPr>
        <w:t xml:space="preserve"> (S.C.C.); Bonnington Castings, Ltd. v. Wardlaw, [1956] 1 All E.R. 615 (H.L.); McGhee v. National Coal Board, [1972] All E.R. 1008, supra. A contributing factor is material if it falls outside the de minimis range; Bonnington Castings, Ltd. v. Wardlaw, supra; see also R. v. Pinske </w:t>
      </w:r>
      <w:hyperlink r:id="rId356"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affirmed </w:t>
      </w:r>
      <w:hyperlink r:id="rId357"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Snell v. Farell,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supra, this Court recently confirmed that the plaintiff must prove that the defendant's tortious conduct caused or contributed to the plaintiff's injury. The causation test is not to be applied too rigidly. Causation need not be determined by scientific precision; as Lord Salmon stated in Alphacell Ltd. v. Woodward, [1972] 2 All E.R. 475 (H.L.),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(The Law of Torts, 8th ed. (Sydney: Law Book Co., 1992) at p. 193), a "fire ignited in a wastepaper basket is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there is no doubt on the evidence that Mr. Bakken's pre-existing fragilities were likely to precipitate similar, if not the same, losses. That is, Mr. Bakken is prone to injury and, if injured, very prone to develop debilitating pain symptoms which he would have difficulty overcoming. He is likely to lose time at work and or quit his job because of the stress related to it, particularly the physical and psychological demands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fact situation is discussed in Athey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 243 the court sets out an analysis which I find is appropriate to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(London: Butterworths,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Rourke, </w:t>
      </w:r>
      <w:hyperlink r:id="rId358"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supra; Malec v. J.C. Hutton Proprietary Ltd., (1990) 169 C.L.R. 638, supra;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Thus, on the basis of all of Mr. Bakken's medical and psychological history as well as his employment history it is my assessment that if it were not for Mr. Bakken's psychological problems he would have recovered from the accident such that he could have returned to work in February 2000. At the very least, he could have begun a graduated return to work at that time. He was advised to do so by all persons treating him but he refused. I also find that his refusal to do so was in large part due to his psychological fragility which pre-existed the accident and which was very much at play in preventing him from doing those things which would have increased his chance of a successful recovery and return to work. However, the psychological problems were contributed to by the accident; that is, the accident and the actual pain and temporary disability triggered Mr. Bakken's pre-existing psychological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trial was completed October 27th. I indicated I would give oral judgment on November 9, 1999. On November 9th, Mr. Bakken requested that I not give judgment and that I grant an adjournment so that he could obtain an MRI. I granted the adjournment. More adjournments were then necessitated for a variety of reasons and, finally, I admitted into evidence the MRI report and a report of Dr. P.J. Kokan regarding the MRI on March 20, 2000. I note that I did so over the strong and persuasive objections of defence counsel. I did so however because of my perception that Mr. Bakken's overall injured condition - partly physical and partly psychological might be benefited by both having the MRI and having the court properly consider the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MRI findings are contained in a report dated November 16, 1999. The MRI was of both Mr. Bakken's cervical and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set out the summary findings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Congenitally small canal with a moderate sized broad based left posterolateral disc herniation at C5-6.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Thoracic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Mild disc space narrowing at several levels in keeping with degenerative disc disease. There is also a small focal left posterolateral disc bulge at T7-8. There is no evidence of a thoracic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Kokan, an orthopaedic surgeon, provided a follow-up report dated March 14, 2000 regarding the meaning of the MRI in relation to Mr. Bakken's previous and existing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Kokan was asked and answered two questions in his report. I set out his findings in full:</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Mr. Bakken's ongoing complaints of neck and back pain related to the findings on the MRI?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Mr. Bakken's ongoing complaints of neck pain could be related to the findings on the MRI. The lower back pain which he presented with when I saw him in my office, in my opinion, is not related to the findings on the MRI.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Bakken presented with pain in the back of the neck. When I saw him he had no symptoms in the arms although he did report some pain in the legs after the accident. When I saw him he did not have any evidence of nerve root dysfunction which could be caused by posterior disc herniation of the C5-6 disc. This can cause central pain in the neck and could be responsible for his neck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CT scan of the dorsal spine showed a disc bulge at T7-8. I do not connect the bulge of this disc to the pain in the lower back or neck.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 MRI findings at C5-6 and T7-8 the result of the motor vehicle accident of August 17,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know if the MRI findings of C5-6 and T7-8 are the result of the motor vehicle accident of August 17, 1997. It would not be unusual to find the patient not to have pain with a bulging or herniated cervical or dorsal discs. Disc herniation can be non-symptomatic. They can pre-exist the trauma and the injury can aggravate the pre-existing disc herniation which may become symptomatic for a short or a long period of time. It is impossible to state whether the herniated cervical and dorsal discs are the result of the motor vehicle accident of August 1997. I am at a disadvantage since I was not seeing Mr. Bakken during the early stage of his injury and I do not know whether he did have mid-back pain at an earlier time. When I saw him he did not have mid-back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above, the accidental trauma of August 1997 could have aggravated a pre-existing herniation of the C5-6 disc and it is impossible to assess whether this aggravation is still in existence or not. I know from experience that patient's with pre-existing degeneration of discs take longer to recover from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be more specific than stated above. Patients often have positive findings on MRI and are not symptomatic, and there are patients who have negative MRI's and are still symptomatic. I would tend to believe that the accidental trauma of August 1997 aggravated a pre-existing herniated cervical disc; however, I cannot be certain about this. There is also a possibility that the trauma caused herniation of the disc.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cannot say if the MRI findings are related to the MVA in question. MRI findings could have pre-existed, could have been aggravated by the accident or could have developed after the MVA of August 1997. MRI findings do give more credence to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there is insufficient evidence to conclude that the herniated disc was caused by the motor vehicle accident. However, there is reason to believe that if the disc problem pre-existed the accident, which is more likely, then the accident aggravated that herniation and the symptomotology experienced by Mr. Bakken is more likely to have lasted longer and been less amenable to treatment than if Mr. Bakken had not had the pre-existing physical weakness in his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MRI adds little to the picture which the whole of the physical and psychological evidence provided before. I concluded, prior to receiving the MRI findings, that Mr. Bakken had pre-existing fragilities which were aggravated by the accident. In addition, in my view, in light of the absence of definitive findings on the MRI of irremediable nerve root or other irritation caused by the herniations observed - the prognosis remains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by the end of a two and one-half year period following the accident, if Mr. Bakken were involved in a comprehensive program involving pain management, reconditioning and a graduated return to work as well as psychological counselling he would likely have been able to successfully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I also find that he would not likely have been able to return to a job as a corrections officer. I accept that his psychological state is such that even if he could recondition such that it would be very unlikely he would injure himself if he engaged in the heavy labour he did before the accident, his level of anxiety and psychological fragility would prevent him from having the confidence he needs to perform in front of inmates. I accept that the perception of weakness by the inmates would be a risk neither Mr. Bakken nor his co-workers would reasonably take. There are, however, other jobs either in corrections or elsewhere within the government which are likely available to Mr. Bakken.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a provincial government employee, Mr. Bakken has an above-average opportunity to find alternate employment without loss of salary or benefits within the government. He nevertheless has a diminished ability to find and maintain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parties are far apart on this head of damages. I have reviewed several cases which loosely could be said to be similar in some respects to this case. Mr. Bakken, as a result of this accident, and the sequelae of both physical and psychological deterioration, has experienced a near total collapse of his productive life. He feels he cannot work in his previous job and is having a great deal of difficulty making progress in coming to terms with a career change. Further, he has given up his avocation of purchasing, renovating and renting or reselling properties. He no longer participates in active sporting events. Finally, he developed a dependence on narcotics as a result of his actual physical injuries and psychological perception of pain and his particular personality traits. He appears to have that problem under control at this time. In all the circumstances, I would award $70,000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Bakken on the analysis above should have been able to return to work, within the provincial government civil service two to two and one-half years post-accident. The evidence of wage loss for this period is contained in Exhibit 2 at Tabs 19 and 20. The evidence of what Mr. Bakken was paid February 2000 and what he would have been paid to that date exactly is not provided. I accept the principle that the compensable loss is the difference between what would have been paid as set out on page 2 of Tab 20 and what was paid. The plaintiff submitted a report of Mr. Douglas Hildebrand, a highly qualified economist, in the area of calculating both past and future wage loss. Tab 33 of the Hildebrand report, provides revised figures for the loss taking into account a deduction for income tax and unemployment insurance benefits. If counsel are agreed that the figure is a calculated (i.e. $67,677 to October 1999) then I accept it. The calculation should be extended to February 17,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leave it to counsel to work out an appropriate calculation based on the principles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Mr. Bakken's pre-existing problems, as demonstrated by his previous work record, likely would have interfered between August 1998 and February 2000 - the second and into the third year of his compensable injury - with his ability to earn all available income beyond his base pay. To work all of the available extra time to someone with Mr. Bakken's seniority requires almost no ill health or absenteeism. I find there would have been some absenteeism for health reasons and I would reduce the calculated amount for past wage loss after year one (after August 17, 1998) by twenty-five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question that Mr. Bakken has suffered a future wage loss. There is a high probability that he will not be able to return to his job as a corrections officer. In addition, he is not a highly resourceful person in relation to his ability to make changes. The evidence put before the court in relation to this issue suggests the combination of physical injury and his stress level and psychological fragility in relation to coping with the sequalae of this accident all conspire to reduce his employability in the future. He likely will be able to return to work shortly, if he has not already, but he does not have the same opportunities he would have had but for this accident. He cannot, for instance, resume his former job given its physical and psychological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Because of the opportunities available to someone in Mr. Bakken's position in the provincial civil service, he will not necessarily suffer a significant reduction in actual salary and benefits. But, it is much more likely that 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Bakken could retire on full pension at age 60. The Hildebrand report provided calculations of future loss based on a number of scenarios. I accepted Mr. Douglas Hildebrand as a qualified economist to provide the appropriate calculations, multipliers and labour market contingencies. Ultimately, any assessment of future wage loss has an arbitrary quality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I am taking into consideration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as of August 1999, if he had taken advantage of a rehabilitation program, Mr. Bakken could have returned to work no later than February of 2000;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I consider that Mr. Bakken, if he were prepared to do so, would have to retrain in at least a two year program to become a probation officer. If he did, that would delay his entry back into the work force by up to one and one-half to two years depending on when he began the program. However, if he chose or chooses to do so he will have an increased salary level;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I consider that Mr. Bakken's loss, if one looked at full employment as a corrections officer to age 60 with no other income earned, that is, total disability caused by the motor vehicle accident, would be $446,714. (See Hildebrand report October 7, 1999, at p. 2);</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I find that Mr. Bakken would not have worked as a corrections officer until the age of 60, however, absent the motor vehicle accident. He would likely have left that job by around the age of 50 because of increasing stress. However, as a result of the accident, Mr. Bakken cannot work as a corrections officer at all. His ability to earn income has been permanently diminished by the accident;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fifth, if I were to accept then that Mr. Bakken would lose his income for seven years but for the accident that loss would be $219,516 according to the table provided by Mr. Hildebrand. But, I do not accept that Mr. Bakken would be able to continue at full-time, including overtime, night shifts et cetera as provided for in the calculation of wage loss.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sixth, I have considered as well Mr. Bakken's house renovation/purchase and sale activities. The evidence of any actual income loss was negligible. I have already factored into this assessment under non-pecuniary loss, the impact on that activity of two and one-half years of inability to do the heavy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Considering all of the above Mr. Bakken's future wage loss assessed as a loss of opportunity or loss of a capital asset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been provided with an estimated cost of a complete rehabilitation program including psychological counselling. That program is estimated at $10,150. Mr. Bakken requires such a program to assist in meaningful rehabilitation and chance for recovery. I award $10,150.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summary, the plaintiff will recover the following amounts as damages as a result of the August 17, 1997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$ 70,000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Calculated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Wage Loss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$ 10,150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Costs follow the event. On March 20, 2000, I accepted the submission that the defendants would have their costs from November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parties are at liberty to speak further to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Beach Estate v. Beach, [2018] B.C.J. No. 1302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S168106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1108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Dorothy Esther Beach by the Executrix Nancy Marion Beach, and Dorothy Esther Beach, as Executrix of the Estate of Russell Esterly Beach, by her Executrix, Nancy Marion Beach, Plaintiffs, and Rosalie Anne Beach and Mark Adrian Whitear,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4"/>
      <w:bookmarkEnd w:id="81"/>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Res judicata — Application by defendants to strike notice of civil claim allowed — Plaintiffs alleged that they agreed to sell property as result of fraudulent misrepresentations, including that defendants were preserving property's natural environment and ecological character in sustainable manner — Plaintiffs had alleged in earlier action that agreement was induced by fraudulent misrepresentations of defendants "that they had and would continue to maintain natural character of property through ecologically responsible and sustainable stewardship" — Causes of action were identical — Supreme Court Civil Rules, Rule 9-5(1)(d).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4"/>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the notice of civil claim. The plaintiffs alleged that they agreed to sell their property as a result of fraudulent misrepresentations, including that the defendants were preserving the property's natural environment and ecological character in a legal and sustainable manner, engaged in organic farming on the property and engaged in only limited logging on it. The plaintiffs had alleged in an earlier action that the agreement was induced by the fraudulent misrepresentations of the defendants "that they had and would continue to maintain the natural character of the property through ecologically responsible and sustainable stewardship and by engaging in sustainable forestry, logging, and farming practices". The earlier action was resolved by a consent dismissal and a release with respect to the matters that were the subject of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4"/>
            <w:bookmarkEnd w:id="8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causes of action were identical. Both plainly asserted fraudulent misrepresentation. The consent order was intended to finally dispose of all issues in the cause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Legislation Cited_0"/>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Title Act, R.S.B.C. 1966, c. 250, s. 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1966 c. 266, ss. 6(3)-6(4),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366" w:history="1">
        <w:r>
          <w:rPr>
            <w:rFonts w:ascii="arial" w:eastAsia="arial" w:hAnsi="arial" w:cs="arial"/>
            <w:i/>
            <w:color w:val="0077CC"/>
            <w:sz w:val="20"/>
            <w:u w:val="single"/>
            <w:shd w:val="clear" w:color="auto" w:fill="FFFFFF"/>
            <w:lang w:val="en-US" w:eastAsia="en-US" w:bidi="ar-SA"/>
          </w:rPr>
          <w:t>S.B.C. 2012, c. 13, s. 30</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3-7(18), Rule 6-1, Rule 6-1(2) (c), Rule 6-1(4), Rule 6-1(8), Rule 9-5, Rule 9-5(1)(d), Rule 9-6, Rule 9-6(4), scale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5" w:name="Counsel_14"/>
      <w:bookmarkEnd w:id="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Rosalie Anne Beach: N.W. Lott.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Mark Adrian Whitear: K.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4"/>
      <w:bookmarkEnd w:id="86"/>
      <w:r>
        <w:pict>
          <v:line id="_x0000_s1091"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C.L. FORTH J."/>
            <w:bookmarkEnd w:id="87"/>
            <w:r>
              <w:rPr>
                <w:rFonts w:ascii="arial" w:eastAsia="arial" w:hAnsi="arial" w:cs="arial"/>
                <w:b/>
                <w:color w:val="000000"/>
                <w:sz w:val="30"/>
                <w:lang w:val="en-US" w:eastAsia="en-US" w:bidi="ar-SA"/>
              </w:rPr>
              <w:t>C.L. FORTH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address applications to strike pleadings and for summary judgment of the originating notice of civil claim (the "NOCC") that underlies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Property and its Origins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Russell Beach ("Russell") was married to Dorothy Esther Beach ("Dorothy") until his death on May 15, 2003. The couple have four adult children: Nancy Marion Beach ("Nancy"), Marilyn Terry Walia ("Marilyn"), David Russell Beach ("David"), and the defendant Rosalie Ann Beach ("Rosalie").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Dorothy was the executor of the Russell's estate. Dorothy died on January 23, 2013. Nancy, David, and Marilyn are the executors of Dorothy's estate, which now includes both Dorothy's and Russell's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Rosalie and Mark Adrian Whitear, were married in 1990 but are currently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underlying action concerns a series of disputes involving approximately 514 acres of land on Salt Spring Island, BC (the "Property"), which were once owned by Dorothy and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or about October 1990, the defendants moved onto the Property per Russell and Dorothy's wishes to maintain the Property and begin farming and logging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or about September 1994, the defendants formally leased approximately 400 acres of the Property from Russell and Dorothy (the "Leased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or about November 1997, the defendants purchased approximately 114 acres of the Property from Russell and Dorothy (the "1997 Sale Agreement"). The defendants continued to lease the Leased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or about October 1999, disputes between various members of the family resulted in Dorothy and Russell giving the defendants notice that they would terminate the lease over the Leased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Constructive Trust Claim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October 29, 2003, the defendants filed a notice of writ and statement of claim against Dorothy in the Supreme Court of BC, action no. 03 4417, Victoria Registry. This claim sought a declaration that the Leased Property was held in trust for the defendants on the basis that Dorothy had been unjustly enriched (the "Constructive Trust Claim"). In the alternative, the defendants sought damages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24, 2003, Dorothy filed a statement of defence and a counterclaim, in which she alleged that the defendants had logged illegally. She also claimed a set off for a residence that, she alleged, the defendants had promised to build on the Property for her and Russell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issues in the Constructive Trust Claim and Counterclaim went to mediation and then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23, 2005, an arbitration award was made in favour of the defendants, declaring the existence of a constructive trust over the Leased Property, subject to the defendants meeting certain conditions (the "Arbitration Award"). The Arbitration Award was open to appeal until August 24, 2005, but no appeal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28, 2006, the defendants filed a petition to enforce the Arbitration Award in the Supreme Court of BC, action no. 06 2922, Victoria Registry (the "Petition"). Dorothy did not file a response to the Petition.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Fraud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1, 2007, Dorothy, in her own capacity and as executrix of Russell's estate, filed a writ of summons against the defendants in the Supreme Court of BC, action no. S077349, Vancouver Registry. Dorothy sought a rescission of the 1997 Sale Agreement for the 114 acres on the basis of fraudulent misrepresentation, including but not limited to the defendants' representation to her and Russell that they had and would continue to maintain the natural character of the Property and engage in sustainable forestry, logging, and farming practices (the "Fraud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serving the defendants with the writ of summons, Dorothy took no steps in pursuing the Fraud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May 15, 2008, Dorothy filed a writ of summons and statement of claim against John Michalski and Ronald MacIsacc in the Supreme Court of BC, action no. S083499, Vancouver Registry,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in relation to their representation of Dorothy in relation to the Constructive Trust Claim and the related Arbitration Award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Dorothy claimed,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Messrs. Michalski and MacIsacc erred in not advising her that the arbitrator lacked jurisdiction to make an order on equitable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May 27, 2013, a notice of discontinuance of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filed.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30, 2009, the defendants and Dorothy entered into a settlement agreement (the "Settlement Agreement"). Dorothy was represented by Howard Mickelson, Q.C. in negotiating and finalizing the Settlement Agreement. The Agreement had terms to the effect that:</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mutually agreed to dismiss the Constructive Trust Claim and Counterclaim from which the Arbitration Award was derived. Dorothy agreed to release the defendants with respect to all matters at issue in that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agreed to dismiss the Petition to enforce the Arbitration Award, and release any interest the defendants held in the Arbitration Award and the 400 acres subject to the underlying lawsuit.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Dorothy agreed to dismiss the Fraud Action in relation to the 1997 Sale Agreement for the 114 purchased acres and release the defendants with respect to all matters at issue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August 28, 2009, per the Settlement Agreement, Dorothy signed a release in relation to the Constructive Trust Claim and Counterclaim (the "Counterclaim Release"). The Counterclaim Release stated that,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Dorothy would release and forever discharge the defendants from any and all claims, demands, proceedings, actions, or causes of action that Dorothy and her heirs, executors, or administrators shall or may have with respect to the activities of the defendants up until April 30, 2009 on the Leased Property, without limitation, and with respect to the matters subject to Supreme Court of BC, action no. 03 4417, Victoria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August 28, 2009, per the Settlement Agreement, Dorothy signed a release in relation to the Fraud Action (the "Fraud Action Release"). The Fraud Action Release stated that,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Dorothy in her personal capacity and as executor of Russell's estate would release and forever discharge the defendants from any and all claims, demands, proceedings, actions, or causes of action that Dorothy or her heirs, executors, or administrators shall or may have with respect to the matters subject to the Supreme Court of BC, action no. S077349,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18, 2009, per the Settlement Agreement, consent dismissals dismissing the Constructive Trust Claim, Counterclaim and Petition to enforce the Arbitration Award were filed. On December 3, 2009, the consent dismissal dismissing the Fraud Action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Nancy did not agree to release the defendants from future claims related to the Leased Property, and as a result, the Settlement Agreement provides that Dorothy and Dorothy's estate would indemnify the defendants for any costs arising from potential future claims made by Nancy in relation to the Leased Property, up to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Current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September 2, 2016, the plaintiffs filed the NOCC in the Supreme Court of BC, action no. S168106, Vancouver Registry. The plaintiffs seek the following relief:</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nullifying the 1997 Sale Agreement and vesting title of 114.6 acres currently owned by the defendants to Dorothy's estate;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the Arbitration Award;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hold no legal or equitable interest in the Property;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the Settlement Agreement;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special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legal bases for this relief as pled in the NOCC are: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 with respect to the 1997 Sale Agreement--the defendants owed a duty of care and made intentionally false representations to Dorothy and Russell, which Dorothy and Russell relied upon in agreeing to sell 114.6 acres.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of the 1997 Sale Agreement--the defendants breached the Sale Agreement by failing to construct a house for Dorothy and Russell, failing to preserve ecological character of the 114.6 acres, and logging in a manner contrary to ecological and sustainable practices.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Formation and Unconscionability of the Settlement Agreement--Dorothy entered into the Settlement Agreement as a result of misinformation, duress, and undue influence, in part, from her lawyers; and the benefits allocated under the Agreement are unconscionably distributed in favor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Both defendants filed responses opposing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March 14, 2018, the defendant Mark Whitear filed a notice of application to strike the NOCC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or in the alternative, to dismiss the issues by way of summary judgment in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March 28, 2018, the defendant Rosalie Beach filed a notice of application to strike the NOCC, dismiss all issues, and remove a certificate of pending litigation #FB509662 (the "CPL") from the Property pursuant to the same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May 17, 2018, I presided over the hearing of the applications in chambers and reserved my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Rule 9-5 provides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Rule 9-6 provides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issues raised by the NOCC, notices of applications, and submissions are:</w:t>
      </w:r>
      <w:r>
        <w:rPr>
          <w:rFonts w:ascii="arial" w:eastAsia="arial" w:hAnsi="arial" w:cs="arial"/>
          <w:sz w:val="20"/>
          <w:lang w:val="en-US" w:eastAsia="en-US" w:bidi="ar-SA"/>
        </w:rPr>
        <w:cr/>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 with respect to the 1997 Sale Agreement;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of the 1997 Sale Agreement;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Formation and Unconscionability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deciding whether to strike the claims, I will address each issue individually. After addressing each issue, I will also discuss the plaintiffs' proposed amended NOCC that was submitted into evidence as Exhibit 3 (but which has not been filed), the CPL, and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Fraudulent misrepresentation with respect to the 1997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defendants submit that it is plain and obvious that the claim for an order nullifying the 1997 Sale Agreement is an abuse of process and the matter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pursuant to subrule 9-5(d). Alternatively, they submit that the claim should be dismissed pursuant to subrule 9-6(4) because it is clear the claim is bound to fail and is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1996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Pursuant to subrule 9-5(1)(d) it must be plain and obvious that the whole or any part of a pleading is an abuse of process: </w:t>
      </w:r>
      <w:r>
        <w:rPr>
          <w:rFonts w:ascii="arial" w:eastAsia="arial" w:hAnsi="arial" w:cs="arial"/>
          <w:i/>
          <w:color w:val="000000"/>
          <w:sz w:val="20"/>
          <w:lang w:val="en-US" w:eastAsia="en-US" w:bidi="ar-SA"/>
        </w:rPr>
        <w:t>World Wide Treasure Adventures Inc. v. Trivia Games Inc</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(1996), 17 B.C.L.R. (3d) 187</w:t>
        </w:r>
      </w:hyperlink>
      <w:r>
        <w:rPr>
          <w:rFonts w:ascii="arial" w:eastAsia="arial" w:hAnsi="arial" w:cs="arial"/>
          <w:color w:val="000000"/>
          <w:sz w:val="20"/>
          <w:lang w:val="en-US" w:eastAsia="en-US" w:bidi="ar-SA"/>
        </w:rPr>
        <w:t xml:space="preserve"> (C.A.) at para. 37. Moreover, if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the action should be struck on the basis that it is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burden is on the applicant to establish the applicability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the doctrine may apply where an action is concluded pursuant to a consent judgment: </w:t>
      </w:r>
      <w:r>
        <w:rPr>
          <w:rFonts w:ascii="arial" w:eastAsia="arial" w:hAnsi="arial" w:cs="arial"/>
          <w:i/>
          <w:color w:val="000000"/>
          <w:sz w:val="20"/>
          <w:lang w:val="en-US" w:eastAsia="en-US" w:bidi="ar-SA"/>
        </w:rPr>
        <w:t>Re Ontario Sugar Co.; McKinnon's Case</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(1911), 24 O.L.R. 332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Cause of action estoppel, a branch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to bar proceedings that allege the same cause of action between the same parties, if that cause has already been determined by the courts. Cause of action estoppel also applies to bar subsequent proceedings covering the same subject matter and arising out of the same relationship between the parties, even though the second litigation may be based on a different legal description or conception of the cause: </w:t>
      </w:r>
      <w:r>
        <w:rPr>
          <w:rFonts w:ascii="arial" w:eastAsia="arial" w:hAnsi="arial" w:cs="arial"/>
          <w:i/>
          <w:color w:val="000000"/>
          <w:sz w:val="20"/>
          <w:lang w:val="en-US" w:eastAsia="en-US" w:bidi="ar-SA"/>
        </w:rPr>
        <w:t>Royal Bank of Canada v. United Used Auto &amp; Truck Parts Ltd.</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2006 BCSC 1192</w:t>
        </w:r>
      </w:hyperlink>
      <w:r>
        <w:rPr>
          <w:rFonts w:ascii="arial" w:eastAsia="arial" w:hAnsi="arial" w:cs="arial"/>
          <w:color w:val="000000"/>
          <w:sz w:val="20"/>
          <w:lang w:val="en-US" w:eastAsia="en-US" w:bidi="ar-SA"/>
        </w:rPr>
        <w:t xml:space="preserve"> at para. 38, citing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at pp. 64-65 (C.A.) and </w:t>
      </w:r>
      <w:r>
        <w:rPr>
          <w:rFonts w:ascii="arial" w:eastAsia="arial" w:hAnsi="arial" w:cs="arial"/>
          <w:i/>
          <w:color w:val="000000"/>
          <w:sz w:val="20"/>
          <w:lang w:val="en-US" w:eastAsia="en-US" w:bidi="ar-SA"/>
        </w:rPr>
        <w:t>Chapman v. Canada</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When faced with a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on grounds of a consent dismissal order from an earlier proceeding, the court must first compare the cause of action in the later proceeding with the first proceeding. If the causes of action are identical, the court must examine the consent order and any agreement, correspondence, or releases leading to its entry in order to ascertain objectively whether the consent order was intended to finally dispose of all issues in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If no cause of action estoppel is established, the court must nevertheless examine the pleadings, the consent order, and any agreement, correspondence, or releases leading to its entry in order to ascertain what issues, if any, were intended by the parties to be determined by the consent order. The parties will be precluded by "issue estoppel" from controverting any issue that the parties intended to dispose of through the consent order: </w:t>
      </w:r>
      <w:r>
        <w:rPr>
          <w:rFonts w:ascii="arial" w:eastAsia="arial" w:hAnsi="arial" w:cs="arial"/>
          <w:i/>
          <w:color w:val="000000"/>
          <w:sz w:val="20"/>
          <w:lang w:val="en-US" w:eastAsia="en-US" w:bidi="ar-SA"/>
        </w:rPr>
        <w:t>Spender (Guardian ad litem of) v. Spender</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[1999] B.C.J. no. 910</w:t>
        </w:r>
      </w:hyperlink>
      <w:r>
        <w:rPr>
          <w:rFonts w:ascii="arial" w:eastAsia="arial" w:hAnsi="arial" w:cs="arial"/>
          <w:color w:val="000000"/>
          <w:sz w:val="20"/>
          <w:lang w:val="en-US" w:eastAsia="en-US" w:bidi="ar-SA"/>
        </w:rPr>
        <w:t xml:space="preserve"> at paras. 23-25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NOCC, the plaintiffs allege that Dorothy and Russell entered into the 1997 Sale Agreement as a result of fraudulent misrepresentations, which include that:</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been managing the Property in a manner consistent with the original intentions of Dorothy and Russell by preserving its natural environment and ecological character in a legal and sustainable manner;</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engaged in organic farming on the Property;</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been allowing the other children access to the Property; and</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engaged only in limited logging on the Property and had done so in a manner consistent with ecological and sustainable forestry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Dorothy's writ of summons in the Fraud Action claimed that the defendants induced Dorothy and Russell to enter into the 1997 Sale Agreement through fraudulent misrepresentations, which included:</w:t>
      </w:r>
      <w:r>
        <w:rPr>
          <w:rFonts w:ascii="arial" w:eastAsia="arial" w:hAnsi="arial" w:cs="arial"/>
          <w:sz w:val="20"/>
          <w:lang w:val="en-US" w:eastAsia="en-US" w:bidi="ar-SA"/>
        </w:rPr>
        <w:cr/>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agreement was induced through fraudulent misrepresentations by the defendants, particularly that the defendants misrepresented that they had and would continue to maintain the natural character of the property though ecologically responsible and sustainable stewardship and by engaging in sustainable forestry, logging, and farming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mentioned, the Fraud Action was resolved by a consent dismissal order dated December 9, 2009, and a release dated August 28, 2009, which purports to "release and forever discharge [the defendants] ... with respect to the matters that are the subject of the [Fraud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Upon comparing the two causes of action, I am satisfied that they are identical--both plainly assert fraudulent misrepresentation. Furthermore, upon examining the consent order, and secondary documents and correspondence such as the releases, I am objectively satisfied that the consent order was intended to finally dispose of all issues in the cause of action. Therefore this current cause of action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Another point, which now may be moot given my above determination, is the limitation period for this current cause of action. The defendants submit that the former </w:t>
      </w:r>
      <w:r>
        <w:rPr>
          <w:rFonts w:ascii="arial" w:eastAsia="arial" w:hAnsi="arial" w:cs="arial"/>
          <w:i/>
          <w:color w:val="000000"/>
          <w:sz w:val="20"/>
          <w:lang w:val="en-US" w:eastAsia="en-US" w:bidi="ar-SA"/>
        </w:rPr>
        <w:t>1996 Act</w:t>
      </w:r>
      <w:r>
        <w:rPr>
          <w:rFonts w:ascii="arial" w:eastAsia="arial" w:hAnsi="arial" w:cs="arial"/>
          <w:color w:val="000000"/>
          <w:sz w:val="20"/>
          <w:lang w:val="en-US" w:eastAsia="en-US" w:bidi="ar-SA"/>
        </w:rPr>
        <w:t xml:space="preserve"> applies as the pre-existing claim was discovered before the effective date of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see s. 30(4). Pursuant to ss. 6(3)-(4) of the </w:t>
      </w:r>
      <w:r>
        <w:rPr>
          <w:rFonts w:ascii="arial" w:eastAsia="arial" w:hAnsi="arial" w:cs="arial"/>
          <w:i/>
          <w:color w:val="000000"/>
          <w:sz w:val="20"/>
          <w:lang w:val="en-US" w:eastAsia="en-US" w:bidi="ar-SA"/>
        </w:rPr>
        <w:t>1996 Act</w:t>
      </w:r>
      <w:r>
        <w:rPr>
          <w:rFonts w:ascii="arial" w:eastAsia="arial" w:hAnsi="arial" w:cs="arial"/>
          <w:color w:val="000000"/>
          <w:sz w:val="20"/>
          <w:lang w:val="en-US" w:eastAsia="en-US" w:bidi="ar-SA"/>
        </w:rPr>
        <w:t>, the running time for an action based on fraud or deceit is postponed until the identity of the defendant is known to the claimant, and the facts within the claimant's knowledge would reasonably enable the bringing of a claim: see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paras. 23 and 25 of the NOCC, the plaintiffs plead that:</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114.6 Acre Sale Agreement, Rosalie and Mark had been logging the Property extensively and illegally. They had not preserved the Property's natural environmental and ecological character. (collectively, the "Misrepresentations").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Dorothy and Russell did not learn about the Misrepresentations until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 result, I find that there is no basis for asserting a postponement of the running of the limitation period. This misrepresentation claim is also barred by the expiry of the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Breach of contract of the 1997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NOCC, the plaintiffs allege that the defendants breached the terms of the 1997 Sale Agreement. In support, the plaintiffs state that the defendants did the following: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refused or neglected to construct or cause to be constructed a house on the 114.6 acres for the use of Dorothy and Russell;</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preserve the environmental and ecological character of the 114.6 acres; and</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engaged in extensive logging in a manner inconsistent with ecological and sustainable forestry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Similarly, Dorothy's claim in the Counterclaim alleged that the plaintiffs had breached the 1997 Sale Agreement. The Counterclaim asserted that the defendants did the following:</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cut timber on her property, without accounting; and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or refused to build a place of residence on the lands for her and her late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Counterclaim was resolved by a consent dismissal order dated November 18, 2009 and a release dated August 28,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Upon comparing the two causes of action, I am satisfied that they both plainly assert breach of contract. Furthermore, upon examining the consent order, and the secondary documents and correspondence such as the releases, I am objectively satisfied that the consent order was intended to finally dispose of all issues in the cause of action. Therefore this current cause of action is 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Formation and Unconscionability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NOCC, the plaintiffs allege that the Settlement Agreement is unconscionable as it gives unilateral benefit to the defendants. Furthermore, the pleadings state that Dorothy entered into the Settlement Agreement as a result of misinformation, duress, and undue influence on the part of the lawyer who represented her in negotiating and finalizing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defendants submit that these claims raise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against the defendants, as the claim is bound to fail and/or it is manifestly clear that it raises no genuine issue for trial: </w:t>
      </w:r>
      <w:r>
        <w:rPr>
          <w:rFonts w:ascii="arial" w:eastAsia="arial" w:hAnsi="arial" w:cs="arial"/>
          <w:i/>
          <w:color w:val="000000"/>
          <w:sz w:val="20"/>
          <w:lang w:val="en-US" w:eastAsia="en-US" w:bidi="ar-SA"/>
        </w:rPr>
        <w:t>Korkut v. Kinloch</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2014 BCSC 1576</w:t>
        </w:r>
      </w:hyperlink>
      <w:r>
        <w:rPr>
          <w:rFonts w:ascii="arial" w:eastAsia="arial" w:hAnsi="arial" w:cs="arial"/>
          <w:color w:val="000000"/>
          <w:sz w:val="20"/>
          <w:lang w:val="en-US" w:eastAsia="en-US" w:bidi="ar-SA"/>
        </w:rPr>
        <w:t xml:space="preserve"> at para. 24. The defendants seek a dismissal by way of summary judgment: see R. 9-6(4).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my view, the claim for undue influence, misinformation and duress against the defendants is bound to fail. The material facts pled in support of this claim are woefully inadequate for this to be a genuine issue for trial as against the defendants. Moreover, the allegation of unconscionability is also bound to fail. For a finding of unconscionability it must be shown for success that there was an inequality in the power of the parties due to ignorance, need or distress of the weaker, which would leave her in the power of the stronger, coupled with proof of substantial unfairness in the bargain: </w:t>
      </w:r>
      <w:r>
        <w:rPr>
          <w:rFonts w:ascii="arial" w:eastAsia="arial" w:hAnsi="arial" w:cs="arial"/>
          <w:i/>
          <w:color w:val="000000"/>
          <w:sz w:val="20"/>
          <w:lang w:val="en-US" w:eastAsia="en-US" w:bidi="ar-SA"/>
        </w:rPr>
        <w:t>Braut v. Stec</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2005 BCCA 521</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Dorothy was represented by experienced and senior counsel in the negotiation of the Settlement Agreement. There was a multitude of benefits that resulted in having a resolution of all of the outstanding claims. The pleading and evidence adduced by the parties support that the plaintiff is bound to 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a result of this determination, the plaintiffs' submission that the Arbitration Award should be set aside also fails--the Award is a nullity: see generally </w:t>
      </w:r>
      <w:r>
        <w:rPr>
          <w:rFonts w:ascii="arial" w:eastAsia="arial" w:hAnsi="arial" w:cs="arial"/>
          <w:i/>
          <w:color w:val="000000"/>
          <w:sz w:val="20"/>
          <w:lang w:val="en-US" w:eastAsia="en-US" w:bidi="ar-SA"/>
        </w:rPr>
        <w:t>Hunt v. Carey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Proposed amendments to the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hearing, the plaintiffs proposed certain amendments to the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Rule 6-1 outlines when pleadings may be amended: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pleadings may be amended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service of the notice of trial, or</w:t>
      </w:r>
    </w:p>
    <w:p>
      <w:pPr>
        <w:numPr>
          <w:numId w:val="4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of trial is served, only with</w:t>
      </w:r>
    </w:p>
    <w:p>
      <w:pPr>
        <w:numPr>
          <w:numId w:val="4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unless the court otherwise orders, the amending party must file the amended pleading (R. 6-1(2)(c)), and serve the filed amended pleading on all parties (R. 6-1(4)).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 notice of trial has been filed with the court for this action; therefore the plaintiffs would not ordinarily require leave to amend the pleadings. However, in this case, the plaintiffs have not filed the amended pleading. The plaintiffs have merely submitted the proposed amendments at the hearing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Subrule 6-1(8) gives the court discretion to grant amendments to pleadings at a hearing, and to dispose of the need for filing and service. The court has applied this rule (and its predecessor) to authorize amendments after the hearing of evidence at trial: see e.g. </w:t>
      </w:r>
      <w:r>
        <w:rPr>
          <w:rFonts w:ascii="arial" w:eastAsia="arial" w:hAnsi="arial" w:cs="arial"/>
          <w:i/>
          <w:color w:val="000000"/>
          <w:sz w:val="20"/>
          <w:lang w:val="en-US" w:eastAsia="en-US" w:bidi="ar-SA"/>
        </w:rPr>
        <w:t>Batyka v. Barber</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2014 BCSC 769</w:t>
        </w:r>
      </w:hyperlink>
      <w:r>
        <w:rPr>
          <w:rFonts w:ascii="arial" w:eastAsia="arial" w:hAnsi="arial" w:cs="arial"/>
          <w:color w:val="000000"/>
          <w:sz w:val="20"/>
          <w:lang w:val="en-US" w:eastAsia="en-US" w:bidi="ar-SA"/>
        </w:rPr>
        <w:t xml:space="preserve"> at paras. 28, 33. The court has also commented on the threshold for amendments proposed during the submission stage of a summary trial: see </w:t>
      </w:r>
      <w:r>
        <w:rPr>
          <w:rFonts w:ascii="arial" w:eastAsia="arial" w:hAnsi="arial" w:cs="arial"/>
          <w:i/>
          <w:color w:val="000000"/>
          <w:sz w:val="20"/>
          <w:lang w:val="en-US" w:eastAsia="en-US" w:bidi="ar-SA"/>
        </w:rPr>
        <w:t>Patzer v. Hastings Entertainment Inc.</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BCSC 426</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have not been directed to any authority on how subrule 6-1(8) should apply during a hearing to strike pleadings and for summary judgment. Nevertheless, an important point to consider is the prejudice or injustice to the non-amending party. I also note that a party should be allowed to amend its pleading to avoid technical defeat on a summary application: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2014 BCSC 702</w:t>
        </w:r>
      </w:hyperlink>
      <w:r>
        <w:rPr>
          <w:rFonts w:ascii="arial" w:eastAsia="arial" w:hAnsi="arial" w:cs="arial"/>
          <w:color w:val="000000"/>
          <w:sz w:val="20"/>
          <w:lang w:val="en-US" w:eastAsia="en-US" w:bidi="ar-SA"/>
        </w:rPr>
        <w:t xml:space="preserve"> at para. 76, reversed in part </w:t>
      </w:r>
      <w:hyperlink r:id="rId379"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Helman v. Brown</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[1966] B.C.J. No. 48</w:t>
        </w:r>
      </w:hyperlink>
      <w:r>
        <w:rPr>
          <w:rFonts w:ascii="arial" w:eastAsia="arial" w:hAnsi="arial" w:cs="arial"/>
          <w:color w:val="000000"/>
          <w:sz w:val="20"/>
          <w:lang w:val="en-US" w:eastAsia="en-US" w:bidi="ar-SA"/>
        </w:rPr>
        <w:t xml:space="preserve"> (C.A.); and the general approach to amendments is generous and non-technical, thereby to permit amendments as are necessary to determine the real question between the parties, considering always the interests of justice: </w:t>
      </w:r>
      <w:r>
        <w:rPr>
          <w:rFonts w:ascii="arial" w:eastAsia="arial" w:hAnsi="arial" w:cs="arial"/>
          <w:i/>
          <w:color w:val="000000"/>
          <w:sz w:val="20"/>
          <w:lang w:val="en-US" w:eastAsia="en-US" w:bidi="ar-SA"/>
        </w:rPr>
        <w:t>Century Services Inc</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the portions of the proposed amendment that require discussion are those related to issue 3--the formation of the Settlement Agreement. The plaintiffs have proposed several new wordings that attempt to link the defendants' conduct to the formation of the Settlement Agreement:</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negligently or with reckless disregard for the truth withheld pertinent information and the Arbitration Order </w:t>
      </w:r>
      <w:r>
        <w:rPr>
          <w:rFonts w:ascii="arial" w:eastAsia="arial" w:hAnsi="arial" w:cs="arial"/>
          <w:color w:val="000000"/>
          <w:sz w:val="20"/>
          <w:u w:val="single"/>
          <w:lang w:val="en-US" w:eastAsia="en-US" w:bidi="ar-SA"/>
        </w:rPr>
        <w:t>and the Settlement Agreement were</w:t>
      </w:r>
      <w:r>
        <w:rPr>
          <w:rFonts w:ascii="arial" w:eastAsia="arial" w:hAnsi="arial" w:cs="arial"/>
          <w:color w:val="000000"/>
          <w:sz w:val="20"/>
          <w:lang w:val="en-US" w:eastAsia="en-US" w:bidi="ar-SA"/>
        </w:rPr>
        <w:t xml:space="preserve"> made on error in fact, such fact if having been known would have been material to the Arbitration </w:t>
      </w:r>
      <w:r>
        <w:rPr>
          <w:rFonts w:ascii="arial" w:eastAsia="arial" w:hAnsi="arial" w:cs="arial"/>
          <w:color w:val="000000"/>
          <w:sz w:val="20"/>
          <w:u w:val="single"/>
          <w:lang w:val="en-US" w:eastAsia="en-US" w:bidi="ar-SA"/>
        </w:rPr>
        <w:t>and to the Settlement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Dorothy's lawyers made various errors, including ...</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defendant's] Constructive Trust Claim, including claiming costs for the Road Building when they had been specifically instructed that they must pay for it themselves, was part of Rosalie and Mark's undue influence</w:t>
      </w:r>
      <w:r>
        <w:rPr>
          <w:rFonts w:ascii="arial" w:eastAsia="arial" w:hAnsi="arial" w:cs="arial"/>
          <w:color w:val="000000"/>
          <w:sz w:val="20"/>
          <w:lang w:val="en-US" w:eastAsia="en-US" w:bidi="ar-SA"/>
        </w:rPr>
        <w: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lawyers failed to properly advise Dorothy of the details of the claim, including but not limited to that the claim was based on a lease which had expired, and persuaded Dorothy to accept the Settlement Agreement stating that she did not have a reasonable prospect of success. </w:t>
      </w:r>
      <w:r>
        <w:rPr>
          <w:rFonts w:ascii="arial" w:eastAsia="arial" w:hAnsi="arial" w:cs="arial"/>
          <w:color w:val="000000"/>
          <w:sz w:val="20"/>
          <w:u w:val="single"/>
          <w:lang w:val="en-US" w:eastAsia="en-US" w:bidi="ar-SA"/>
        </w:rPr>
        <w:t>But, it is believed the lawyers were unaware that [the defendants] lacked farm status on part of [the defendants'] land, so the lawyers were not responsible for the misrepresentation of [the defendants] within the Settlement</w:t>
      </w:r>
      <w:r>
        <w:rPr>
          <w:rFonts w:ascii="arial" w:eastAsia="arial" w:hAnsi="arial" w:cs="arial"/>
          <w:color w:val="000000"/>
          <w:sz w:val="20"/>
          <w:lang w:val="en-US" w:eastAsia="en-US" w:bidi="ar-SA"/>
        </w:rPr>
        <w: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Dorothy entered into the Settlement Agreement as a result of undue influence, </w:t>
      </w:r>
      <w:r>
        <w:rPr>
          <w:rFonts w:ascii="arial" w:eastAsia="arial" w:hAnsi="arial" w:cs="arial"/>
          <w:color w:val="000000"/>
          <w:sz w:val="20"/>
          <w:u w:val="single"/>
          <w:lang w:val="en-US" w:eastAsia="en-US" w:bidi="ar-SA"/>
        </w:rPr>
        <w:t>including by [the defendants</w:t>
      </w:r>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Settlement Agreement is unconscionable because of its unilateral benefit to [the defendants], and because the claim which the Settlement Agreement resolved was based on a lease which had by then expired, </w:t>
      </w:r>
      <w:r>
        <w:rPr>
          <w:rFonts w:ascii="arial" w:eastAsia="arial" w:hAnsi="arial" w:cs="arial"/>
          <w:color w:val="000000"/>
          <w:sz w:val="20"/>
          <w:u w:val="single"/>
          <w:lang w:val="en-US" w:eastAsia="en-US" w:bidi="ar-SA"/>
        </w:rPr>
        <w:t>and because [the defendants] unduly influenced Dorothy through their "fraudulent misrepresentation involving its exclusionary clause while hiding their lack of farm status", and because they involved Dorothy in such a disturbing agreement when she had just returned home from hospital, still with a high and irregular heart rate at age 95, etc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3: LEGAL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 </w:t>
      </w:r>
      <w:r>
        <w:rPr>
          <w:rFonts w:ascii="arial" w:eastAsia="arial" w:hAnsi="arial" w:cs="arial"/>
          <w:color w:val="000000"/>
          <w:sz w:val="20"/>
          <w:u w:val="single"/>
          <w:lang w:val="en-US" w:eastAsia="en-US" w:bidi="ar-SA"/>
        </w:rPr>
        <w:t>Fraudulent Misrepresentation by [the defendants] also occurred within the Settlement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[New wordings underlined.]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Subrule 3-7(18) requires that "[i]f the party pleading relies on misrepresentation, fraud, breach of trust, wilful default or undue influence ... full particulars, with dates and items if applicable, must be stated in the pleading." The proposed amendments fall short of this standard: see e.g. </w:t>
      </w:r>
      <w:r>
        <w:rPr>
          <w:rFonts w:ascii="arial" w:eastAsia="arial" w:hAnsi="arial" w:cs="arial"/>
          <w:i/>
          <w:color w:val="000000"/>
          <w:sz w:val="20"/>
          <w:lang w:val="en-US" w:eastAsia="en-US" w:bidi="ar-SA"/>
        </w:rPr>
        <w:t>Harris v. Ray Kissack Memorial Housing Society</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2003 BCSC 1476</w:t>
        </w:r>
      </w:hyperlink>
      <w:r>
        <w:rPr>
          <w:rFonts w:ascii="arial" w:eastAsia="arial" w:hAnsi="arial" w:cs="arial"/>
          <w:color w:val="000000"/>
          <w:sz w:val="20"/>
          <w:lang w:val="en-US" w:eastAsia="en-US" w:bidi="ar-SA"/>
        </w:rPr>
        <w:t xml:space="preserve"> at paras. 11-14. Furthermore, portions of the new wordings, such as "it is believed the lawyers were unaware that [the defendants] lacked farm status on part of [the defendants'] land", are simply not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considered the pleadings and evidence, and they indicate that Dorothy entered into the Settlement Agreement while being represented by an experienced and senior counsel. The plaintiffs have submitted over 200 pages of email correspondence, spanning at least the past ten years. I have reviewed all of this material. This voluminous material is largely unhelpful as it lacks much relevance and adds no coherent narrative or basis to the allegations raised in the proposed amendments. Moreover, the plaintiffs submitted into evidence a printout from BC Assessment that states the Property at 242 Bridgman Road, Salt Spring Island had residential, light industry, and farm 'land property classes' from 2005-2016. This is in direct contradiction to the amendments put forward, and I was not given a cogent explanation of this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the hearing, the plaintiffs also sought an adjournment in order to, among other things, obtain legal advice to properly amend the NOCC. I denied that request as this case has already recently been adjourned, and I was not persuaded that the plaintiffs were in the process of retaining a lawyer for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result, the proposed amendments do not affect my earlier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Certificate of Pending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mentioned, the defendant Rosalie Beach also seeks to remove a CPL registered against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recently summarized by the Court of Appeal in </w:t>
      </w:r>
      <w:r>
        <w:rPr>
          <w:rFonts w:ascii="arial" w:eastAsia="arial" w:hAnsi="arial" w:cs="arial"/>
          <w:i/>
          <w:color w:val="000000"/>
          <w:sz w:val="20"/>
          <w:lang w:val="en-US" w:eastAsia="en-US" w:bidi="ar-SA"/>
        </w:rPr>
        <w:t>NextGen Energy Watervliet TWP, LLC v. Bremner</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2018 BCCA 219</w:t>
        </w:r>
      </w:hyperlink>
      <w:r>
        <w:rPr>
          <w:rFonts w:ascii="arial" w:eastAsia="arial" w:hAnsi="arial" w:cs="arial"/>
          <w:color w:val="000000"/>
          <w:sz w:val="20"/>
          <w:lang w:val="en-US" w:eastAsia="en-US" w:bidi="ar-SA"/>
        </w:rPr>
        <w:t xml:space="preserve"> at paras. 5-9, a CPL may be cancelled in one of three circumstances. If an application for summary dismissal is successful for the part of a claim relating to land, a CPL may be cancelled in accordance with the procedure set out in s. 254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open to this defendant to follow that procedure in seeking to remove the CPL.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Special costs may be ordered where a party pursues a meritless claim and is reckless with regard to the truth; where a party makes improper allegations of fraud, conspiracy, fraudulent misrepresentation, or breach of fiduciary duty; where a party presents a case so weak that it is bound to fail; and where a party pursues claims frivolously or without foundation: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The nature of special costs is to address the conduct of the parties: see </w:t>
      </w:r>
      <w:r>
        <w:rPr>
          <w:rFonts w:ascii="arial" w:eastAsia="arial" w:hAnsi="arial" w:cs="arial"/>
          <w:i/>
          <w:color w:val="000000"/>
          <w:sz w:val="20"/>
          <w:lang w:val="en-US" w:eastAsia="en-US" w:bidi="ar-SA"/>
        </w:rPr>
        <w:t>Watson v. Slavik</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(1996), 5 C.P.C. (4th) 315</w:t>
        </w:r>
      </w:hyperlink>
      <w:r>
        <w:rPr>
          <w:rFonts w:ascii="arial" w:eastAsia="arial" w:hAnsi="arial" w:cs="arial"/>
          <w:color w:val="000000"/>
          <w:sz w:val="20"/>
          <w:lang w:val="en-US" w:eastAsia="en-US" w:bidi="ar-SA"/>
        </w:rPr>
        <w:t xml:space="preserve"> at para. 16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seeks special costs against Nancy as the executrix of Dorothy's and Russell's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Although the plaintiffs' claims have all failed, I am not inclined to award special costs. Nancy acted on her own without a lawyer. I accept that her conduct and motivations were genuine despite being legally inadequate. In my view, her conduct does not rise to the standard of "reprehensible conduct" that justifies an award of special costs, nor do I think the circumstances justify a punitive award that incorporates an element of deterrence: see generally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plaintiffs' NOCC fails in its entirety pursuant to rules 9-5 and 9-6. The NOCC is struck in its entirety. It is open to the defendant Rosalie Beach to apply to remove the CPL pursuant to s. 254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Costs awarded to the defendants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Bercko v. Canada Safeway Ltd., [2000] B.C.J. No. 1754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Boyle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21,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24,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S040986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1754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1274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99 A.C.W.S. (3d) 359</w:t>
      </w:r>
    </w:p>
    <w:p>
      <w:pPr>
        <w:spacing w:before="120" w:line="260" w:lineRule="atLeast"/>
        <w:rPr>
          <w:lang w:val="en-US" w:eastAsia="en-US" w:bidi="ar-SA"/>
        </w:rPr>
      </w:pPr>
      <w:r>
        <w:rPr>
          <w:rFonts w:ascii="arial" w:eastAsia="arial" w:hAnsi="arial" w:cs="arial"/>
          <w:color w:val="000000"/>
          <w:sz w:val="20"/>
          <w:lang w:val="en-US" w:eastAsia="en-US" w:bidi="ar-SA"/>
        </w:rPr>
        <w:t>Between Angela Bercko, plaintiff, and Canada Safeway Limited,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3"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8" w:name="Keywords_5"/>
      <w:bookmarkEnd w:id="8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Evidence.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9" w:name="Case Summary_5"/>
            <w:bookmarkEnd w:id="8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Canada Safeway Ltd. for an order dismissing Bercko's claim for damages arising out of food contamination causing illness. Bercko claimed that she sustained food poisoning from campylobacter from food she purchased and ingested from Canada Safeway on June 16, 1995. She fell ill within four to eight hours after ingesting it. Canada Safeway relied upon expert evidence that the incubation period of campylobacter was 12 to 48 hours at the very least and usually longer. It took the position that she was likely poisoned by chicken she ate the day before, and not by the food purchased from it. Bercko's only evidence in support of her theory was in the form of a letter from her family physician whose conclusion as to the cause was unsupported. </w:t>
            </w:r>
            <w:r>
              <w:rPr>
                <w:lang w:val="en-US" w:eastAsia="en-US" w:bidi="ar-SA"/>
              </w:rPr>
              <w:cr/>
            </w:r>
          </w:p>
          <w:p>
            <w:pPr>
              <w:spacing w:before="120" w:line="260" w:lineRule="atLeast"/>
              <w:ind w:left="240"/>
              <w:jc w:val="both"/>
              <w:rPr>
                <w:lang w:val="en-US" w:eastAsia="en-US" w:bidi="ar-SA"/>
              </w:rPr>
            </w:pPr>
            <w:bookmarkStart w:id="90" w:name="Holdings of Court_5"/>
            <w:bookmarkEnd w:id="90"/>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Canada Safeway proved on a balance of probabilities that the cause of Bercko's illness was not the food purchased at its store and no cogent contrary evidence was adduced by Bercko. It was entitled to a dismissal of the action. </w:t>
            </w:r>
            <w:r>
              <w:rPr>
                <w:lang w:val="en-US" w:eastAsia="en-US" w:bidi="ar-SA"/>
              </w:rPr>
              <w:cr/>
            </w:r>
          </w:p>
          <w:p>
            <w:pPr>
              <w:rPr>
                <w:lang w:val="en-US" w:eastAsia="en-US" w:bidi="ar-SA"/>
              </w:rPr>
            </w:pPr>
          </w:p>
        </w:tc>
      </w:tr>
    </w:tbl>
    <w:p>
      <w:pPr>
        <w:jc w:val="both"/>
        <w:rPr>
          <w:lang w:val="en-US" w:eastAsia="en-US" w:bidi="ar-SA"/>
        </w:rPr>
      </w:pPr>
      <w:bookmarkStart w:id="91" w:name="Legislation Cited_1"/>
      <w:bookmarkEnd w:id="9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4"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Ontario Rules of Civil Procedure, Rules 18A, 31(2).</w:t>
      </w:r>
      <w:r>
        <w:rPr>
          <w:lang w:val="en-US" w:eastAsia="en-US" w:bidi="ar-SA"/>
        </w:rPr>
        <w:cr/>
      </w:r>
    </w:p>
    <w:p>
      <w:pPr>
        <w:keepNext/>
        <w:spacing w:before="240" w:line="340" w:lineRule="atLeast"/>
        <w:rPr>
          <w:lang w:val="en-US" w:eastAsia="en-US" w:bidi="ar-SA"/>
        </w:rPr>
      </w:pPr>
      <w:bookmarkStart w:id="92" w:name="Counsel_15"/>
      <w:bookmarkEnd w:id="9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5" style="position:absolute;z-index:2517770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D.J. MacFarlane, for the plaintiff/respondent. G.M. Hagel, for the defendant/applicant.</w:t>
      </w:r>
      <w:r>
        <w:rPr>
          <w:lang w:val="en-US" w:eastAsia="en-US" w:bidi="ar-SA"/>
        </w:rPr>
        <w:cr/>
      </w:r>
    </w:p>
    <w:p>
      <w:pPr>
        <w:spacing w:after="240"/>
        <w:rPr>
          <w:lang w:val="en-US" w:eastAsia="en-US" w:bidi="ar-SA"/>
        </w:rPr>
      </w:pPr>
      <w:bookmarkStart w:id="93" w:name="Judgment_15"/>
      <w:bookmarkEnd w:id="93"/>
      <w:r>
        <w:pict>
          <v:line id="_x0000_s1096" style="position:absolute;z-index:2518169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4" w:name="BOYLE J."/>
            <w:bookmarkEnd w:id="94"/>
            <w:r>
              <w:rPr>
                <w:rFonts w:ascii="arial" w:eastAsia="arial" w:hAnsi="arial" w:cs="arial"/>
                <w:b/>
                <w:color w:val="000000"/>
                <w:sz w:val="30"/>
                <w:lang w:val="en-US" w:eastAsia="en-US" w:bidi="ar-SA"/>
              </w:rPr>
              <w:t>BOYLE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an application under Rule 18A brought by the defendant seeking an order dismissing the plaintiff's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is that Ms. Bercko ("the plaintiff") was sold contaminated food by the defendant and consequently became ill following its consumption. She alleges the contamination was from the presence of campylobacter bacteria.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food was purchased and eaten June 16,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an application under the Rule, no matter whether it is the plaintiff or the defendant who has brought the application, the plaintiff must either prove her/his case or, alternatively, either party may show the action should not or cannot be decided in this way - subject to the court's right to make a variety of procedural orders such as, for instance, cross-examination on the affidavits.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at this stage does not deny the plaintiff was infected by the campylobacter organisms but submits the infection could not have come from the prepared food purchased from the defendant. The defendant's submission is based on an expert opinion (Joseph) that the incubation period in which the infection develops is incompatible with the onset of symptoms described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evidence is that the symptoms appeared between four and eight hours after eating the pre-cooked food. The expert's evidence 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incubation period before the symptoms develop is usually three to five days. On rare occasions symptoms may be delayed for ten days. On very rare occasions symptoms may occur as short as 48 hours after ingestion but essentially never with(in) 12 hours of ingestion.</w:t>
      </w:r>
    </w:p>
    <w:p>
      <w:pPr>
        <w:spacing w:before="120" w:line="260" w:lineRule="atLeast"/>
        <w:ind w:left="720"/>
        <w:rPr>
          <w:lang w:val="en-US" w:eastAsia="en-US" w:bidi="ar-SA"/>
        </w:rPr>
      </w:pPr>
      <w:r>
        <w:rPr>
          <w:rFonts w:ascii="arial" w:eastAsia="arial" w:hAnsi="arial" w:cs="arial"/>
          <w:color w:val="000000"/>
          <w:sz w:val="20"/>
          <w:lang w:val="en-US" w:eastAsia="en-US" w:bidi="ar-SA"/>
        </w:rPr>
        <w:t>Based on the incubation period described above, one would work backward from the onset of abdominal symptoms and look for potential contact with a likely contaminated food three to five days previously.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Joseph's opinion was forwarded to plaintiff's counsel November 26,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submits, "A more likely source of the illness was chicken the plaintiff cooked and ate on June 15, the day before (admitted on discovery). That is speculation although it raises a possibility. Dr. Joseph in his written opinion pointed to chicken as a common source of campylobacter infection.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notice to admit was endorsed as received by plaintiff's then counsel November 18, 1998. Admission was sought for the assertion: "The plaintiff was diagnosed as suffering from campylobacter jejuni on June 16,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 response was received. The admission is therefore deemed under Rule 31(2).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 to the June 16, 1995 date, plaintiff's prior counsel provided defendant's counsel with a note from Vancouver Richmond Health Board (J.I. Chan) about mid-October 1998, stating: "... incubation period is too short for campylobacter infection for the meal consumed on June 16, 1995." The context of the communication is not provided, nor is Ms. Chan's qualification to give that opinion but the advice should have alerted that prior counsel to the evidentiary problems of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note from Ms. Chan was offered on an "information and belief" basis by a secretary employed by defendant's counsel who had reviewed the defendant's case file. In the ordinary course in a proceeding for dismissal, the note would not be admissible but, since it came from the prior counsel for the plaintiff without indication of reserve, I concluded it could be admitted into evidence for the limited purpose of notice. It was argued as being received in preparation for litigation but plaintiff's present counsel perhaps was not well served by plaintiff's prior counsel who apparently made no such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June 16, 1995, date of diagnosis was not picked out of the blue. Dr. D.S. Brown, the plaintiff's family physician wrote, on January 25, 1997: "In summary (the plaintiff) suffered the effects of an acute infection with campylobactor (sic) pylori whose source has been confirmed by public health officials as the dish she consumed on June 16, 1995." There was no evidence of such confirmation.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Brown's opinion is unsupported and is contrary to the opinion of Dr. Joseph. Dr. Brown's report was attached as an exhibit to a solicitor's affidavit in which hearsay evidence and a medical opinion of the solicitor was offered going to causation. I disallowed the material in the affidavit but admitted Dr. Brown's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way of interjection, the evidence does show the plaintiff experienced a long, painful period of time but that does not in itself answer the causation question. The plaintiff submits the initial discomfort (which sent her to an emergency ward) may have been gastroenteritis and submits that the bacterial infection became symptomatic later thereby fitting the timing predicated by Dr. Joseph. Unfortunately there was no evidence to support that theory.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Bercko is an honest person who did become ill in June 1995. As a lay person she had reasonable grounds for an honest belief as to cause but, at the end of the day, it is inescapable that causation is not proven. The balance of probabilities show the food purchased at Safeway could not have caused the infection.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asks for costs and a fixed sum for this application. Costs will go in the usual way but this is a case in which, I suggest, the wind should be "tempered to the shorn lamb". The litigation appears to have gotten off, and to have crawled along, on the wrong foot for the plaintiff through no fault of hers - which is not intended as a criticism of counsel at the hearing.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BOYLE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Canadian National Railway Co. v. Canada, [2003] B.C.J. No. 2327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Henderson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18 - 22, 25 - 29, 2002, January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20 - 24, 27 - 31, February 3 - 7, 10 - 14, 17- 21,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24 - 25, March 3 - 5, and 10 - 14,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C975257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2327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1558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998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Canadian National Railway Company, plaintiff, and Her Majesty the Queen in Right of Canada, Her Majesty the Queen in Right of the Province of British Columbia, as represented by the Minister of Transportation and Highways and HMC Services Inc., defendants, and Her Majesty the Queen in Right of the Province of British Columbia, as represented by the Minister of Transportation and Highways, Her Majesty the Queen in Right of Canada, Canadian Pacific Railway Company, Kevin John Boux and Harold Jackson Young,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5" w:name="Keywords_6"/>
      <w:bookmarkEnd w:id="9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Evidence — Burden of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6" w:name="Case Summary_6"/>
            <w:bookmarkEnd w:id="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Canadian National Railway against the Province of British Columbia for damages arising from a landslide. The landslide swept away a portion of an embankment supporting railway track owned by the Railway. Shortly afterward, a Railway freight train plunged into a canyon, resulting in two deaths and extensive damage. The Railway was unaware of the landslide until after the derailment occurred. It claimed that the Province was negligent in abutting its highway fill against the railway fill when it realigned the highway, and failed to control surface water above the highway. The Railway had made complaints to the Province in the past about water emanating from above the highway. The Province had a drainage system in place. A few weeks before the derailment, a maintenance contractor observed a small trickle of water coming down the slow above the highway where the landslide eventually occurred. The Railway's pre-derailment inspections did not detect any ponding of water in the area. After the derailment, water was observed flowing above the highway and spreading out over a flat area. The parties agreed that the landslide was caused by the water table rising within the railway fill, but disagreed about whether the source of the water was surface water from an ephemeral stream or ground water percolating up from the bedrock.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7" w:name="Holdings of Court_6"/>
            <w:bookmarkEnd w:id="9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opinions of both parties' experts were considered unreliable as they contained a number of fundamental assumptions that were unproven and highly debatable. On a balance of probabilities, it was not established that the landslide was caused by deep ground water percolating up from the bedrock or by surface water infiltrating the ground above the highway. As the scales were evenly balanced, the Railway had failed to prove causation.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8" w:name="Counsel_16"/>
      <w:bookmarkEnd w:id="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E.B. Lyall, M. Dery, and K. Siddall, for the plaintiff. H. Mikelson, A. Gay and D. Eastwood, for the defendants, HMTQ in Right of B.C. P. Partridge and S. Postman, for HMTQ in Right of Canada. W. Everett, Q.C. and S. Gregory, for the third parties, CP Rail, Boux and Young.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9" w:name="Judgment_16"/>
      <w:bookmarkEnd w:id="99"/>
      <w:r>
        <w:pict>
          <v:line id="_x0000_s1100" style="position:absolute;z-index:2517780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0" w:name="HENDERSON J."/>
            <w:bookmarkEnd w:id="100"/>
            <w:r>
              <w:rPr>
                <w:rFonts w:ascii="arial" w:eastAsia="arial" w:hAnsi="arial" w:cs="arial"/>
                <w:b/>
                <w:color w:val="000000"/>
                <w:sz w:val="30"/>
                <w:lang w:val="en-US" w:eastAsia="en-US" w:bidi="ar-SA"/>
              </w:rPr>
              <w:t>HENDERSON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26, 1997, a landslide near Ashcroft, British Columbia, swept away a portion of the embankment supporting railway track owned by the plaintiff, Canadian National Railway Company ("CN"). Shortly after, a CN freight train plunged into the Fraser Canyon, resulting in two deaths and extensive damage, loss and expense to 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CN says the landslide was caused by negligent construction and management of surface water by the defendant, Her Majesty the Queen in Right of the Province of British Columbia. The action is also framed in nuisance and invokes principles of liability established under water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Much of the trial was taken up with evidence and argument on this issue of causation. CN acknowledges that it cannot succeed on any pleaded theory of liability unless it establishes its theory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claim is also advanced against Her Majesty the Queen in Right of Canada, in relation to its role in the original design of the Trans Canada Highway, and against HMC Services Inc., the highway maintenance contractor. The action against HMC has now been discontinued. Canada took a relatively inactive role in the trial, leaving the bulk of the defence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Province has taken third party proceedings against Canadian Pacific Railway Company ("CP Rail"), Kevin Boux, and Harold Young, alleging they breached a duty to warn CN of the existence of the landslide. The Province and Canada have also commenced third party proceedings against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consent of the parties, I have proceeded with a trial on the question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Geological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landslide occurred at 4:37 a.m. at Mile 106.14 of the Ashcroft Subdivision of the CN Railway. This is a location in the Fraser Canyon approximately eight miles south of Lytton, British Columbia. At 6:06 a.m. an eastbound CN freight train derailed as it entered the landslide area, plunging down the steep embankment into the Fraser Canyon.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are four gullies in the vicinity of the derailment, numbered 1 through 4. Their geological makeup is roughly similar. The derailment occurred at the fourth of these gullies, referred to as "gully 4". This location contains a rail siding known as the "Conrad Siding".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geological development of the Fraser Canyon is of considerable importance to the expert evidence in the case. The canyon landscape evolved over approximately the last five million years. The valley was initially opened when the Fraser River became established in the Fraser River fault zone. The river easily eroded and down-cut into this faulted ground as the region experienced uplift. Selective erosion controlled by the individual faults during down-cutting has accounted for the locally narrow, straight reaches of the river and adjacent steep valley slopes. Recurring glaciations over approximately the last one million years have combined with river erosion to create the Fraser River valley as it appears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last major cycle of glaciation culminated approximately 12,000 years ago. As glaciers occupying the valley melted, a sequence of silty, sandy gravel till overlain by interlayered glaciofluvial (i.e., glacier stream) gravels and sand, and locally capped glaciolacustrine (i.e., glacier lake) sands and silts were deposited.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last 10,000 years of landscape evolution have seen glacial sediments being moved down-slope as part of a mass wasting process and eroded by fluvial (i.e., stream)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Trails from Yale to Lytton were opened by First Nations people prior to European settlement. These trails became known as the "lower" and "upper" canyon trails and were located on the east side of the canyon.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canyon trails were first upgraded in 1860-61 to accommodate mule trains for prospectors travelling between Yale and Boston Bar on their way to the Cariboo gold fields. This road became known as the Cariboo Wagon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1884, CP Rail constructed its grade on the other side of the Fraser Canyon (the west side of the Canyon). In 1911-14, CN (which was known at the time as the Canadian Northern Railway) constructed its grade below the Cariboo Wagon Road on the east side of the canyon.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1924-25, the Cariboo Wagon Road was renamed the Fraser Canyon Highway. This highway was paved in the 1930s and 1940s.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1948, two transportation embankment structures existed on the east side of the Fraser Valley. At the location of the four gullies, the Fraser Canyon Highway was at an elevation of 223 metres and the CN Railway was at an elevation of 185 metres. These two embankments were separated by almost 100 metres of forest-covered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April 25, 1950, the Fraser Canyon Highway was renamed the Trans Canada Highway. In 1950, the first of two realignments of the Trans Canada Highway occurred at the location of the four gullies. This involved placement of a new highway embankment on the down-slope side of the highway, bringing the down-slope toe of the new highway embankment to within 12 metres of the up-slope toe of the pre-existing CN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1959, the construction of the second realignment of the Trans Canada Highway began. This realignment was completed in or about 1961. Once again, at the location of the four gullies, the new highway embankment was placed down-slope of the pre-existing highway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time, the lower portion of the new highway embankment was placed against the up-slope side of the pre-existing CN embankment. This created a contiguous section of fill from the up-slope side of the Trans Canada Highway embankment to the down-slope side of the CN embankment. The 1959 realignment also moved the highway away from the mouth of an ephemeral (i.e., seasonal) stream above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1978, CN added the Conrad Siding at the location of the four gullies. This required adding siding fill on the down-slope side of the pre-existing CN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the railway was built in 1911-14, a cedar box culvert three feet by three feet in dimension and 72 feet in length was installed underneath the railway on the north end of gully 4. The evidence does not reveal what drainage works may have been in place at gully 4 at the level of the highway until 1950. Prior to that, surface water may have been allowed to wash over the road, as there was some evidence that this was a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the Trans Canada Highway was realigned in 1950, its centre line was moved 40 metres west and closer to the railway. To manage surface water, a 4' x 6' catch basin was installed on the inside shoulder of the highway. This was attached to a corrugated iron pipe 18 inches in diameter and 84 feet long, which connected to a 218 foot long flume of similar diameter. The flume was not connected to any railway drainage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likely that, in the early 1950s, an 18" x 98" corrugated iron pipe was placed underneath the railway to replace the cedar box culvert. It is also likely that (during this period) a wedge of soil was placed uphill of the track. Water leaving the highway flume appears to have run over the wedge for about 40 feet on a downward grade, in a hand-dug ditch, to the mouth of the new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Thus, the water would have come out of the stream above the highway, travelled in a north easterly direction in the highway ditch into the catch basin beside the highway, through the culvert under the highway, into the flume, along the hand dug ditch, into the railway culvert, and down the embankment to the Fraser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Prior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June 16, 1950, CN experienced a landslide at gully 2. This triggered an exchange of correspondence between CN and the Province shortly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CN complained that it believed the landslide had been caused by surface water emanating from rock about a mile east of the highway. The water flowed above ground for approximately one-half mile and then went underground, saturating the entire slope. CN requested that the Province manage the water by carrying it in a flume through the highway, after which the railway would carry it through its own embankment into the river. The letter represents an early acknowledgement of the need to manage surface water properly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CN rebuilt the gully 2 embankment with a four foot square wooden culvert and a retaining wall at the toe of the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September and October, 1956, there was an exchange of correspondence between CN and the Province regarding a near washout at gully 4. A flume above the track at gully 4 gave way and caused a slide which blocked CN's culvert, allowing water to seep into the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Province repaired the flume, but CN expressed its concern that a closed flume should have been installed rather than an open one. The Province blamed the problem with the flume on vandals and declined to install a closed flume. CN responded that the problem was the inability of the flume to handle the volume of water, not vandalism, and warned of "repercussions" if the embankment should be washed out in the future. The Province acknowledged that it was "possible" that the volume of water had weakened the flume and said instructions had been issued to have the flume inspected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1959 Realignment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late 1950s, a second realignment of the Trans Canada Highway took place. Chuck Brawner, the senior geotechnical engineer for the Ministry of Highways from 1957 to 1963, gave evidence. Geotechnical engineering was a newly recognized engineering speciality, and the Ministry was well ahead of CN in hiring geotechnical engineers. CN's first geotechnical engineer was hired in 1959 but was based in Montreal and had no involvement in the highway realignment. Mr. Brawner dealt with Doug Worby, who was not a geotechnical engineer, at 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1959 realignment of the highway included a plan to encroach on the railway's "right-of-way" (actually, it was land owned in fee simple by CN) at each of the four gullies. After the Province advised CN that there had been a slide at gully 2 in 1950, Mr. Brawner attended there personally. He recommended drilling tests. He also recommended a drainage plan for gully 2 to "handle the surface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Brawner noticed from a plan that there was a spring at gully 1 which would be buried by the proposed fill. He wrote to a fellow geotechnical engineer with the Province: "perhaps it would be worth investigating." Mr. Brawner testified that he relied on the observations of survey crews in the Location Branch to advise of the existence of springs. There is no evidence of springs or seepage zones observed at gully 4 before the derailment.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was proposed that the new highway fill in 1959 would abut the railway embankment, creating a condition referred to throughout the trial as "fill-on-fill". Mr. Brawner agreed that he understood in 1959 that there was a risk of the water table rising into the merged embankments. In a soils report, he identified the danger posed by this condition at gully 2 and warned that "it is essential to ensure that adequate drainage is provided under the new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Brawner recommended a drainage system for gully 2 designed to prevent ponding of surface water and erosion or saturation of the railway fill slope. The design provided a route for surface water to travel from behind the 1950 highway alignment to the 1959-61 highway alignment. He was unsure as to whether there was a stream at gully 2 but agreed that his proposed drainage design would have allowed surface water to flow away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Despite certain similarities between all four gullies, Mr. Brawner did not examine gully 3 and gully 4 or consider the need for a similar drainage plan in these locations. CN says that was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Province replies that the standard of practice of the day was to be "site specific". Problems known to exist at certain sites were addressed on an individual basis, but no generalized search was made for similar sites to determine if they posed a similar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1959, the Province asked for and obtained CN's consent to the encroachment on CN's land. Mr. Worby (who, again, was not a geotechnical engineer) consented, without making any reference to the inherent risks posed by a fill-on-fill configuration or the possibility of a need for more sophisticated drainage in gully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the 1959-61 highway realignment, surface water from the ephemeral stream at gully 4 flowed into the 1950 highway ditch and travelled north or south to the 1959-61 highway. At that point, the water would flow either into the drainage system at gully 3 or into the culvert at gully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highway culvert at gully 4 was at the bottom of a 23 foot depression between the old and the new highway sections. A sub-drain ran parallel to the highway on the up-slope side to collect water that was coming from the south on the west side of the highway. The highway culvert went under the highway to a closed flume that connected with the railway drainage system. The water then flowed down to the Fraser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part of this drainage plan that carried water from the 1950 highway ditch to the 1959-61 highway ditch may have provided effective surface run-off control by not allowing water to pond behind or on top of the 1950 highway. The evidence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Effective drainage plans were put in place at gully 1 and gully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Installation and Removal of the Flume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January 14 and 15, 1961, there was a major rain storm in the Fraser Canyon area. An extra work order dated February 21, 1961, states that the ephemeral stream at gully 4 cut through the old road. As a result, a temporary culvert was installed to carry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Two months later, the temporary culvert was removed and a 24 inch flume of 280 feet in length was installed. It served to transport water from the mouth of the ephemeral stream safely across the unused portion of the 1950 highway to the culvert underneath the 1959-61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Homer Good, the man who installed the flume for the Province, was adamant that its purpose was to prevent scour. He also said, however, that there was a "concern" that the water from the stream should be collected and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was correspondence between CN and the Province around this time; not all of it exists, but some was entered in evidence. I am satisfied that CN had complained to the Province about problems it was experiencing caused by water emanating from above the highway. The installation of the flume was at least partly motivated by CN's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some time between 1961 and 1972, the flume disappeared. There is no evidence as to what happened to it or why it might have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CN says that the absence of the flume created a potentially unsafe condition because the water from the ephemeral stream could no longer get to the highway culvert. CN postulates that, at times of heavy rain and spring run-off, water from the stream began fanning out and ponding on the flat surfaces of the abandoned 1948 and 1950 highways. It then infiltrated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some point between 1961 and 1972, the Province filled in the 23 foot depression behind the highway. There was no evidence as to when this was done or why. By 1997, the abandoned highway sections formed an extensive flat plateau that would have allowed water from the ephemeral stream to pond and infiltrate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spring of 1976, Mr. Bill Jubien, a CN geotechnical engineer, selected gully 4 as a suitable site for the Conrad Siding. He described the site as providing "beautiful clean sand and gravel". It was his opinion that the permeability of the new fill would match or be higher than the permeability of the existing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Jubien looked for signs of seepage around the site and found none. He did say, however, that, had he known about the 1950 landslide at gully 2, he would have had "a closer look" for seepage in and around gully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Siding was built in 1978. Art Thompson, the field construction supervisor for the project, testified that he saw no seepage in the area. The fill was good granular material with very little silt.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culvert at gully 4 was extended through the siding to the edge of the new grade and then coupled onto the existing corrugated iron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Highway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Province privatized highway maintenance in 1988. In the area of the derailment, the maintenance contractor was (at the time of the accident) HMC Services Inc. There is no evidence that HMC (or its predecessor) was advised to give any particular attention to gully 4. Neither HMC nor its predecessor was told that there was a flume at gully 4 to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four to six weeks before the derailment, Robert Kelley, the highway superintendent for HMC (the maintenance contractor at the time), observed "a small trickle" of water coming down the slope above the highway at gully 4. He did not see the stream flowing out onto the flat plateau of the abandoned 1948 and 1950 highway alignments.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Track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CN's policy on track inspection is carried out by track and assistant track supervisors. Twice per week they conduct a hi-rail inspection to look for such things as blocked ditches and culverts or beaver activity. Once a month there is an inspection by someone riding on a train to look for above-normal water conditions. There are also annual inspections of all culverts and ditches.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Ponding of water on the up-slope side of the track is one of the conditions which the inspectors watch for. None of these inspections would have (or did) detect the ponding of water in the area of the 1950 highway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CN also conducts inspections from helicopters but that process, too, failed to detect any ponding of water in the area of gully 4 before the derailment.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CN sends employees out on "rock patrols" at night. Although they are expected to patrol the track every night, there are some nights when the volume of traffic prevents this. The night before the derailment was one of them. Had the usual, scheduled rock patrols been conducted on the night in question, I am nevertheless satisfied that the patrol would not have arrived at gully 4 between the time of the landslide (4:37 a.m.) and the time of the derailment (6:06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heard some evidence about mechanical warning devices designed to warn of an embankment failure. Prior to the landslide, there was no device utilized by CN which would have served to warn of this particular type of failure - a sudden washout. Since the landslide, CN has devised a new warning system, a "slump detector", and installed that technology at gully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Derailment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the landslide occurred at 4:37 a.m., CN and its rail traffic controllers remained unaware of the problem. (The precise time is known because the brake pipe on a parked sulphur train at the Conrad Siding failed at that moment). Unfortunately, neither the railway track nor the fibre optic cable running along it broke after the embankment collapsed; had they done so, the disaster would have been averted.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the derailment at 6:06 a.m., emergency personnel and representatives of CN and the Province attended at the site quickly. Mr. Kelley and others observed water flowing from the ephemeral stream above the highway and spreading out over a flat area. Some of it was making its way down into the culvert under the highway but most, according to Mr. Kelley, was evaporating or infiltrating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was debate about the significance of this. Brian Niehaus, area manager for the Ministry of Transportation and Highways, said he did not think the volume of water was "significant". He did, however, photograph the water and advise others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Savigny, who arrived at the site around 2:00 p.m. on March 26th, measured the flow of water. He also made a number of observations, took photographs, and discussed the situation with other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a meeting of stakeholders on March 29, 1997, a preliminary hypothesis was agreed upon. The parties felt that the ephemeral stream had saturated the soil at the derailment site because, when they restricted the flow from the stream, the flow from the derailment site was "reduced proportionately" (the quote is from the minutes of the meeting). The experts at the meeting also appear to have agreed that the hypothesis could not be confirmed without the drilling of test holes.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Remedial work was done by the Province at gully 4. A flume that reached up into the mouth of the ephemeral stream was installed. This flume now led into a drop box with a screen over its mouth to exclude debris. The drop box led to an underground culvert that led to two manholes, on the way to the junction box at the side of the highway. A wall of sandbags was also placed at the bottom of the flume.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first issue to be addressed, and the one that occupied a large majority of the time at trial, is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both its opening and closing submissions, CN set out its causation theory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CN says that the landslide was caused by:</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abutting its highway fill against the railway fill when it realigned the Trans Canada Highway in 1959-1961 without regard to the dangerous potential for the water table rising in these merged fills;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Province's failure to control surface water above the highway, which surface water caused the water table to rise, and the embankment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CN says that the landslide was caused by the Province placing its highway fill against the railway fill ("fill-on-fill") when it realigned the Trans Canada Highway in 1959-61, and by the Province's failure to control surface water above the highway. These two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Province caused the water table to rise within the railway fill and resulted in the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agreed that the embankment failure was caused by an elevated water table in the fills. The issue is whether the source of that water was surface water from the ephemeral stream or ground water percolating up from the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To succeed on any theory of liability, CN must prove on the balance of probabilities that surface water from the ephemeral stream caused or contributed to the elevated water table and subsequent embankment failure. CN also has the burden of showing that the fill-on-fill configuration caused or contributed to the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These questions were addressed at great length by the respective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Opinions on causation were expressed by geotechnical engineering experts who, in turn, relied upon expert reports by hydrogeologists. CN presented Dr. Wayne Savigny, a geotechnical engineer, who relied upon hydrogeology work done by Dr. Leslie Smith and Dr. Peter McCreath. After CN received the Province's expert reports containing extensive criticism of the Savigny opinion, CN commissioned a new study by Drs. Peter Byrne and Marcel Sincraian, geotechnical engineers, relying upon hydrogeology work done by Dr. John Bredehoeft and Mr. Stephen Hedberg. The Province led the opinions of Dr. Roger Beckie, a hydrogeologist, and Mr. Terence Coulter, a geotechnical engineer. It also relied upon the opinion of Mr. Douglas VanDine, a geotechnical engineer retained originally by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consensus among the experts that two landslide events took place. The debate is about the initiation point, extent, and mechanism of the first landslide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consensus that a rise in the water table caused the first event, but no agreement as to whether the rise was caused by infiltrating surface water from the ephemeral stream or by deep ground water percolating up from the bedrock. In any event, the first failure event had the effect of over-steepening the railway embankment. This resulted in a "debutressing" of the main part of the CN embankment and led directly and immediately to the second failure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is, of course, no direct evidence of what caused the landslide. The parties have advanced their respective theories through the opinion evidence of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All of the experts have made it clear that, when looking for the cause of an event such as this, they depend heavily upon computer modelling.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first step is for a hydrogeologist to construct a computer model of ground water flowing through the site (also known as "seepage analysis"). This model calculates the pore pressure distribution, i.e., the height of the water table throughout the domain of the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Then, a slope stability model is constructed, using the pore pressure distributions from the seepage analysis model, to assess the stability of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All of the experts proceeded on the implicit assumption that the modelling software will, if provided with accurate and realistic input data, produce a reliable result. It is also accepted that the converse is true - if the input data is inaccurate or unreliable, the model lacks validity and any conclusions suggested by it are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Much of the evidence at trial was concerned with the accuracy of the modelling done by the experts and, in particular, with the validity of the assumptions, opinions, and data provided to the various models as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was obvious from the tenor of all of the evidence given by all of the experts that, for an opinion on causation to have merit and be entitled to weight, it must first be confirmed by computer modelling. Both CN and the Province have approached the causation issue on the footing that, if the opposite party's computer modelling can be shown to be flawed because of inappropriate input data, the underlying expert opinion is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SAVIGNY'S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Savigny concluded that the two landslide events were the result of an elevated water table in the fills and related high pore pressures in the foundation soils. He said the elevated water table was caused by water from the ephemeral stream infiltrating into the ground above the highway, then making its way to the merged highway and CN embankments. In his view, the highway fill provided a continuous pathway for this water to flow into the CN fill, permitting an elevated water table to develop there. The effect was enhanced by the ability of the water to move faster in the horizontal plane than in the vertical plane, a phenomenon known as "hydraulic anisotropy".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Savigny said the first landslide event involved rotational slumping across the north side of the railway embankment. It was the elevated pore pressures that triggered this slumping.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second landslide event occurred very shortly afterwards. This second event began in a portion of the back scarp left by the first landslide event. A series of rapidly retrogressing small slumps of loose saturated fill material caused the material to liquefy and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the day of the derailment, Dr. Savigny observed the ephemeral stream at gully 4 and estimated its flow at about two cubic metres per minute. He observed this stream flowing over a small, lightly treed alluvial/colluvial fan and then flowing across the surface of the abandoned 1948 and 1950 highways. The flow continued to within twenty metres of the highway, but he did not see water reaching the highway culvert. He concluded that two cubic metres per minute of water was "somehow disappearing into the section of the highway fills...".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Using a program known as SEEP-W, Dr. Savigny carried out a two-dimensional seepage analysis (or ground water model) to simulate the distribution of pore pressures. He then carried out a slope stability analysis of a two-dimensional nature using SLOPE-W, a computer model. Dr. Smith assisted Dr. Savigny with the seepage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principal input parameters for the SEEP-W model are the geometry of the site (including the stratigraphy), the hydraulic conductivity of the material types represented in the model, and the "boundary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Savigny represented six different material types in his model and assigned a particular hydraulic conductivity to each: creek bed deposits, Fraser Canyon Highway fill, 1952 Trans Canada Highway fill, 1959 Trans Canada Highway fill, CN original subgrade fill, and CN siding subgrade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were two boundary conditions. The first was water flowing into the top of the model to represent infiltration from the ephemeral stream. A "specified head boundary condition" was assigned to the model to represent water infiltrating above the highway on the day of the derailment. When the modelling is approached in this way, the amount of water "entering" the model domain is really controlled by the hydraulic conductivity assigned to the various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 base flow of 0.1 litres per second over a 35 metre flow width was also provided to represent water entering the bottom of the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model was then "calibrated", a process which involved adjusting the base flow input until the water table elevations matched those actually recorded in standpipes at the site, and adjusting the infiltrating water above the highway until the model replicated the post-failure seepage face observed by Dr. Savigny.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Savigny's two-dimensional model represents conditions on a two-dimensional plane down the centre, or "thalweg", of gully 4. The bottom layer at this location consisted, in his view, of high permeability creek bed deposits.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Savigny considered that the water table would rise progressively higher as one moved away from these high permeability deposits toward the sides, or flanks, of the gully. To simulate this effect, he ran the model again after decreasing the permeability of the creek bed deposits ten times, and then twenty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model predicted a progressively higher water table in the CN embankment and the presence of a seepage face; the results tended to support Dr. Savigny's field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principal input components of the SLOPE-W computer model are the geometry of the site, its stratigraphy, and soil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Savigny used the same geometry and stratigraphy in SLOPE-W as he had used in the SEEP-W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six soil units used in the seepage analysis were used again, plus a seventh representing a silt 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Three pore pressure distributions determined by Dr. Savigny's SEEP-W model were used as input into the SLOPE-W program. The model was run using three different seepage conditions and two separate geological models - one representing the stratigraphy along the gully thalweg and the other representing conditions on the flank of the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results suggested that, with sustained infiltration of water, the slope on the flanks (away from the high permeability creek bed deposits) became unstable. The model suggested that slope failure initiated on the flank or margin of the gully.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CRITICISM OF SAVIGNY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both its opening and closing submissions, CN emphasized that the fill-on-fill configuration caused the water table to rise within the merged fills. The hypothesis depends to a significant degree on the supposed "damming effect" caused by the railway fill having a lower permeability than the highway fill abutting it on the up-slope side. CN's case is that the water infiltrated at the top of the sequence of fills and, because of the fill-on-fill configuration, was able to flow into the area where the first landslide event initiated. Provided that the CN subgrade is relatively less permeable than the highway fill, water moving through the highway fill would be pushed out to the flanks and into the native soils as it came up against the railway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agree with the Province's assertion, disputed by CN to some extent, that the damming effect caused by the relative degrees of permeability was central to Dr. Savigny's thesis (see evidence of February 4, 2003, p. 81, l. 3-31). It is therefore important to examine the factual underpinning of the assumption that the railway fill was less permeable than the highway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CN subgrade was constructed in 1911 to 1914, before modern machinery was available. As Dr. Savigny himself noted (Exhibit 8, p. 38), the fill would have been "end dumped into the gully with limited compaction effort". Since the highway fill was placed in 1959 to 1961, one might guess that the railway fill was more permeable than the highway fill (which, if true, would refute the plaintiff's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Savigny's first report contains (in Appendix C) a graph labelled "Grain Size Distribution - CN Rail Original Subgrade Fill". In cross-examination, Dr. Savigny conceded that this sample was taken from gully 2, not gully 4, and that the sample is "probably" of natural material immediately below the subgrade material. In other words, the drilling probably missed the target (see evidence of February 5, 2003, p. 34ff.).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permeability of soil is known as "hydraulic conductivity" and is expressed in K values (KH for horizontal conductivity and KV for vertical conductivity).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One way of deriving the K value is by determining the D-10 value of the soil in question. The lower the D-10 value, the lower the K value, and the less permeable the soil. The D-10 value is the diameter of the largest soil particle found in the smallest 10% of the particles. Soil samples are passed through a sieve or sieves to obtain this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Hazen's Formula provides an estimate of the hydraulic conductivity from a known D-10 grain size. "It gives you a starting point", said Dr. Savigny, but "you have to exercise a lot of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Dr. Savigny intended to obtain a D-10 value of the CN original subgrade sample, he only obtained a D-18. Dr. Smith, a CN expert who worked with Dr. Savigny, conceded that Hazen's Formula should not be applied to a D-18 grain size: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had a D-18...and I had no opportunity for collecting further data, I would extrapolate through a D-10 and I would come up with that number. But then you have to remember the uncertainties in that number as you propagate them forward into your calculations. (February 7, 2003, p. 40, l. 16ff.)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Because of these two deficiencies - the inaccurate sampling and the lack of a D-10 value - I view the hydraulic conductivity assigned to the CN subgrade as little more than an educated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Provincial Ministry of Highways obtained a D-10 value for the highway fill which was available to Dr. Savigny but which he did not use. He rejected it as unreliable, an opinion not shared by a geological engineer who was assisting him at the time (evidence of February 5, 2030, p. 64ff.).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Had Dr. Savigny used the Province's D-10 value, the result would have been a higher conductivity for the CN fill than the highway fill - the antithesis of a damming effect (February 19, 2003 p. 34, l.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Ultimately, Dr. Savigny ignored the D-10 value obtained from the Ministry's drilling, preferring to rely upon "my eyes and my judgement" (February 5, 2003, p. 26, l. 27). He never took his own samples of the highway fill, although (except, perhaps, for budget considerations) he could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agree with the assertion of the Province that this critical feature of CN's theory - the relative permeabilities of the highway and railway fills - is speculative and unproven. Dr. Smith said that a highly educated guess would come within an "order of magnitude" of the truth (February 7, 2003, p. 42, l. 5ff.). The difficulty is that an alteration in Dr. Savigny's hydraulic conductivity values of less than an order of magnitude would suffice to reverse the model, rendering the railway fill more permeable than the highway fill and eliminating the damming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Moreover, Dr. Savigny's original estimate of the D-10 value for the highway fill resulted in a hydraulic conductivity for that fill which was lower than that assigned to the railway fill. Dr. Savigny then brought his judgement to bear and made the CN subgrade significantly less permeable: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felt I had enough understanding of this material, based on my examination of field exposures, that I was comfortable knowing the variation that would be in situ and I felt quite comfortable projecting that curve on my own.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what we do again is we eschew the scientific method in favour of your judgement; is that what's happening here?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February 5, 2003, p. 20, l. 23ff.)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 are other unsettling aspects to Dr. Savigny's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Neither Dr. Savigny nor Dr. Smith was aware of the section of fill referred to as "the wedge" which had been placed on the up-slope side of the CN original subgrade prior to the highway realignment. Being unaware of its existence, they could not, of course, assess its relative permeability and consider its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 significant debate concerned the significance of a spring run-off event in 1972, when the run-off was (in the 30 days preceding March 26) greater than at the time of the embankment failure in 1997. Since there was no embankment failure in 1972, the comparison between the two years was of some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Savigny's report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two nearby snow survey stations, select snow-pack measurements were the greatest on record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two stations referred to (Great Bear and Shovelnose Mountain) were neither "nearby" nor useful for a comparison of the two run-off periods. Great Bear was 64 kms from the derailment site and Shovelnose was 58 kms away; each of those stations started keeping records only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his second report, Dr. Savigny attempted to fill this deficiency by comparing the March, 1997 and March, 1972 run-offs. He pointed out (correctly) that there was greater precipitation during the 31 days of March in 1997 than in 1972. However, a more relevant comparison would have been of the 30 days immediately prior to the derailment - from February 25th to March 25th. This comparison shows that there was far greater run-off and precipitation in 1972 than in 1997 (about three times as much). The question, of course, is why the embankment did not fail in 1972.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his second report (at page 18), Dr. Savigny identified a "white plume" which he said was "fresh sediment deposition". This was of some importance to his explanation for why the embankment did not fail in 1972. On cross-examination, he conceded that the white plume is likely just snow (February 4, 2003, p. 46, l. 38ff.).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Although CN took some issue with this, I am satisfied that Dr. Savigny's original theory was that the first landslide event occurred on the north "flank" or "margin" of the gully, and that he believed there was a fill-on-fill configuration at that particular location. In fact, the fill-on-fill configuration extends only some 12 to 13 metres from the gully thalweg (centreline), not to the "flank" or "margin" as those words are commonly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After the Province revealed its extensive criticisms of his theory, Dr. Savigny advanced the position that his references to the "gully flank" and "gully margin" meant just "slightly off centre". However, evidence of his opinions provided to Dr. Evans and Dr. Smith in 1997 convinces me that the "slightly off centre" explanation is an afterthought. I prefer the recollections of Dr. Evans to those of Dr. Savigny concerning their 1997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another context, I would question Dr. Savigny's evidence that he did not discuss the concept of static liquefaction with the highly qualified Dr. Evans because Dr. Evans would not have understood the subtleties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Savigny assigned an extremely high permeability for the siding fill, making it (for the purpose of his model) significantly more permeable than the creek bed lag deposits. This degree of permeability seems improbable: see evidence of Douglas VanDine, February 17, 2003, p. 67ff. Apparently, the bore-hole from which the siding sample was taken penetrated only a very small distance into the siding fill (evidence of Terence Coulter, February 19, 2003, p. 24, l. 35ff.).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Finally, there is the question of the south flank of gully 4. The fill-on-fill configuration was more extensive on the south flank than on the north flank, but the south flank did not fail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collective impact of these deficiencies satisfies me that I cannot rely upon Dr. Savigny's opinion. A number of its fundamental assumptions are both unproven and highly debatable. There are also significant indications that Dr. Savigny discarded the traditional objectivity of an expert witness in preference for advocacy of CN's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CN sought to bolster its case and confirm Dr. Savigny's opinion on causation with a second team of experts, whose evidence I must now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BREDEHOEFT'S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Bredehoeft and Mr. Hedberg carried out a ground water analysis using a modelling program called MODFLOW. MODFLOW, like SEEPW, calculates pore pressure distributions (i.e., the height of the water table) throughout the domain of the model; unlike SEEPW, it does this in three dimensions.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Bredehoeft and Mr. Hedberg were provided with the geology of the site by Dr. Savigny. They decided to treat the site as having three geologic layers: bedrock, glacial deposits, and fill. The geometry of each layer was determined from information supplied by Dr. Savigny.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Bredehoeft and Mr. Hedberg analyzed two scenarios: a hypothetical worst case wetness condition with the fills as they were just prior to the 1959 highway realignment; and the conditions observed on the day of the derailment.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For the pre-1959 highway realignment scenario, Dr. Bredehoeft and Mr. Hedberg assumed that there were surface water controls in place up the slope from the highway fill. They found that the railway fill was not wetted significantly until the wetted area above the highway exceeded about 200 square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Their modelling of the scenario for the day of the derailment predicted that the railway fill would become nearly totally saturated with ground water in the area of the slide. The level of the water table in the second scenario was five to six metres higher than in the first scenario at the toe of the railway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Bredehoeft, as I have noted, took his geometry from cross-sections prepared by Dr. Savigny. Despite that, in the area of a critical cross-section (BGC-3), Dr. Bredehoeft assumed there was between two and four metres of fill-on-fill. In fact, Dr. Savigny's geometry does not show any fill-on-fill at all on this cross-section. Dr. Bredehoeft conceded that, "there may be a mistake on that cross-section 3" (evidence of February 10, 2003, p. 52). Since this cross-section is on the northern flank of the gully where CN says the initial failure occurred, it has a significant and negative impact on the weight to be accorded to Dr. Bredehoeft's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other respects, Dr. Bredehoeft's opinion departs markedly from that of Dr. Savigny.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has not attempted to assign hydraulic conductivity values to the individual fills, preferring to assign one uniform value to all of the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native soil conductivity in Dr. Bredehoeft's report is lower than that in Dr. Savigny's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Bredehoeft makes no distinction between the hydraulic conductivity of the surficial materials in the gully thalweg and the materials on the flank; in Dr. Savigny's model, the distinction is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uniform hydraulic conductivity value applied by Dr. Bredehoeft to the fills was 2.5 times less conductive than the value assigned to the highway fill by Dr. Savigny. For the gully thalweg, Dr. Bredehoeft's assumed hydraulic conductivity value was 35 times less conductive than that of Dr. Savigny.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Bredehoeft assumed that about one-third less water in the form of "base flow" was entering the model in 1959 than in 1997. This assumption is predicated upon an assumption that there was "fairly good control of the water above the highway" in 1959. There is little evidence on this question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 fundamental conclusion of Dr. Savigny's opinion is that pore pressures were lower in the centre of gully 4 than they were on the north flank. Dr. Bredehoeft's model shows pore pressures which are lowest on the north flank, increase towards the centre, and are highest on the south flank. The water table levels predicted for the south flank of the gully by Dr. Bredehoeft suggest that, prior to the landslide, there would have been springs flowing out of that area. None of the CN inspections in the days before the derailment produced any evidence of this. Dr. Bredehoeft agreed that his model predicts ground water discharges "that may not have been realistic" (evidence of February 10, 2003, p.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Bredehoeft's opinion is remarkable for the extent to which it departs from that of his colleagues, Dr. Savigny and Dr. Smith. The lack of a distinction between the hydraulic conductivity in the thalweg and on the flanks, the assigning of one uniform hydraulic conductivity value to all of the fill, and the dramatic variation between Dr. Bredehoeft's K-values and those of Dr. Savigny are indications of substantial differences of opinion. If Dr. Bredehoeft's purpose was to corroborate Dr. Savigny's opinion, it must be said that he failed. In my view, he lends no significant support to Dr. Savigny's hypothesis.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equally unpersuaded that Dr. Bredehoeft's ground water model is a reliable basis for the slope stability analysis by Dr. Byrne. The extent of the inconsistency between Dr. Savigny and Dr. Bredehoeft, combined with the mistake concerning fill-on-fill at cross-section 3, the assumption about surface water control in 1959, and the unrealistically high pore pressures on the south flank, cause me to question the reliability of his ground water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BYRNE'S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Byrne and Dr. Sincraian carried out a two-dimensional slope stability analysis using a computer program called FLAC ("Fast Lagrangian Analysis of Continua"). The domain of this model was a two-dimensional plane corresponding to Dr. Savigny's cross-section of the thalweg (or centre line) of gully 4 (referred to as "BGC-11").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key inputs to the FLAC model are soil strength, soil stiffness, and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Byrne determined the soil strength and soil stiffness values by referring to tests previously carried out on materials having similar composition and density as those observed at the derailment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Byrne and Dr. Sincraian analyzed four scenarios: the 1959 geometry before the highway realignment, the 1977 geometry after the highway realignment but before the addition of the siding, the 1997 geometry immediately before the landslide, and a hypothetical case with the original CN fill and the siding fill but no 1960 highway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ground water levels predicted by the Bredehoeft/Hedberg model represent maximum, or worst case, conditions. Drs. Byrne and Sincraian concluded that the 1959 geometry before the highway realignment could have survived 100% of this worst case storm condition. In the second scenario, after the highway realignment but before the addition of the siding, the slope became unstable when the pore water pressures reached 70% of the worst case storm values. In the third scenario, representing the geometry immediately before the landslide, the slope became unstable when the pore water pressures reached 81% of the worst case storm values. For scenario 4, no failure occurred at 100% of the storm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Therefore, Dr. Byrne and Dr. Sincraian concluded that placement of the highway fill abutting the railway fill had a destabilizing effect on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Byrne agreed that his model was entirely dependent upon the accuracy of the Bredehoeft/Hedberg ground water model: "the basis of my report is the assumption that the Bredehoeft groundwater tables are correct...and representative" (evidence of February 11, 2003, p.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Byrne's model does little to corroborate Dr. Savigny's model or the theory of CN. Dr. Byrne's model predicts a failure occurring along the centre line of the gully. He did not put forward an analysis along the cross-section known as BGC-3 (where Dr. Savigny considers the initial failure event occurred) because "we ran out of time". There were several references in Dr. Byrne's evidence to being rushed, and to wishing he had been given more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Byrne's soil properties differed from those used by Dr. Savigny. Dr. Byrne agreed that if he used the Bredehoeft/Hedberg ground water model together with Dr. Savigny's soil strength parameters, the failure would occur "too quickly". He said that if he had used Dr. Savigny's soil strengths, the failure would have occurred after only about 40% of the storm water was used in the model, an unrealistically low amount (evidence of February 11, 2003, p.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Byrne's model also predicted that there would be a significant failure of the embankment at highway level; it is conceded that this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Byrne agreed that, given the amount of precipitation in the 1972 run-off (and "all other parameters being equal"), based on their modelling, he would have expected the embankment to fail in 1972 (which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Byrne's opinion depends upon the accuracy of the model constructed by Dr. Bredehoeft; I have questioned the reliability of that model earlier. When I weigh that questionable reliability together with the aspects of the Byrne Report I have just mentioned, I am not persuaded on a balance of probabilities that his opinion on causation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turn now to the opinions of the Province's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BECKIE'S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Dr. Beckie's opinion, the initial failure occurred along the northern flank of gully 4 in an area covered by the CN embankment and siding fill. There are two principal ground water systems at the site, and the failure was triggered when the deep ground water flow increased pore pressures.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pressures were able to increase because the site of the failure contained a silt layer with an underlying gravel layer. The silt layer's permeability was too low and its thickness too great to allow sufficient quantities of water to flow through it. The coarse gravel layer below the silt layer was not able to conduct water away at a sufficient rate either. This was due to a natural thinning of the gravel layer, or to obstruction of the layer by the CN siding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any event, the fill-on-fill configuration found at the centre of the gully was not present at the site of the first failure and did not contribute to the elevated pore pressures in that area. He said shallow ground water could not flow from the highway fill into the railway fill along the northern flank of the gully; it did so in the centre of the gully, but its presence there did not contribute to the elevated pore pressures where the failure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Beckie constructed his own model to confirm his theory. In doing so, he made a number of assumptions. He hypothesized that the gravel layer "pinched out" and met a fine sand unit at the point where it meets the siding fill. He assumed that there is a continuous gravel layer conducting water from high elevation to lower elevations (running east to west). He also hypothesized that the silt layer above the gravel layer confined the water in the latter in at least the bottom half of the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These assumptions are sufficiently speculative that, even without more, I would question the weight to be attributed to the model (and hence to Dr. Beckie's opinion). He agreed in cross-examination that he could not say with certainty that the aerial extent of the gravel layer and the silt layer was as the model depicted. He said that he relied upon Mr. Coulter's geological interpretation, but the pinching out of the gravel layer when it met the fine sand unit and the siding fill was not a part of Mr. Coulter's interpretation. Just as the Bredehoeft-Byrne opinion was substantially inconsistent with the hypothesis of Dr. Savigny, so the Beckie opinion differs markedly from that of Mr. Coulter.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There was another difficulty. Dr. Beckie said his approach was to use Dr. Savigny's input parameters as far as possible, but to create a three-dimensional model using MODFLOW. Dr. Savigny had applied a fault-based flow to about one-quarter of the domain of his model to represent the influence of deep ground water. Dr. Beckie attempted to apply the same rate of fault-based flow to the entire domain of the model (because he did not agree with Dr. Savigny on the spatial extent of the fault-based flow), thus increasing the flow by a factor of four (or so he thought). In doing so, he inadvertently applied 35 times more fault-based flow to the model than he intended. The net result was that Dr. Beckie constructed a model which had 140 times more water entering into it than Dr. Savigny's model, although the stated purpose was to replicate the latter's model as far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dramatic nature and magnitude of this error, combined with the debatable assumptions about the aerial extent of the gravel and silt layers, satisfy me that I should not rely upon Dr. Beckie's model or his opinion on causation. The Province appears to have accepted this position implicitly, as they made little mention of Dr. Beckie's model in their very detailed closing argument, and made extensive efforts to downplay the significance of computer modelling (a marked departure from the focus of the Province's case throughout the trial until Dr. Beckie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At one point in cross-examination (evidence of February 24, 2003, p. 77), Dr. Beckie was asked what the result might have been if he had not made the error of increasing the flow by 35 times. He responded: "I actually did do that. Can I comment on that?...". He then proceeded to offer some new opinion evidence of which cross-examining counsel had not had notice. The material was not contained in either of Dr. Beckie's reports and took counsel by surprise. I do not consider the answer so unresponsive as to render the evidence inadmissible. However, the circumstances demand that this evidence be approached with considerable caution. In any event, this brief additional opinion evidence did not serve to dispel my concerns about the reliability of Dr. Beckie's model and his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OPINION OF MR. COULTER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Coulter's hypothesis is that the first landslide originated at a major seepage zone north of the original railway embankment, where the natural ground had been covered by compacted fill from the siding construction. He says the ground water level rose in the natural ground behind the siding fill. That fill did not allow the water to escape freely, resulting in a build-up of pore pressures in the natural ground and in the siding embankment. The source of this water was deep ground water flowing up from the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This hypothesis assumes the existence of a continuous gravel layer and a continuous silt layer at the location of the first slide event (as does the hypothesis of Dr. Beckie). It also assumes that the hydraulic conductivity of the siding fill is lower than that of the underlying materials, and that there is a large volume of deep ground water flowing up from the bedrock in this particular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Coulter does not have a degree in geology. Although he clearly has some expertise in the field, complex geologic interpretations are not something he would ordinarily undertake on his own. He testified that he does not consider himself a geologist "per se" (evidence of February 20, 2003, p. 13). He relies upon a colleague for assistance when the geological situation is complex. The colleague did not participate in Mr. Coulter's analysis of this embankment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For his interpretation in this case, Mr. Coulter relied upon a publication by June Ryder about the regional geology, drilling results from the bore hole known as "BGC-106-4", and Dr. Savigny's description of the materials exposed by the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Ryder publication is a regional study and very general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Coulter conceded in his report that the stratigraphy in the area of gully 4 is variable and that significant variations in the types of materials and the thickness of the layers can occur over short distances (evidence of February 20, 2003, p. 18). His interpretation portrays the existence of continuous and regular layers of material. When pressed about this in cross-examination,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there will be a </w:t>
      </w:r>
      <w:r>
        <w:rPr>
          <w:rFonts w:ascii="arial" w:eastAsia="arial" w:hAnsi="arial" w:cs="arial"/>
          <w:color w:val="000000"/>
          <w:sz w:val="20"/>
          <w:u w:val="single"/>
          <w:lang w:val="en-US" w:eastAsia="en-US" w:bidi="ar-SA"/>
        </w:rPr>
        <w:t>degree</w:t>
      </w:r>
      <w:r>
        <w:rPr>
          <w:rFonts w:ascii="arial" w:eastAsia="arial" w:hAnsi="arial" w:cs="arial"/>
          <w:color w:val="000000"/>
          <w:sz w:val="20"/>
          <w:lang w:val="en-US" w:eastAsia="en-US" w:bidi="ar-SA"/>
        </w:rPr>
        <w:t xml:space="preserve"> of continuity in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of them. There will </w:t>
      </w:r>
      <w:r>
        <w:rPr>
          <w:rFonts w:ascii="arial" w:eastAsia="arial" w:hAnsi="arial" w:cs="arial"/>
          <w:color w:val="000000"/>
          <w:sz w:val="20"/>
          <w:u w:val="single"/>
          <w:lang w:val="en-US" w:eastAsia="en-US" w:bidi="ar-SA"/>
        </w:rPr>
        <w:t>likely</w:t>
      </w:r>
      <w:r>
        <w:rPr>
          <w:rFonts w:ascii="arial" w:eastAsia="arial" w:hAnsi="arial" w:cs="arial"/>
          <w:color w:val="000000"/>
          <w:sz w:val="20"/>
          <w:lang w:val="en-US" w:eastAsia="en-US" w:bidi="ar-SA"/>
        </w:rPr>
        <w:t xml:space="preserve"> be a degree of continuity in some of them. For instance, the silt layer, which is a lacustrine deposit, will </w:t>
      </w:r>
      <w:r>
        <w:rPr>
          <w:rFonts w:ascii="arial" w:eastAsia="arial" w:hAnsi="arial" w:cs="arial"/>
          <w:color w:val="000000"/>
          <w:sz w:val="20"/>
          <w:u w:val="single"/>
          <w:lang w:val="en-US" w:eastAsia="en-US" w:bidi="ar-SA"/>
        </w:rPr>
        <w:t>probably</w:t>
      </w:r>
      <w:r>
        <w:rPr>
          <w:rFonts w:ascii="arial" w:eastAsia="arial" w:hAnsi="arial" w:cs="arial"/>
          <w:color w:val="000000"/>
          <w:sz w:val="20"/>
          <w:lang w:val="en-US" w:eastAsia="en-US" w:bidi="ar-SA"/>
        </w:rPr>
        <w:t xml:space="preserve"> extend outwards to the face. There was </w:t>
      </w:r>
      <w:r>
        <w:rPr>
          <w:rFonts w:ascii="arial" w:eastAsia="arial" w:hAnsi="arial" w:cs="arial"/>
          <w:color w:val="000000"/>
          <w:sz w:val="20"/>
          <w:u w:val="single"/>
          <w:lang w:val="en-US" w:eastAsia="en-US" w:bidi="ar-SA"/>
        </w:rPr>
        <w:t>some indication</w:t>
      </w:r>
      <w:r>
        <w:rPr>
          <w:rFonts w:ascii="arial" w:eastAsia="arial" w:hAnsi="arial" w:cs="arial"/>
          <w:color w:val="000000"/>
          <w:sz w:val="20"/>
          <w:lang w:val="en-US" w:eastAsia="en-US" w:bidi="ar-SA"/>
        </w:rPr>
        <w:t xml:space="preserve"> in one of the photographs of Dr. Savigny that it did extend that far.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February 20, 2003, p.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for the siding fill having a lower hydraulic conductivity than the underlying native material, Mr. Coulter did no testing of the siding fill. He did not carry out any seepage analysis to estimate its permeability through calibration. Some testing done by Dr. Savigny indicated that the siding fill was more permeable than the original CN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Coulter asserted that the ground water levels measured since the derailment indicate that, at the time of the landslide, the water table could have reached the level observed at the major seepage zone right after the accident. In fact, as counsel demonstrated in cross-examination, the measurements taken since the accident provide no support at all for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collective impact of these factors (including, in particular, the lack of any seepage analysis) robs me of any confidence in the accuracy of Mr. Coulter's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VANDINE'S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VanDine agreed that no professional in his field would express a firm opinion on causation without the corroboration of a model (although not necessarily a computer model) (evidence of February 18, 2003, p. 14). He did no modelling himself. He did not carry out either a seepage analysis or a slope stability analysis to attempt to explain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He confined his evidence to offering certain criticisms of the approaches taken by the other experts, and venturing some suggestions on what the "contributing factors" to the landslide were. In essence, these are hypotheses which remain untested by modelling. He conceded in cross-examination (evidence of February 18, 2003, p. 17) that he was commenting on "possible" contributing factors and could not say if any of them, in fact, contributed to the landslide. The significance of Mr. VanDine's evidence lies only in his criticisms of the methodology of the other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Both CN and the Province conducted highly competent, well prepared cross-examinations of the opposing experts. Both were successful in demonstrating convincing reasons why the opinions expressed were unreliable. Both managed to find significant defects in the way in which the computer modelling was approached. The trial was like a deadly gun fight at close quarters - when the smoke cleared, no participant was left unwounded.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do not have the requisite degree of confidence in any of the various models propounded in evidence. None of the hypotheses advanced by the experts amount to more, at the end of the day, than informed speculation and educated guesses.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am not satisfied on the balance of probabilities that the landslide was caused by deep ground water percolating up from the bedrock, as the Province has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am equally unsatisfied on the balance of probabilities that the landslide was caused by surface water infiltrating the ground above the highway and causing the water table to rise and the embankment to fail. I am not satisfied on the balance of probabilities that the fill-on-fill configuration caused or contributed to the elevated water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this situation, it is the plaintiff that must suffer the consequences. CN has the burden of proving, on a balance of probabilities, that the fill-on-fill configuration and the failure to control surface water above the highway caused or contributed to the landslide. When the scales are evenly balanced, as they are here, the plaintiff has simply failed to prove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Both CN and the Province were able to adduce some circumstantial evidence consistent with the idea that infiltrating surface water, on the one hand, or deep ground water, on the other, caused or contributed to the embankment failure. Throughout most of the trial, both of these parties accepted implicitly that the circumstantial evidence was not adequate, standing alone, to prove the hypothesis in question; both parties accepted that they needed to prove their case through the opinions of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Inevitably, as the trial came to a close and CN and the Province realized the harm that had been done to their respective experts in cross-examination, they began to change their focus and attribute a greater significance to the circumstantial evidence. In my view, the parties were correct in their initial approach - these bits and pieces of circumstantial evidence may have been of use to the experts in creating their models, but are incapable of proving the case when standing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As it has failed to prove the essential element of causation, the plaintiff's claims against the Province and against Canada are dismissed. As a consequence, all third party claims are dismissed also.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HENDERSON J. per DOHM A.C.J.S.C.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Clare v. I.J. Manufacturing Ltd., [2003] B.C.J. No. 1295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7 - 11, 14, 16, 22 - 25,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28 - 30,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Nos. 24980, 25105, 26050, 26051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B.C.L.R. (4th)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C.C.L.T. (3d) 272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C.L.R. (3d) 296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CarswellBC 1362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Clare and Gerrianne Clare, plaintiffs, and I.J. Manufacturing Ltd., defendant And between Douglas Brian Byres and Eva Anna Byres, plaintiffs, and I.J. Manufacturing Ltd., defendant And between Giovanni Durigon and Dorine Durigon, plaintiffs, and I.J. Manufacturing Ltd., defendant And between Joseph Peter Gladish and Patricia Anne Gladish, plaintiffs, and I.J. Manufacturing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7"/>
      <w:bookmarkEnd w:id="101"/>
      <w:r>
        <w:rPr>
          <w:rFonts w:ascii="arial" w:eastAsia="arial" w:hAnsi="arial" w:cs="arial"/>
          <w:b/>
          <w:color w:val="000000"/>
          <w:sz w:val="20"/>
          <w:lang w:val="en-US" w:eastAsia="en-US" w:bidi="ar-SA"/>
        </w:rPr>
        <w:t xml:space="preserve">Sale of goods — Conditions and warranties — Implied or statutory terms as to quality or fitness — Where applicable — Contracts — Formation of contract — Privity of contract — Torts — Suppliers of goods — Warranties — Manufacturers or distributors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manufacturers — Standard of care — Defective goods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2" w:name="Case Summary_7"/>
            <w:bookmarkEnd w:id="1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the plaintiffs against IJ Manufacturing for damages for breach of contract or damages in tort for breach of a duty of care. The plaintiffs were four couples who had bought new homes fitted with windows manufactured by IJ Manufacturing. The four actions were heard together. All of the windows developed condensation and ice on their surfaces when the temperature outside dropped below a certain temperature. The plaintiffs claimed that there was a contract between them and IJ Manufacturing and they were entitled to rely on the implied warranty of fitness in the Sale of Goods Act. They also argued that IJ Manufacturing was liable in tort. In each case, the plaintiffs chose not to sue their builders. One couple took a purported assignment of their builder's rights against IJ Manufacturing and applied to amend their statement of claim to plead the assignment of the implied warranty of fitness.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3" w:name="Holdings of Court_7"/>
            <w:bookmarkEnd w:id="103"/>
            <w:r>
              <w:rPr>
                <w:rFonts w:ascii="arial" w:eastAsia="arial" w:hAnsi="arial" w:cs="arial"/>
                <w:color w:val="000000"/>
                <w:sz w:val="20"/>
                <w:lang w:val="en-US" w:eastAsia="en-US" w:bidi="ar-SA"/>
              </w:rPr>
              <w:t>HELD: Actions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buyer of the windows, the builder could only recover the loss it sustained as a result of installing the windows from IJ. At the time of the purported assignment of rights, the builder had no such loss. The only potential loss was an award of damages against it by the owners of the home. The plaintiffs did not have privity of contract with IJ. The implied warranty was part of a contract. Without a contract, there was no statutory warranty to rely upon. There was no evidence that the plaintiffs were induced to direct their builders to purchase the specific windows by reason of any express representations by IJ. The plaintiffs did not prove that the windows failed to meet the performance standard required, or that they were defectively designed. In addition, even if they were defectively manufactured, IJ would only be liable for damages if the windows presented a real and substantial danger to personal health and safety. There was no evidence to suggest that the windows posed such a risk.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4" w:name="Legislation Cited_2"/>
      <w:bookmarkEnd w:id="1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Building Code, s. 9.7.1.3(1), 9.7.2.1.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Consumer Product Warranty and Liability Act, </w:t>
      </w:r>
      <w:hyperlink r:id="rId406" w:history="1">
        <w:r>
          <w:rPr>
            <w:rFonts w:ascii="arial" w:eastAsia="arial" w:hAnsi="arial" w:cs="arial"/>
            <w:i/>
            <w:color w:val="0077CC"/>
            <w:sz w:val="20"/>
            <w:u w:val="single"/>
            <w:shd w:val="clear" w:color="auto" w:fill="FFFFFF"/>
            <w:lang w:val="en-US" w:eastAsia="en-US" w:bidi="ar-SA"/>
          </w:rPr>
          <w:t>S.N.B. 1978, c. C-18.1, s. 27</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Consumer Protection Act, S.S. 1996, c. C-39.1, s. 64.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Sale of Goods Act, </w:t>
      </w:r>
      <w:hyperlink r:id="rId407" w:history="1">
        <w:r>
          <w:rPr>
            <w:rFonts w:ascii="arial" w:eastAsia="arial" w:hAnsi="arial" w:cs="arial"/>
            <w:i/>
            <w:color w:val="0077CC"/>
            <w:sz w:val="20"/>
            <w:u w:val="single"/>
            <w:shd w:val="clear" w:color="auto" w:fill="FFFFFF"/>
            <w:lang w:val="en-US" w:eastAsia="en-US" w:bidi="ar-SA"/>
          </w:rPr>
          <w:t>R.S.B.C. 1996, c. 410, s. 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5" w:name="Counsel_17"/>
      <w:bookmarkEnd w:id="1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R.W. McDiarmid, Q.C., for the plaintiffs. D.A. McMillan,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7"/>
      <w:bookmarkEnd w:id="106"/>
      <w:r>
        <w:pict>
          <v:line id="_x0000_s1105"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E.R.A. EDWARDS J."/>
            <w:bookmarkEnd w:id="107"/>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allege double glazed aluminium-clad wood frame windows ("IJ windows") designed and manufactured by the defendant are defective, and that they "were not approved" by the Canadian Standards Association ("CSA"). I take this to mean the IJ windows did not meet CSA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four cases were tried together. The plaintiffs are four couples who bought new houses in Kamloops between 1993 and 1995 fitted with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 of the Byres' and Clares' IJ windows leaked during a wind-driven rain storm the summer after they were installed. All plaintiffs' IJ windows have routinely developed condensation and ice on their inside glass surfaces when the outdoor temperature drops below minus 10 degrees Celcius. Their IJ windows with sashes have frozen shut in cold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Statements of Claim in all four cases are identical in critical respects. All allege "there was a contract, or alternatively, a collateral contract between the Plaintiffs and the Defendant" and that as a result of the "dealings between the Plaintiffs and the Defendant" the plaintiffs are entitled to rely on the "implied conditions as to quality, fitness, and durability" set out in s. 18 of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all four cases the contracts for purchase of the IJ windows were between the defendant and the contractors who built the plaintiffs' four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all four cases the plaintiffs, who had legal advice, chose not to sue their building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Clares tried unsuccessfully to encourage their builder to join their legal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Byres'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Byres released their builder from liability and took a purported assignment of their builder's rights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Byres did not plead the assignment as the basis of their contract claim. Without such a plea, they cannot rely on the assignment. At the close of the trial their counsel applied to amend their Statement of Claim to allege,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plead and rely on the Law and Equity Act ... and are entitled to bring this action in their own names as if they had contracted directly with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entitled to the contractual benefit T-Built has against the defendant pursuant to the Sale of Goods Act, and in particular Section 18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form of the assignment dated June 27, 1997,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Douglas Brian Byres and Eva Anna Byres promising to release T-Built Construction Inc. from any and all claims related to the construction of their dwelling house, T-Built Construction Inc. assigns to them all rights that it has as against I.J. Manufacturing Ltd. relating to the supply of windows that were ultimately installed in the Byres' dwelling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simultaneous release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Douglas Brian Byres and Eva Anna Byres, in consideration for the assignment set out above release T-Built Construction Inc. from any and all claims that we may have against T-Built Construction Inc. and, in particular, any claims relating to the defective windows installed in our dwelling house situate at 28-1575 Springhill Drive, Kamloops,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Neither the assignment nor the proposed amendment to the Statement of Claim could place the Byres in a better or different position than T-Built was, as the "buyer" under the Act, to sue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T-Built, as "buyer", could only assign any claim for damages it might have against the defendant. T-Built could only recover from the defendant any loss it sustained as a result of installing the IJ windows in the Byres' home. At the time of the assignment, T-Built had sustained no such loss. The only conceivable loss T-Built could sustain after it sold the house to the Byres would be an award of damages against T-Built in favour of the Byres as a result of T-Built installing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release refers to "claims relating to the defective windows", but the Byres had not sued T-Built alleging such a claim, let alone proved the claim, at the time of the assignment. By executing the release the Byres extinguished the basis for the very claim they now seek to pursue as assignees. That is, their possible claim against T-Built for damages which T-Built might then have recovered through an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assignment is ineffective to assign a cause of action from T-Built to the Byres. T-Built had sustained no loss so it had no more than a notional cause of action against the defendant at the time of the assignment. The simultaneous release, since it absolved T-Built from liability to the Byres, meant that T-Built was no longer exposed to liability to the Byres which was the only prospective loss T-Built might claim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Another possible interpretation of the assignment to the Byres of "all rights that [T-Built] has as against [the defendant]" as pleaded in the proposed amendment to the Statement of Claim, is that it is an assignment of the contract between T-Built and the defendant for purchase of the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That contract had long since been executed at the time of the assignment. Hence the issue is whether the assignment effectively transferred to the Byres the right to sue on the warranty implied under s. 18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 18 statutory warranty that goods are reasonably fit applies only in favour of a "buyer" under the Act. T-Built bought the windows for the Byres' house from the defendant, but not because the Byres stipulated in their contract with T-Built that the windows be supplied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evidence to support the allegation in the Byres' Statement of Claim that they contracted with the defendant to buy the windows using their builder T-Built as agent. If indeed the Byres were the "buyers" of the windows, there was no need for an assignment of "all" their "agent" T-Built's "rights ...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the doctrine of privity of contract, where goods are sold by a manufacturer to a retailer who sells to an ultimate consumer the consumer cannot sue on warranties implied between the manufacturer and retailer because the consumer cannot enforce the terms of a contract to which the consumer is not a party. See Dunlop Pneumatic Tyre Co. v. Selfridge &amp; Co. Ltd., [1915] A.C. 847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This limitation on manufacturers' liability has been modified by statute in Saskatchewan (s. 64 of the Consumer Protection Act, </w:t>
      </w:r>
      <w:hyperlink r:id="rId408" w:history="1">
        <w:r>
          <w:rPr>
            <w:rFonts w:ascii="arial" w:eastAsia="arial" w:hAnsi="arial" w:cs="arial"/>
            <w:i/>
            <w:color w:val="0077CC"/>
            <w:sz w:val="20"/>
            <w:u w:val="single"/>
            <w:shd w:val="clear" w:color="auto" w:fill="FFFFFF"/>
            <w:lang w:val="en-US" w:eastAsia="en-US" w:bidi="ar-SA"/>
          </w:rPr>
          <w:t>S.S. 1996, c. C-30.1</w:t>
        </w:r>
      </w:hyperlink>
      <w:r>
        <w:rPr>
          <w:rFonts w:ascii="arial" w:eastAsia="arial" w:hAnsi="arial" w:cs="arial"/>
          <w:color w:val="000000"/>
          <w:sz w:val="20"/>
          <w:lang w:val="en-US" w:eastAsia="en-US" w:bidi="ar-SA"/>
        </w:rPr>
        <w:t xml:space="preserve">) and New Brunswick (s. 27(1)of the Consumer Product Warranty and Liability Act, </w:t>
      </w:r>
      <w:hyperlink r:id="rId409" w:history="1">
        <w:r>
          <w:rPr>
            <w:rFonts w:ascii="arial" w:eastAsia="arial" w:hAnsi="arial" w:cs="arial"/>
            <w:i/>
            <w:color w:val="0077CC"/>
            <w:sz w:val="20"/>
            <w:u w:val="single"/>
            <w:shd w:val="clear" w:color="auto" w:fill="FFFFFF"/>
            <w:lang w:val="en-US" w:eastAsia="en-US" w:bidi="ar-SA"/>
          </w:rPr>
          <w:t>S.N.B. 1978, c. C-18.1</w:t>
        </w:r>
      </w:hyperlink>
      <w:r>
        <w:rPr>
          <w:rFonts w:ascii="arial" w:eastAsia="arial" w:hAnsi="arial" w:cs="arial"/>
          <w:color w:val="000000"/>
          <w:sz w:val="20"/>
          <w:lang w:val="en-US" w:eastAsia="en-US" w:bidi="ar-SA"/>
        </w:rPr>
        <w:t>) in apparent response to a proposal in the Ontario Law Reform Commission Report on Consumer Warranties and Guaranties in the Sale of Goods Act, 1972.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similar statutory provision was introduced into the Ontario legislature but never enacted. British Columbia has no equivalent to the Saskatchewan or New Brunswick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noteworthy that the Saskatchewan legislation limits a manufacturer's liability to cases where the plaintiff "suffers personal injury" as a result of a breach of statutorily implied warranties and the New Brunswick legislation provides for manufacturers' liability to a consumer only where a "product is unreasonably dangerous". See S.M. Waddams, Products Liability, 4th ed. (Toronto: Carswell, 2002) at 232-239.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limitations on recovery of damages under the statutorily implied warranties in those provinces closely parallel the common law limitation of manufacturers' tort liability to cases where defective goods present a "real and substantial danger" to personal health and safety of ultimate consumers or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counsel provided no authority for the proposition that a "buyer" under the Act may assign the benefit of the statutorily implied s. 18 warranty of reasonable fitness to a subsequent purchaser of goods. Such an assignment, without the manufacturer's consent, would belie the doctrine of privity of contract. If it were available under the common law, it would extend contract liability farther than the legislatures of Saskatchewan and New Brunswick have seen fit to do and permit recovery by ultimate consumers in all defective goods cases, not just those where the defective goods are dangerous or cause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discussed below, the courts have limited manufacturers' common law tort liability to cases of dangerous goods. Legislatures have also limited manufacturers' liability outside privity of contract in the same way, presumably for the same policy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find a Sale of Goods Act s. 18 statutory warranty assignable would be equivalent to finding a collateral contract on the basis of implied rather than express warranties from manufacturer to consumer and would represent a considerable and in my view, in light of the policy reasons just mentioned, unjustifiable extension of the concepts of collateral contract and implied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the assignment was ineffective to assign to the Byres the s. 18 warranty statutorily implied in favour of T-Built as "buyer" of the windows and provides no basis upon which the Byres can plead and rely on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or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the assignment was ineffective to assign either the statutory warranty or a prospective cause of action, as pleaded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short, I find the assignment and therefore the proposed amendment cannot advance the Byres' case. I therefore dismiss the application to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I am wrong in my conclusions as to the ineffectiveness of the assignment and the proposed amendment, I would nevertheless dismiss the application to amend which was made after both the plaintiffs' and defendant's cases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had knowledge of the assignment through pre-trial document discovery. However, in the absence of pleaded reliance on the assignment of contract warranties or a cause of action, no party introduced evidence or made submissions on the questions of whether T-Built would have been liable to the Byres or the defendant liable to T-Built, nor on the question of quantification of T-Built's assigned claim for damages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circumstances, I would exercise the court's discretion against allowing the proposed late amendment. Since evidence to determine the defendant's possible liability to T-Built and to assess T-Built's possible damages was not before the court, allowing the amendment would compromise the fairness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Collateral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all four cases, it is pleaded there was a collateral contract between the plaintiffs and the defendant "wherein the Defendant agreed to sell and the Plaintiffs agreed to purchase" the windows and that the purchase price was paid by their respective builders "as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no evidence of such a contract in any of the four cases. The Gladish and Durigon plaintiffs had no contact with the defendant prior to purchase of the windows. Neither the Clares nor the Byres directed their builders to purchase IJ windows on the basis of representations made to those plaintiffs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Haley v. Ford Motor Co. of Canada, Ltd. </w:t>
      </w:r>
      <w:hyperlink r:id="rId410" w:history="1">
        <w:r>
          <w:rPr>
            <w:rFonts w:ascii="arial" w:eastAsia="arial" w:hAnsi="arial" w:cs="arial"/>
            <w:i/>
            <w:color w:val="0077CC"/>
            <w:sz w:val="20"/>
            <w:u w:val="single"/>
            <w:shd w:val="clear" w:color="auto" w:fill="FFFFFF"/>
            <w:lang w:val="en-US" w:eastAsia="en-US" w:bidi="ar-SA"/>
          </w:rPr>
          <w:t>(1966) 57 D.L.R. (2d) 15</w:t>
        </w:r>
      </w:hyperlink>
      <w:r>
        <w:rPr>
          <w:rFonts w:ascii="arial" w:eastAsia="arial" w:hAnsi="arial" w:cs="arial"/>
          <w:color w:val="000000"/>
          <w:sz w:val="20"/>
          <w:lang w:val="en-US" w:eastAsia="en-US" w:bidi="ar-SA"/>
        </w:rPr>
        <w:t xml:space="preserve"> (Alta. C.A.), affirmed </w:t>
      </w:r>
      <w:hyperlink r:id="rId411" w:history="1">
        <w:r>
          <w:rPr>
            <w:rFonts w:ascii="arial" w:eastAsia="arial" w:hAnsi="arial" w:cs="arial"/>
            <w:i/>
            <w:color w:val="0077CC"/>
            <w:sz w:val="20"/>
            <w:u w:val="single"/>
            <w:shd w:val="clear" w:color="auto" w:fill="FFFFFF"/>
            <w:lang w:val="en-US" w:eastAsia="en-US" w:bidi="ar-SA"/>
          </w:rPr>
          <w:t>(1967) 62 D.L.R. (2d) 329</w:t>
        </w:r>
      </w:hyperlink>
      <w:r>
        <w:rPr>
          <w:rFonts w:ascii="arial" w:eastAsia="arial" w:hAnsi="arial" w:cs="arial"/>
          <w:color w:val="000000"/>
          <w:sz w:val="20"/>
          <w:lang w:val="en-US" w:eastAsia="en-US" w:bidi="ar-SA"/>
        </w:rPr>
        <w:t xml:space="preserve"> (S.C.C.), the case upon which the plaintiffs primarily rely on this issue, is distinguishable. It is not a case where damages were awarded for breach of the implied warranty in the Alberta equivalent of s. 18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Haley, the trial and appellate courts found that an express warranty that "trucks would be satisfactory for hauling gravel" was made directly by the manufacturer to the plaintiff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Johnson J.A., for the Appellate Division, found that the manufacturer's employee expressly warranted directly to the purchaser that the trucks "... were fit for the purposes for which the appellant purchased them and that they were as good or better than any other equipment of similar kind or at least 'superior to the comparable model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Evidence showed the Ford trucks in question were much more prone to breakdown and required more repairs than International trucks working the same jobs side by side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Damages were awarded by the Appellate Division and upheld by the Supreme Court of Canada for breach of the express warranty made by the manufacturer directly to the plaintiff purchaser, not for breach of a statutorily implied warranty of reasonable fitness under the Alberta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More than pre-purchase contact between the defendant manufacturer and the plaintiffs must be shown to bring the plaintiffs within the Haley case. The plaintiffs must show that the defendant provided them with an express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knew the Clares and Byres would have IJ windows purchased by their respective builders installed in houses to be built for them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But the defendant knew that many if not most of its IJ windows were destined for installation in Kamloops. That knowledge does confer an express or implied warranty enforceable by the many Kamloops homeowners whose houses are fitted with IJ windows but who had no contract with the defendant. A warranty is part of a contract. Without a contract, a consumer has no statutory warranty under s. 18 of the Act to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Mr. Justice Cavarzan noted in Mann-Tattersal (Litigation Guardian of) v. Hamilton (City), </w:t>
      </w:r>
      <w:hyperlink r:id="rId412" w:history="1">
        <w:r>
          <w:rPr>
            <w:rFonts w:ascii="arial" w:eastAsia="arial" w:hAnsi="arial" w:cs="arial"/>
            <w:i/>
            <w:color w:val="0077CC"/>
            <w:sz w:val="20"/>
            <w:u w:val="single"/>
            <w:shd w:val="clear" w:color="auto" w:fill="FFFFFF"/>
            <w:lang w:val="en-US" w:eastAsia="en-US" w:bidi="ar-SA"/>
          </w:rPr>
          <w:t>[2000] O.J. No. 5058</w:t>
        </w:r>
      </w:hyperlink>
      <w:r>
        <w:rPr>
          <w:rFonts w:ascii="arial" w:eastAsia="arial" w:hAnsi="arial" w:cs="arial"/>
          <w:color w:val="000000"/>
          <w:sz w:val="20"/>
          <w:lang w:val="en-US" w:eastAsia="en-US" w:bidi="ar-SA"/>
        </w:rPr>
        <w:t xml:space="preserve"> (S.C.J.), "A party cannot advance a claim for breach of any of the implied warranties provided for in the Sale of Goods Act against a party with whom it has no privity of contract [see Lyons v. Consumer Glass Co, Ltd. </w:t>
      </w:r>
      <w:hyperlink r:id="rId413" w:history="1">
        <w:r>
          <w:rPr>
            <w:rFonts w:ascii="arial" w:eastAsia="arial" w:hAnsi="arial" w:cs="arial"/>
            <w:i/>
            <w:color w:val="0077CC"/>
            <w:sz w:val="20"/>
            <w:u w:val="single"/>
            <w:shd w:val="clear" w:color="auto" w:fill="FFFFFF"/>
            <w:lang w:val="en-US" w:eastAsia="en-US" w:bidi="ar-SA"/>
          </w:rPr>
          <w:t>(1981), 28 B.C.L.R. 319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cases of the Byres and Clares, both couples attended the defendant's premises and inspected the IJ windows before those installed in their homes were purchased by their builders.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George Carr, the Clares' builder, testified that he recommended the IJ windows to the Clares on the basis of their satisfactory performance in other houses he had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Clare testified that he was told by Mr. Heron, the defendant's representative, that IJ windows had comparable thermal properties to other double glazed windows and were comparable in quality to the more expensive Loewen brand of aluminium-clad wood frame windows that Dr. Clare had in a previous house. Mr. Heron denied he compared the IJ windows to Loewen windows, since he had never seen a Loewen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Clare also testified that he decided against triple glazed windows or a more expensive brand of windows on three bases, the lower price of the IJ windows, the recommendation of his builder Mr. Carr and reports from people he knew who found the IJ windows satisfactory. Dr. Clare acknowledged that he did not discuss technical specifications of the IJ windows with Mr. Heron.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Mrs. Byres testified that Mr. Heron told her that the IJ windows were CSA approved and would stand up in Kamloops winters. She agreed the Byres relied on their builder's recommendation of the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Clares' case, a representation of comparability with other double glazed aluminium-clad wood frame windows perhaps encouraged them to accept Mr. Carr's recommendation of the IJ windows. Installation of IJ windows was stipulated in the undated construction contract between the Clares and Mr. Carr's company Cluny Construction Ltd. and Dr. Clare's name is on the March 8, 1993 estimate order sheet for the IJ window package prepared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it is not clear that an express representation of comparable thermal properties caused the Clares to direct their builder, Mr. Carr, to purchase IJ windows from the defendant. Since he recommended IJ windows to the Clares, I infer Mr. Carr would have purchased them even if the Clares had no dealing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Likewise in the Byres' case, representations by Mr. Heron of CSA approval and serviceability of IJ windows in Kamloops winters perhaps reassured the Byres there was no need to seek out or specify to their contactor, T-Built, windows other than the IJ windows already selected by T-Built.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Unlike the plaintiffs in Haley and in Murray v. Sperry Rand Corp. et al. </w:t>
      </w:r>
      <w:hyperlink r:id="rId414" w:history="1">
        <w:r>
          <w:rPr>
            <w:rFonts w:ascii="arial" w:eastAsia="arial" w:hAnsi="arial" w:cs="arial"/>
            <w:i/>
            <w:color w:val="0077CC"/>
            <w:sz w:val="20"/>
            <w:u w:val="single"/>
            <w:shd w:val="clear" w:color="auto" w:fill="FFFFFF"/>
            <w:lang w:val="en-US" w:eastAsia="en-US" w:bidi="ar-SA"/>
          </w:rPr>
          <w:t>(1979), 23 O.R. (2d) 456</w:t>
        </w:r>
      </w:hyperlink>
      <w:r>
        <w:rPr>
          <w:rFonts w:ascii="arial" w:eastAsia="arial" w:hAnsi="arial" w:cs="arial"/>
          <w:color w:val="000000"/>
          <w:sz w:val="20"/>
          <w:lang w:val="en-US" w:eastAsia="en-US" w:bidi="ar-SA"/>
        </w:rPr>
        <w:t xml:space="preserve"> (H.C.), neither the Byres nor the Clares were "induced to purchase" by the oral representations of Mr. Heron. Nor were they induced to purchase on the basis of written representations in an advertisement or brochure, as was the case in Haley and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IJ windows installed in the plaintiffs' houses all bore red stickers which included an express ten year warranty that "under normal conditions, material obstruction of vision resulting from dust collection or film formation on the interior surface of the SEALED UNIT will not occur." It was not argued on behalf of the plaintiffs this warranty had any applicability to condensation or icing on the inner glass surface. "Interior surface" I take to refer to the space between the double glazing.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red stickers also state "This window system meets or exceeds the minimum criteria set out in the CAN#-A440-M90 "Windows" of A1, B1 and C1. Test documentation is available upon request." In fact, the IJ windows were not tested until September 1995 when AGRA Earth &amp; Environmental Limited ("AGRA"), which specialized in testing windows for compliance with CSA standards, reported that a test IJ window passed the three tests for air infiltration, water penetration and wind load resistance, set out in A1, B1 and C1.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red stickers did not warrant that the IJ windows met the CSA standard for condensation resistance, for which CSA testing was not compulsory.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any of the plaintiffs read or placed any reliance on the red stickers before their builders purchased the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Haley and Murray hold that a defendant may be liable for breach of a warranty even though the defendant has no contract with the plaintiff to whom the defendant represented the warranty. But that liability arises only where there is an express warranty from the defendant to the plaintiff and where that warranty "induces" the plaintiff to purchase the goods, albeit through an intermediary contracting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Byres did not plead that they were induced to purchase the defendant's windows by representations made to them by the defendant. I find they were not induced by representations made by Mr. Heron to direct their builder T-Built to purchase IJ windows from the defendant, so the Byres had no collateral contract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Clares pleaded "In the course of oral negotiations, the defendant represented to the Plaintiffs that certain windows, called by the Defendant 'aluminum-clad wood frame windows' were fit for the purpose [of installation in the dwelling house they intended to construct]".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Clare acknowledged he did not negotiate with Mr. Heron. Whatever Mr. Heron may have said, the alleged warranty may have been inferred by the Clares from his dealing with them. However, the only express warranties Dr. Clare testified were made by Mr. Heron were that the IJ windows were comparable to other double glazed windows and to Loewen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Mr. Heron made no representation of comparability with Loewen windows. No such express warranty is pleaded. Even if Mr. Heron had made such an express warranty, that does not advance the Clares' case because there is insufficient evidence to compare the thermal performance of Loewen windows in Kamloops with that of the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For example, Mr. Heron's testimony that he had received a complaint of Loewen windows icing up and Dr. Clare's testimony that Loewen windows in his Edmonton house never iced up provide no sound basis for comparison between Loewen and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Likewise, no express warranty of comparability with other double-glazed windows is pleaded. Even if Mr. Heron represented the IJ windows had comparable thermal properties to other double glazed windows, that does not advance the Clares' case. That is because, as outlined below, the only evidence of a test of the thermal properties of any windows according to the CSA test protocol was that of a test of one IJ window which showed it met an "I" factor standard typical of double glazed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on Dr. Clare's evidence that cost, Mr. Carr's recommendation and that of others familiar with IJ windows, not a warranty that IJ windows were fit for installation in a house in Kamloops, which the Clares may have inferred from their dealings with Mr. Heron "induced" the Clares to agree to Mr. Carr's recommended purchase of IJ windows for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Even if express warranties of comparability with Loewen or other double-glazed windows were made, breach of those warranties was not proved on the evidence before the court. No express warranty that IJ windows would be condensation and ice free was alleged in the pleadings or asserted in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there are no contracts or collateral contracts between any of the plaintiffs and the defendant which permit the plaintiffs to rely on any implied warranties respecting the fitness of IJ windows for installation in houses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indicated above at paragraphs 20 to 27 legislation was necessary to extend the Sale of Goods Act implied warranty of fitness from manufacturers to ultimate consumers in Saskatchewan and New Brunswick. There is no precedent for implying a non-statutory warranty of fitness from the defendant to the plaintiffs in this case. If that were possible, there would be no need for s. 18 of the British Columbia Act nor for the legislative extension of the implied warranty to ultimate consumers in those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even if there were express warranties of comparability made in the Clares' case, breach of those warranties has not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PREVIOUS LIABILITY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All four Statements of Claim include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has supplied windows, that it calls "aluminum-clad wood frame windows" for installation in other dwelling houses situated in and about the Kamloops area. In particular, the Defendant's "aluminum-clad wood frame windows" were supplied to Sunday Joan Wolkowski, also known as Sunday Joan Riel, and David Riel. The issue of the fitness of these windows for their intended purpose (which was the same purpose as that made known to the Defendant by these Plaintiffs) was determined in the Supreme Court of British Columbia, Kamloops Registry File No. 22021, by way of a Judgment rendered November 27, 1996, and the Defendant is now estopped from denying that its windows were not reasonably fit for their purpose as a result of the issue having been decided in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is a plea of issue estoppel on the issue of the IJ windows' reasonable fitness for their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the case referred to in this pleading, I.J. Manufacturing Ltd. v. Wolkowski (a.k.a. Riel) and Riel, </w:t>
      </w:r>
      <w:hyperlink r:id="rId415" w:history="1">
        <w:r>
          <w:rPr>
            <w:rFonts w:ascii="arial" w:eastAsia="arial" w:hAnsi="arial" w:cs="arial"/>
            <w:i/>
            <w:color w:val="0077CC"/>
            <w:sz w:val="20"/>
            <w:u w:val="single"/>
            <w:shd w:val="clear" w:color="auto" w:fill="FFFFFF"/>
            <w:lang w:val="en-US" w:eastAsia="en-US" w:bidi="ar-SA"/>
          </w:rPr>
          <w:t>[1996] B.C.J. No. 2449</w:t>
        </w:r>
      </w:hyperlink>
      <w:r>
        <w:rPr>
          <w:rFonts w:ascii="arial" w:eastAsia="arial" w:hAnsi="arial" w:cs="arial"/>
          <w:color w:val="000000"/>
          <w:sz w:val="20"/>
          <w:lang w:val="en-US" w:eastAsia="en-US" w:bidi="ar-SA"/>
        </w:rPr>
        <w:t>, Mr. Justice Davies found aluminum-clad wood frame windows supplied by the defendant were not reasonably fit for their intended purpose and that they did not meet the CSA standard for condensation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first finding is directly applicable only to the present plaintiffs' contract claims based on the alleged implied warranty of reasonable fitness under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in the Riel case purchased their windows directly from the defendant so the Sale of Goods Act clearly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found there were no contracts or collateral contracts between any of the plaintiffs and the defendant. It follows that the Act does not apply and that therefore the Riel finding of reasonable fitness of the windows for their intended use in houses built in Kamloops is not determinative of liability in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short, the outcome in the Riel case does not dictate the outcomes in these four cases on the basis of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contract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ALTERNATIVE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plaintiffs' alternative claims are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alleging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allege further that as a result of the defendant's breaches of duty they "will have to remove and replace all of the windows supplied"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Gladishes replaced all their IJ windows in 2002. The Byres replaced one IJ window which did not seal properly. The other plaintiffs have replaced none of their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cost of replacement is significantly greater than the price of the original IJ windows because the cost to remove them and install new windows includes considerable costly reconstruction and refinishing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Evidence of Window Thermal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An expert called by the plaintiff, Mr. John Lovatt, P. Eng., opined that the IJ windows failed to meet the CSA standard for condensation resistance because of a design flaw which resulted in a thermal bridge where there ought to be a thermal barrier between the exterior aluminum cladding of the IJ window sash or frame and the inside glass surface. He opined this permitted the inside glass surface temperature to drop below zero degrees Celcius at exterior temperatures above minus 25 degrees Celcius causing water vapour to precipitate and freeze on the inside glass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Lovatt also testified in the Riel case where his evidence was accepted by Davies J., who found the windows failed to meet the minimum CSA condensation resistance rating "I" factor of 40, which he characterized as the "National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"I" or window temperature index factor is calculated using a formula relating the interior and exterior air temperatures and the inside glass surface temperature of the window. There is a rigorous CSA protocol for carrying out the testing of sample windows for the purpose of calculating the "I"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Lovatt tested one of each of the plaintiffs' IJ windows in this case, as he had IJ windows of the plaintiffs in the Reil case. He acknowledged that he had not tested any of the IJ windows in accordance with the CSA testing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Although the "The Canadian National Standard for Windows" set out in clause 10.12 "CAN/CSA-A440-M90" stipulates a "minimum acceptable" "I" factor of 40, condensation resistance testing was not mandatory at the relevant time. Nevertheless, Davies J. found an "I" factor of 40 was the "performance standard". I agree. The British Columbia Building Code section 9.7.2.1 provides "Windows shall conform with CAN/CSA-A440-M".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December 1996, after the Riel case was decided, the defendant provided a sample of its aluminum-clad wood frame window to AGRA to be tested for compliance with the CSA condensation resistance standard. AGRA reported the IJ window was tested in accordance with clause 11.12 of CAN/CSA-A440-M90 and found to have an "I" factor of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was no similar evidence before Davies J., who noted in Riel at paragraph 16(h) that Mr. Lovatt's "form of condensation resistance testing" "while it admittedly did not meet the strict requirements for such testing under the National Standard ... is of assistance to me as the only data based evidence as to the extent to which the windows installed may meet or not meet the National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While Mr. Lovatt criticized aspects of the AGRA test, I am satisfied the AGRA test met CSA test protocol requirements, or at least were much closer to meeting them than were his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Plaintiffs' counsel argued the IJ window tested by AGRA did not reflect the thermal performance of the windows installed in plaintiffs' houses because it was fully caulked and theirs were not. There was no expert evidence as to precisely how caulking might affect the test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Byres' and Clares' IJ windows leaked water in a wind-driven rainstorm before they were caulked by the defendant. This caulking fixed the leaks. Presumably, the IJ windows also leaked air before caulking. It is reasonable to infer that a window which leaks air has inferior thermal properties to one which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the Byres and Clares both testified the caulking ended the water leakage but nevertheless the IJ windows exhibited condensation and icing after they were caulked. From this I infer the caulked IJ window tested by AGRA is appropriate for comparison with the Byres' and Clares' IJ windows after they were caulked.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this trial, Mr. Lovatt maintained his opinion that the IJ windows he tested had an "I" factor below 40. Mr. Lovatt deduced that because the IJ windows he tested developed ice on their inside glass surfaces at "normal" interior temperature and relative humidity and an exterior temperature above minus 25 degrees Celcius, they did not meet the CSA minimum standard of an "I" factor of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 second expert, Mr. Thomas Morestead, testified that the apparent contradiction between Mr. Lovatt's opinion and AGRA's test "I" factor result of 56 could be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Morestead, an architect specializing in building envelope problems, was jointly engaged by the parties to analyze the condensation and icing problems the plaintiffs experienced with their IJ windows. He was instructed to recommend solutions which might result in a settlement of these actions. He provided a report to the parties in August 2002. He was called to testify by the defendant after the plaintiffs' objection to the admission of his report in evidence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the request of plaintiffs' counsel under cross-examination at the trial, Mr. Morestead calculated an "I" factor of 33 based on an exterior temperature of minus 10 degrees Celcius, an interior temperature of 20 degrees Celcius and an inside glass surface temperature of zero degrees Celcius (corresponding to the maximum temperature at which ice could form on the inside glass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 to Mr. Morestead, the fact that a window might develop ice along the bottom of the inside glass surface, indicating a maximum temperature there of zero degrees Celcius and an "I" factor of 33 in the example he calculated, did not mean the window failed to meet the CSA performance standard of an "I" factor of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That is because the inside glass surface temperature at the junction of the inside glass surface and the bottom sash, the coldest point on the inside glass surface, may be zero degrees Celcius or below, but since Appendix C2.7 to the CAN/CSA-A440-M90 clause 11.12 test protocol requires the inside glass temperature be measured 50 mm above the bottom frame or sash where the temperature will be higher for the purpose of calculating the window's "I" factor, a higher "I" factor calculation will result under the CSA test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support of the proposition that the "I" factor at the coldest point could be 33 while the sample window nevertheless tested at 56 by AGRA in accordance with the CSA test protocol, Mr. Morestead referred to the 2000 ASRAE (American Society of Heating, Refrigeration and Air-Conditioning Engineers, Inc.) Handbook, an industry-recognized technical publication, p. 20.2, which states: "The results of limited tests on actual windows indicate that the temperature index at the bottom of a double residential-type window with a full thermal break is between 0.55 and 0.57, with natural convection on the warm side. Sealed, double-glazed units exhibit an index from 0.33 to 0.48 at the junction of glass and sash, depending on sash design. The index is likely to rise to 0.53 or greater only 25 mm above the 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CSA temperature index is expressed as 100 times the ASHRAE equivalent, so an "I" factor of 56 CSA corresponds to 0.56 ASHRAE.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above-quoted excerpt from the 2000 ASHRAE Handbook explains how a window could test at a CSA "I" factor of 56 yet still perform at the junction of the inside glass surface and bottom sash at an "I" factor of 33, with icing along the bottom of the window in cold weather as the plaintiffs experience on their windows and as Mr. Lovatt's tests produced at an exterior temperature of minus 25 degrees Celcius.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fact the IJ windows tested by Mr. Lovatt developed ice on their inside glass surfaces and therefore performed with a calculated "I" factor of 33 is not inconsistent with the AGRA test result of 56 using the CSA test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Key to Mr. Lovatt's reasoning was the assumption that the inside glass surface temperature at or near the junction of the glass and bottom sash, the coldest point on the window and the point at which ice will first form, was the same as the temperature at the point of temperature measurement for CSA testing, which is 50 mm above that 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Based on the AGRA test result of an "I" factor of 56, I find that a window constructed in accordance with the design specifications of the defendant's aluminum-clad wood frame windows can meet and exceed the CSA minimum "I" factor of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Special Publication A440.1-M1990 "User Selection Guide to CSA Standard CAN/CSA-A440-M90, Windows" states in its introduction "The National Building Code provides only a "minimum" performance requirement. In this Guide it is strongly recommended that specifiers select the appropriate performance ratings which meet their climatic conditions ..." and goes on to disclaim "all liability" for use of the Guide and "makes no warranties express or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Section 10 of this Special Publication explains the "I" factor temperature index "is used in conjunction with the appropriate winter (January) design temperature in any given location to determine the maximum relative humidity that the glazing and sash or frame can withstand without the formation of interior surface condensation."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 table in that section indicates that with an interior temperature of 20 degrees Celcius a window tested at CSA "I" factor 40 can withstand the formation of interior condensation at an interior relative humidity ("rh") of 35% at an exterior temperature of minus 5 degrees Celcius, and at rh 10% at minus 25 degrees Celcius.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second table in that section indicates that a window with a tested CSA "I" factor of 60 can withstand interior condensation at rh 30% and an exterior temperature of minus 25 degrees Celcius.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 third table indicates a recommended "I" factor of 60 for windows to be installed in Kamloops on the basis that 2.5% of its coldest January days are minus 25 degrees Celcius or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Based on the second table, if the IJ windows met CSA "I" factor 40 they could withstand condensation at interior rh 10% or less at an exterior temperature of minus 25 degrees Celcius. If the IJ windows met CSA "I" factor 56 (as per the AGRA test) they could withstand condensation at between rh 25% and rh 30% at that exterior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all reported condensation and icing on the inside of their IJ windows at around minus 10 degrees Celcius exterior temperature. According to the same table, they could withstand condensation at that temperature at rh 30% if they met CSA "I" factor 40 and at rh 40% if they met CSA "I" factor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Morestead testified that there would be little appreciable difference between windows with "I" factors of 56 and 60. According to the table, the difference is that a window meeting CSA "I" factor 56 could withstand condensation at an exterior temperature of minus 25 degrees Celcius and interior rh between 25% and 30% while a window meeting CSA "I" factor 60 could do so at rh 30% at the same exterior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AGRA test result of "I" factor 56 rules out a design flaw, including failure to provide an adequate thermal break, as the cause of the condensation and icing problems with the IJ windows installed in the plaintiffs'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According to the CSA table referred to above, a window capable of meeting CSA "I" factor 56 could withstand condensation at normal interior temperature of 20 degrees Celcius and rh 30% which is not abnormally low in winter, down to an exterior temperature of minus 20 degrees Celcius, considerably below that at which the plaintiffs testified their IJ windows develop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AGRA test does not rule out the possibility that the IJ windows installed in the plaintiffs' houses were constructed by the defendant with flaws which caused them to depart from their design capabilities and fail to meet the "I" factor of 56 the AGRA test shows their design could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However, in light of Mr. Morestead's evidence supported by the 2000 ASHRAE handbook, it cannot be inferred from the fact that the plaintiffs' IJ windows develop ice on their inside glass surfaces at an exterior temperature of minus 10 Celcius that they were constructed by the defendant in such a way that they did not meet the CSA performance standard of an "I" factor of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the hypothetical "I" factor calculation done by Mr. Morestead at the request of plaintiffs' counsel shows, the plaintiffs' IJ windows could develop ice with an actual "I" factor performance of 33 at the lower junction of the inside glass surface and sash and still provide a test result of 56 using the CSA test protocol according to the 2000 ASHRAE Handbook.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the basis of the expert evidence, I find the plaintiffs have not proved it is more likely than not that IJ windows failed to meet the CSA performance standard of "I" factor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Anecdotal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All of the plaintiffs testified that their IJ windows routinely developed condensation and icing on their inside glass surfaces whenever the exterior temperature went below minus 8 or 10 degrees Celcius every winter since they moved into their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All had conventional gas-fired forced air furnaces and kitchen and bathroom fans which met B.C. Building Code requirements. None had extraordinary sources of moisture in their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All the plaintiffs testified that when the ice melted it pooled on the sashes, frames and sills to such an extent that it required frequent time-consuming mopping up, sometimes several times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All testified that because they were unable to keep the wood frames and sashes dry these had developed discolouring mould, paint had deteriorated and the mitred corners of some IJ windows had begun to separate.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All plaintiffs testified their IJ windows froze shut in extreme cold weather as ice built up on the inside glass and sash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Byres testified their kitchen IJ window froze shut and attempting to open it damaged the opening mechanism so that it did not thereafter seal shut properly. The vinyl window with which they replaced it did not experience icing on its inside glass surface in the subsequent winter when other IJ windows nearby did. The new vinyl window was installed with a brick moulding around its exterior perimeter which could account for this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most compelling evidence that IJ windows might be defective was evidence that after the Gladishes replaced their IJ windows with vinyl double-glazed windows, these did not experience any condensation or icing during the subsequent winter as their IJ windows had in previous winters.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Other persons who were not plaintiffs testified they experienced similar condensation and icing problems with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Sheila Begley testified that four IJ windows she installed during a 1995 renovation of her house developed condensation and icing on their inside glass surfaces and froze shut in cold weather while original windows nearby in her house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Anthony Muzzillo testified he replaced IJ windows on the upper floor of his house with vinyl windows because the IJ windows had deteriorated as a result of inside condensation and icing in the years 1994 to 2002. The new windows did not experience condensation or icing during the subsequent winter. Mr. Muzzillo agreed it was a mild winter so it perhaps provided a poor basis for comparison. He did not replace his basement IJ windows which had not experienced condensation or 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Mary Bozinovic testified the defendant had only 10 complaints of any kind about its aluminum-clad wood frame windows from Kamloops customers although the defendant had sold 500 full house packages to Kamloops customers between 1993 and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George Carr, the Clares' builder, testified he had built 13 homes with the IJ windows and only one other customer had similar complaints to the Clares. These, he understood, had been resolved by installation of a dehumidifier.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Mark Hodder, another builder, testified he installed 30 full house packages of IJ windows in new homes as well as "hundreds" of IJ windows as singles in renovation projects and had only two complaints about condensation. One he resolved by installing three humidistat bathroom fans, the other by installing an energy recovery ventilation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Curt Ginter who built the Durigon and Gladish houses, testified that he used both aluminum-clad and vinyl windows in numerous houses he built and that all his customers had complaints of window condensation problems to varying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Mr. Justice Davies had his judgment in the Riel case under reserve, the Riels sold their house and did not disclose they had reduced the price by $12,500 to account for the problems with their IJ windows they had described in testimony before him. Mr. Justice Davies later awarded $49,360 for replacement of the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purchaser, Mr. James Bowersock, testified at the subsequent trial before Mr. Justice Wilson where the present defendant recovered the $39,916 damages (after set-off) and $26,800 costs awarded against it by Mr. Justice Davies for replacement of the Riels' IJ windows [see I.J. Manufacturing Ltd. v. Riel et al, </w:t>
      </w:r>
      <w:hyperlink r:id="rId416" w:history="1">
        <w:r>
          <w:rPr>
            <w:rFonts w:ascii="arial" w:eastAsia="arial" w:hAnsi="arial" w:cs="arial"/>
            <w:i/>
            <w:color w:val="0077CC"/>
            <w:sz w:val="20"/>
            <w:u w:val="single"/>
            <w:shd w:val="clear" w:color="auto" w:fill="FFFFFF"/>
            <w:lang w:val="en-US" w:eastAsia="en-US" w:bidi="ar-SA"/>
          </w:rPr>
          <w:t>[2001] B.C.J. No. 582</w:t>
        </w:r>
      </w:hyperlink>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2001 BCSC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Bowersock testified he had not replaced or repaired the IJ windows but had "increased some cold air returns from the basement" at a cost of $50 to $80 and not had a problem with the IJ windows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Bowersock's daughter, Ms. Diane Thomas, testified that although she regularly visits the house several times a week in winter when her parents are away in Arizona and has been in the house during the Christmas period when they return and entertain extensively, she has never seen any evidence of condensation or ice on the IJ window inside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Clearly, there are perplexing contradictions in the anecdotal evidence. Considering all I have outlined and other anecdotal evidence, I find it fails to prove that it is more likely than not that IJ windows are inferior to other double-glazed aluminum clad wood frame residential windows or that they are inherently defective. If they were, they would not resist condensation and icing in Mr. Muzzillo's basement but not his upper floor. Nor would they cease to experience condensation and icing in the Riel house after it changed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Morestead's evidence indicated that the performance of windows in a house as regards condensation and icing is a function of an array of factors in combination. These include exterior temperature, thermal properties of the windows, interior temperature, relative humidity and dew point, the exchange rate of interior ventilation, the precise location of the windows relative to the exterior and interior wall surfaces of the house, extent of exposure of exterior aluminum frames beyond the exterior wall surface to chilling air, use or non use of exhaust fans, use of interior air circulation fans, proximity of interior heat sources to windows, localized sources of interior humidity such as cooking and bathing, and presence or absence of draperies and other window coverings.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have already concluded the expert evidence does not support the inference that IJ windows are of defective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It is possible the IJ windows in the plaintiffs' houses were defectively manufactured so they do not meet their design capabilities; however, it seems unlikely all the windows in a particular house package would suffer from the same manufacturing defect. Indeed, Mr. Muzzillo's IJ windows did not all perform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 manufacturing defect would not explain why the windows in the Riels' house experienced condensation and ice formation while the Riels lived in the house but ceased to do so after the Bowersocks moved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on Liability on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Even if it is assumed the IJ windows installed in the plaintiffs' houses were defectively manufactured, the plaintiffs can recover damages only if the windows present a "real and substantial danger" to personal health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case with facts most similar to this case upon which the plaintiffs rely is Strike v. Ciro Products U.S.A. Inc., </w:t>
      </w:r>
      <w:hyperlink r:id="rId417" w:history="1">
        <w:r>
          <w:rPr>
            <w:rFonts w:ascii="arial" w:eastAsia="arial" w:hAnsi="arial" w:cs="arial"/>
            <w:i/>
            <w:color w:val="0077CC"/>
            <w:sz w:val="20"/>
            <w:u w:val="single"/>
            <w:shd w:val="clear" w:color="auto" w:fill="FFFFFF"/>
            <w:lang w:val="en-US" w:eastAsia="en-US" w:bidi="ar-SA"/>
          </w:rPr>
          <w:t>[1988] B.C.J. No. 1154</w:t>
        </w:r>
      </w:hyperlink>
      <w:r>
        <w:rPr>
          <w:rFonts w:ascii="arial" w:eastAsia="arial" w:hAnsi="arial" w:cs="arial"/>
          <w:color w:val="000000"/>
          <w:sz w:val="20"/>
          <w:lang w:val="en-US" w:eastAsia="en-US" w:bidi="ar-SA"/>
        </w:rPr>
        <w:t xml:space="preserve"> (S.C.) in which tort damages were awarded against a subcontractor which installed a defective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was no finding of "real and substantial danger" in Strike, which was decided solely on the basis that the degree of proximity between the plaintiff and defendant, "was as close as it could be short of privity of contract", applying Junior Books Ltd. v. Vertechi Co. Ltd., [1983] All E.R. 201 (H.L.) in which tort damages were awarded for a defective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Junior Books was subsequently disavowed by the House of Lords. Its authority in British Columbia in a "shoddy goods" case was recently decided in M. Hasegawa &amp; Co. Ltd. v. The Pepsi Bottling Group (Canada), Co., </w:t>
      </w:r>
      <w:hyperlink r:id="rId418" w:history="1">
        <w:r>
          <w:rPr>
            <w:rFonts w:ascii="arial" w:eastAsia="arial" w:hAnsi="arial" w:cs="arial"/>
            <w:i/>
            <w:color w:val="0077CC"/>
            <w:sz w:val="20"/>
            <w:u w:val="single"/>
            <w:shd w:val="clear" w:color="auto" w:fill="FFFFFF"/>
            <w:lang w:val="en-US" w:eastAsia="en-US" w:bidi="ar-SA"/>
          </w:rPr>
          <w:t>[2002] B.C.J. No. 1125</w:t>
        </w:r>
      </w:hyperlink>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2002 BCCA 324</w:t>
        </w:r>
      </w:hyperlink>
      <w:r>
        <w:rPr>
          <w:rFonts w:ascii="arial" w:eastAsia="arial" w:hAnsi="arial" w:cs="arial"/>
          <w:color w:val="000000"/>
          <w:sz w:val="20"/>
          <w:lang w:val="en-US" w:eastAsia="en-US" w:bidi="ar-SA"/>
        </w:rPr>
        <w:t>, where at paragraph 68, Chief Justice Finch for the Court, held the Court of Appeal was "not bound to follow the result or reasoning in Junior Books" and expressly declined to do so. The effect of that determination is to disapprove the reasoning applied in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Winnipeg Condominium Corporation No. 36 v. Bird Construction Co. </w:t>
      </w:r>
      <w:hyperlink r:id="rId419" w:history="1">
        <w:r>
          <w:rPr>
            <w:rFonts w:ascii="arial" w:eastAsia="arial" w:hAnsi="arial" w:cs="arial"/>
            <w:i/>
            <w:color w:val="0077CC"/>
            <w:sz w:val="20"/>
            <w:u w:val="single"/>
            <w:shd w:val="clear" w:color="auto" w:fill="FFFFFF"/>
            <w:lang w:val="en-US" w:eastAsia="en-US" w:bidi="ar-SA"/>
          </w:rPr>
          <w:t>(1995), 121 D.L.R. (4th) 193</w:t>
        </w:r>
      </w:hyperlink>
      <w:r>
        <w:rPr>
          <w:rFonts w:ascii="arial" w:eastAsia="arial" w:hAnsi="arial" w:cs="arial"/>
          <w:color w:val="000000"/>
          <w:sz w:val="20"/>
          <w:lang w:val="en-US" w:eastAsia="en-US" w:bidi="ar-SA"/>
        </w:rPr>
        <w:t>, the Supreme Court of Canada held that those responsible for "failure to take reasonable care in constructing [a] building will owe a duty in tort ... if it can be shown that ... failure ... would create defects that pose a substantial danger to the health and safety of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Plaintiffs' counsel referred to Martel Building Ltd. v. Canada, </w:t>
      </w:r>
      <w:hyperlink r:id="rId420"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2000 S.C.C. 60 as authority for the proposition that once "proximity" was established there were no policy considerations serving to negative or limit liability in the present cases, applying the "flexible two-stage analysis" of Anns v. Merton London Borough Council, [1978] A.C. 728 (H.L.), as was done in Martel.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Martel, the Supreme Court of Canada declined to extend tort liability for pure economic loss into a new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commercial negotiations. That left the five categories established in Canadian National Railway Co. v. Norsk Pacific Steamship Co., </w:t>
      </w:r>
      <w:hyperlink r:id="rId421"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including "negligent supply of shoddy goods or structures", as the basis for analysis in the present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That category was considered in Winnipeg Condo and Hasegawa which referred to Winnipeg Condo and Martel at paragraph 30, in reference to the five established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Hasegawa, Chief Justice Finch rejected the plaintiff's submission that a defendant may owe a duty of care for the provision of a defective but non-dangerous product. In doing so, he quoted from and commented on Winnipeg Condo as follows: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the learned trial judge did not err in rejecting the argument that this was a case of damage to property. In Winnipeg Condo, supra, Mr. Justice La Forest for the Court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Traditionally, the courts have characterized the costs incurred by a plaintiff in repairing a defective chattel or building as "economic loss" on the grounds that costs of those repairs do not arise from injury to persons or damage to property apart from the defective chattel or building itself: see Rivtow Marine Ltd. v. Washington Iron Works </w:t>
            </w:r>
            <w:hyperlink r:id="rId422" w:history="1">
              <w:r>
                <w:rPr>
                  <w:rFonts w:ascii="arial" w:eastAsia="arial" w:hAnsi="arial" w:cs="arial"/>
                  <w:i/>
                  <w:color w:val="0077CC"/>
                  <w:sz w:val="18"/>
                  <w:u w:val="single"/>
                  <w:shd w:val="clear" w:color="auto" w:fill="FFFFFF"/>
                  <w:lang w:val="en-US" w:eastAsia="en-US" w:bidi="ar-SA"/>
                </w:rPr>
                <w:t>(1973), 40 D.L.R. (3d) 530</w:t>
              </w:r>
            </w:hyperlink>
            <w:r>
              <w:rPr>
                <w:rFonts w:ascii="arial" w:eastAsia="arial" w:hAnsi="arial" w:cs="arial"/>
                <w:color w:val="000000"/>
                <w:sz w:val="18"/>
                <w:lang w:val="en-US" w:eastAsia="en-US" w:bidi="ar-SA"/>
              </w:rPr>
              <w:t xml:space="preserve"> at pp. 541-2, </w:t>
            </w:r>
            <w:hyperlink r:id="rId422" w:history="1">
              <w:r>
                <w:rPr>
                  <w:rFonts w:ascii="arial" w:eastAsia="arial" w:hAnsi="arial" w:cs="arial"/>
                  <w:i/>
                  <w:color w:val="0077CC"/>
                  <w:sz w:val="18"/>
                  <w:u w:val="single"/>
                  <w:shd w:val="clear" w:color="auto" w:fill="FFFFFF"/>
                  <w:lang w:val="en-US" w:eastAsia="en-US" w:bidi="ar-SA"/>
                </w:rPr>
                <w:t>[1974] S.C.R. 1189</w:t>
              </w:r>
            </w:hyperlink>
            <w:r>
              <w:rPr>
                <w:rFonts w:ascii="arial" w:eastAsia="arial" w:hAnsi="arial" w:cs="arial"/>
                <w:color w:val="000000"/>
                <w:sz w:val="18"/>
                <w:lang w:val="en-US" w:eastAsia="en-US" w:bidi="ar-SA"/>
              </w:rPr>
              <w:t xml:space="preserve">, </w:t>
            </w:r>
            <w:hyperlink r:id="rId422" w:history="1">
              <w:r>
                <w:rPr>
                  <w:rFonts w:ascii="arial" w:eastAsia="arial" w:hAnsi="arial" w:cs="arial"/>
                  <w:i/>
                  <w:color w:val="0077CC"/>
                  <w:sz w:val="18"/>
                  <w:u w:val="single"/>
                  <w:shd w:val="clear" w:color="auto" w:fill="FFFFFF"/>
                  <w:lang w:val="en-US" w:eastAsia="en-US" w:bidi="ar-SA"/>
                </w:rPr>
                <w:t>[1973] 6 W.W.R. 692</w:t>
              </w:r>
            </w:hyperlink>
            <w:r>
              <w:rPr>
                <w:rFonts w:ascii="arial" w:eastAsia="arial" w:hAnsi="arial" w:cs="arial"/>
                <w:color w:val="000000"/>
                <w:sz w:val="18"/>
                <w:lang w:val="en-US" w:eastAsia="en-US" w:bidi="ar-SA"/>
              </w:rPr>
              <w:t>. For my part, I would find it more congenial to deal directly with the policy considerations underlying that classification as was done in an analogous situation in Dutton v. Bognor Regis Urban District Council, [1972] 1 Q.B. 373 (C.A.), per Lord Denning M.R. (pp. 396-8), and Sachs L.J. (pp. 403-4). However, I am content to deal with the issues in the terms in which the arguments were formulated.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 Forest, J. did not find persuasive (para. 15) the Condominium Corporation's argument that the defective exterior cladding which collapsed should be considered as a localized defect which caused damage to the rest of the structure.</w:t>
      </w:r>
    </w:p>
    <w:p>
      <w:pPr>
        <w:numPr>
          <w:numId w:val="3"/>
        </w:numPr>
        <w:spacing w:before="120" w:line="240" w:lineRule="atLeast"/>
        <w:rPr>
          <w:rFonts w:ascii="arial" w:eastAsia="arial" w:hAnsi="arial" w:cs="arial"/>
          <w:sz w:val="20"/>
          <w:lang w:val="en-US" w:eastAsia="en-US" w:bidi="ar-SA"/>
        </w:rPr>
      </w:pP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 that "the critical fact and fundamental basis on which the [Supreme Court of Canada] determined there was a prima facie duty in Winnipeg Condominum was that the defect in question created a danger to the health and safety of the [building's] occupants." The defendant relies on this passage: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conclude that the law in Canada has now progressed to the point where it can be said that contractors (as well as subcontractors, architects and engineers) who take part in the design and construction of a building will owe a duty in tort to subsequent purchasers of the building if it can be shown that it was foreseeable that a failure to take reasonable care in constructing the building would create defects that pose a substantial danger to the health and safety of the occupants.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logic, it may seem incongruous that the existence of a duty of care should depend upon the kind of harm that might ensue from a lack of care by the defendant. The controlling test for existence of the prima facie duty is the parties' proximity or degree of neighbourhood. The kind of harm that might be suffered by a plaintiff, whether physical or economic, does not seem to be an appropriate test for deciding whether a duty exists, because a plaintiff, whether in a proximate relationship or not, might suffer either kind of harm.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has, however, decided that the kind of harm which may potentially be suffered does indeed determine the existence of the duty of care. It has held that the product manufacturer's duty is to take reasonable care to avoid causing either personal injury or physical danger to property. But the duty does not extend to putting into circulation products which are merely defective or shoddy, if they are not dangerous. There can be no doubt on the law as presently understood, the potential nature of the harm determines the existence of the prima facie duty of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address, later in these reasons, the policy considerations which would in my view negative the existence of a duty, should such a prima facie duty exist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the law stands in British Columbia in light of Hasegawa, the plaintiffs, in order to recover tort damages for economic loss, must show that the windows are not only defective but dangerous in accordance with the test in Winnipeg Condo.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this regard, there is evidence that the IJ windows, when ice forms on them, are impossible to open. There is also evidence that the B.C. Building Code section 9.7.1.3 (1) requires that each bedroom without a door to the outside must have a window which can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On dismissing the defendant's "no evidence" non suit application at the close of the plaintiffs' case, </w:t>
      </w:r>
      <w:hyperlink r:id="rId423" w:history="1">
        <w:r>
          <w:rPr>
            <w:rFonts w:ascii="arial" w:eastAsia="arial" w:hAnsi="arial" w:cs="arial"/>
            <w:i/>
            <w:color w:val="0077CC"/>
            <w:sz w:val="20"/>
            <w:u w:val="single"/>
            <w:shd w:val="clear" w:color="auto" w:fill="FFFFFF"/>
            <w:lang w:val="en-US" w:eastAsia="en-US" w:bidi="ar-SA"/>
          </w:rPr>
          <w:t>[2003] B.C.J. No. 1009</w:t>
        </w:r>
      </w:hyperlink>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2003 BCSC 682</w:t>
        </w:r>
      </w:hyperlink>
      <w:r>
        <w:rPr>
          <w:rFonts w:ascii="arial" w:eastAsia="arial" w:hAnsi="arial" w:cs="arial"/>
          <w:color w:val="000000"/>
          <w:sz w:val="20"/>
          <w:lang w:val="en-US" w:eastAsia="en-US" w:bidi="ar-SA"/>
        </w:rPr>
        <w:t>, I found this constitutes some evidence from which it might be inferred that some of the IJ windows in the plaintiffs' houses present a "real and substantial danger" to the occupants since they are inoperable when frozen shut.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Plaintiffs' counsel also argued that ice forming on the inside IJ window surfaces thereby dehumidifying interior air in the plaintiffs' houses or the plaintiffs' attempts to reduce interior rh below 20% to prevent condensation and icing would cause the interior rh to drop below levels recommended by Health Canada Exposure Guidelines for Residential Air Quality in cold weather, thereby creating a health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None of the plaintiffs pleaded that the IJ windows present either a fire danger or a health hazard. As a result, little evidence was presented on either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Only Mrs. Clare testified about potential fire danger. She testified she instructed her children, when they were school age, to break windows frozen shut to escape a fire if they must.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relevant portion of the Health Canada Guidelines section 4.A.8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4.A.8 Water Vapour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health considerations, the acceptable short-term exposure ranges (ASTER) for water vapour in residential indoor air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30% to 80% relative humidity - summer;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30% to 55% relative humidity - winter*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*unless constrained by window condensation.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moisture content of indoor air is reduced by dilution with drier outdoor air, by condensation on cold surfaces and by absorption or adsorption of water by materials in the home. Homes heated electrically are likely to have higher indoor relative humidities in winter than comparable homes heated by combustion furnaces, since the latter tend to increase the infiltration of dry outside air. Relative humidities in Canadian homes have been found to range from 21% to 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conjunction with temperature and air flow, relative humidity affects comfort; conditions of 20% to 60% relative humidity at temperatures between 20 and 25C are usually judged comfortable. Long periods of low relative humidity are believed to cause dryness of the skin and mucous membranes, which may lead to chapping and irritation.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species of bacteria and viruses survive best at low or high, rather than intermediate, humidities. ... The evidence suggests that humidity levels should be maintained between 40% and 50% to reduce the incidence of upper respiratory infections and to minimize adverse effects on people suffering from asthma or allergies. Such a range would be hard to maintain, however, and exposure to higher or lower levels is unlikely to affect the health of most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Assuming IJ windows cause lower than recommended interior rh intermittently during cold weather, there is nothing in the Guidelines which indicates this is a "real and substantial" risk to the safety of the occupants of houses fitted with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For example, the Guidelines indicate rh as low as 20% is in a range "usually judged comfortable" and provide no details on how long a departure from "intermediate" humidity would be required to actually promote bacterial or viral growth. There is no evidence of abnormally high levels of bacteria or viruses in the plaintiffs'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Unlike Hasegawa where the alleged unhealthy defect was mould contamination in the bottled water which was the subject of that claim, here the potential unhealthy effect is several steps away from the alleged defect in the IJ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To succeed on this issue, the plaintiffs have to prove the windows cause dehumidification, prove the dehumidification is of sufficient extremity and duration to cause abnormal bacterial or viral growth in the plaintiffs' houses and prove that such growth presents a health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the evidence does not show that it is more probable than not that the alleged defect in the IJ windows constitutes a health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fact plaintiffs' bedroom IJ windows freeze shut in cold weather did not prompt them to act to ensure they could be opened. Apart from Mrs. Clare, they did not mention the issue in their testimony. None ever mentioned it specifically to the defendant or to their builders and none took any steps to rectify the inoperability of the bedroom windows when frozen.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regard Mrs. Clare's instruction to her children to break the windows to escape a fire as so risky in itself as to demonstrate indifference to the perceived risk. It was not a serious attempt to eliminate the perceived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Just as the trial judge in Hasegawa, </w:t>
      </w:r>
      <w:hyperlink r:id="rId424" w:history="1">
        <w:r>
          <w:rPr>
            <w:rFonts w:ascii="arial" w:eastAsia="arial" w:hAnsi="arial" w:cs="arial"/>
            <w:i/>
            <w:color w:val="0077CC"/>
            <w:sz w:val="20"/>
            <w:u w:val="single"/>
            <w:shd w:val="clear" w:color="auto" w:fill="FFFFFF"/>
            <w:lang w:val="en-US" w:eastAsia="en-US" w:bidi="ar-SA"/>
          </w:rPr>
          <w:t>[2000] B.C.J. No. 1507</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2000 BCSC 1108</w:t>
        </w:r>
      </w:hyperlink>
      <w:r>
        <w:rPr>
          <w:rFonts w:ascii="arial" w:eastAsia="arial" w:hAnsi="arial" w:cs="arial"/>
          <w:color w:val="000000"/>
          <w:sz w:val="20"/>
          <w:lang w:val="en-US" w:eastAsia="en-US" w:bidi="ar-SA"/>
        </w:rPr>
        <w:t xml:space="preserve"> found that the plaintiff's willingness to resell the allegedly unhealthy water and expose purchasers to any risk spoke volumes, I find the plaintiffs' apparent indifference to the alleged risk of frozen shut bedroom windows in these cases "speaks volumes" about the degree of actual risk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Privest Properties Ltd. v. Foundation Co. of Canada Ltd. </w:t>
      </w:r>
      <w:hyperlink r:id="rId425" w:history="1">
        <w:r>
          <w:rPr>
            <w:rFonts w:ascii="arial" w:eastAsia="arial" w:hAnsi="arial" w:cs="arial"/>
            <w:i/>
            <w:color w:val="0077CC"/>
            <w:sz w:val="20"/>
            <w:u w:val="single"/>
            <w:shd w:val="clear" w:color="auto" w:fill="FFFFFF"/>
            <w:lang w:val="en-US" w:eastAsia="en-US" w:bidi="ar-SA"/>
          </w:rPr>
          <w:t>(1995) 128 D.L.R. (4th) 577</w:t>
        </w:r>
      </w:hyperlink>
      <w:r>
        <w:rPr>
          <w:rFonts w:ascii="arial" w:eastAsia="arial" w:hAnsi="arial" w:cs="arial"/>
          <w:color w:val="000000"/>
          <w:sz w:val="20"/>
          <w:lang w:val="en-US" w:eastAsia="en-US" w:bidi="ar-SA"/>
        </w:rPr>
        <w:t xml:space="preserve">; affirmed </w:t>
      </w:r>
      <w:hyperlink r:id="rId426" w:history="1">
        <w:r>
          <w:rPr>
            <w:rFonts w:ascii="arial" w:eastAsia="arial" w:hAnsi="arial" w:cs="arial"/>
            <w:i/>
            <w:color w:val="0077CC"/>
            <w:sz w:val="20"/>
            <w:u w:val="single"/>
            <w:shd w:val="clear" w:color="auto" w:fill="FFFFFF"/>
            <w:lang w:val="en-US" w:eastAsia="en-US" w:bidi="ar-SA"/>
          </w:rPr>
          <w:t>143 D.L.R. (4th) 635</w:t>
        </w:r>
      </w:hyperlink>
      <w:r>
        <w:rPr>
          <w:rFonts w:ascii="arial" w:eastAsia="arial" w:hAnsi="arial" w:cs="arial"/>
          <w:color w:val="000000"/>
          <w:sz w:val="20"/>
          <w:lang w:val="en-US" w:eastAsia="en-US" w:bidi="ar-SA"/>
        </w:rPr>
        <w:t xml:space="preserve"> (B.C.C.A.); supplementary reasons </w:t>
      </w:r>
      <w:hyperlink r:id="rId427" w:history="1">
        <w:r>
          <w:rPr>
            <w:rFonts w:ascii="arial" w:eastAsia="arial" w:hAnsi="arial" w:cs="arial"/>
            <w:i/>
            <w:color w:val="0077CC"/>
            <w:sz w:val="20"/>
            <w:u w:val="single"/>
            <w:shd w:val="clear" w:color="auto" w:fill="FFFFFF"/>
            <w:lang w:val="en-US" w:eastAsia="en-US" w:bidi="ar-SA"/>
          </w:rPr>
          <w:t>145 D.L.R. (4th) 729</w:t>
        </w:r>
      </w:hyperlink>
      <w:r>
        <w:rPr>
          <w:rFonts w:ascii="arial" w:eastAsia="arial" w:hAnsi="arial" w:cs="arial"/>
          <w:color w:val="000000"/>
          <w:sz w:val="20"/>
          <w:lang w:val="en-US" w:eastAsia="en-US" w:bidi="ar-SA"/>
        </w:rPr>
        <w:t xml:space="preserve"> (B.C.C.A.); leave to appeal refused, </w:t>
      </w:r>
      <w:hyperlink r:id="rId428" w:history="1">
        <w:r>
          <w:rPr>
            <w:rFonts w:ascii="arial" w:eastAsia="arial" w:hAnsi="arial" w:cs="arial"/>
            <w:i/>
            <w:color w:val="0077CC"/>
            <w:sz w:val="20"/>
            <w:u w:val="single"/>
            <w:shd w:val="clear" w:color="auto" w:fill="FFFFFF"/>
            <w:lang w:val="en-US" w:eastAsia="en-US" w:bidi="ar-SA"/>
          </w:rPr>
          <w:t>[1997] S.C.C.A. No. 216</w:t>
        </w:r>
      </w:hyperlink>
      <w:r>
        <w:rPr>
          <w:rFonts w:ascii="arial" w:eastAsia="arial" w:hAnsi="arial" w:cs="arial"/>
          <w:color w:val="000000"/>
          <w:sz w:val="20"/>
          <w:lang w:val="en-US" w:eastAsia="en-US" w:bidi="ar-SA"/>
        </w:rPr>
        <w:t xml:space="preserve"> (S.C.C.), the plaintiff removed asbestos from its building as a result of an order of the Workers Compensation Board ("WCB"), but was denied tort damages when it failed to prove the asbestos was "dangerous" according to the Winnipeg Condo test of "real and substantial danger" constituting a "serious risk to safety" or that "the danger was substantial or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Privest, the WCB order arose because renovation of a building had disturbed asbestos insulation which presented a potential health hazard. That order did not raise a presumption that the asbestos was dangerous to the degree required by the Winnipeg Condo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this case, the fact that B.C. Building Code requires opening windows in bedrooms likewise raises no presumption that windows which periodically freeze shut in cold weather constitute a dangerous product as defined by Winnipeg Condo.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Privest, the trial judge assessed the asbestos health safety hazard on the basis of the intensity and length of building occupants' exposure to asbestos and rejected expert evidence that there was no safe level of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By parity of reasoning, the fire-related risk presented by the frozen shut bedroom windows must be assessed in these cases on the basis of the likelihood that a fire might occur in or near an occupied bedroom from which there was no other means of escape in light of the location of the fire in the house, on one of the few days a year when the bedroom windows were frozen shut.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these cases, there was no evidence any of the plaintiffs ever had a fire in their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find the evidence in these cases does not prove that the IJ windows in the plaintiffs' bedrooms constitute a "real and substantial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It follows that the plaintiffs cannot recover tort damages for the pure economic loss of the cost of replacing the IJ windows in their homes, assuming they were negligently manufactured.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Although there is evidence the plaintiffs have expended their own time and effort in coping with the consequences of the icing of the windows, chiefly pooling of water on sills leading to discolouration and mould growth, none plead a financial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Mrs. Clare testified that this mopping up chore was "a pain" in the sense of a recurring time-consuming annoyance, which I accept all the plaintiffs experienced. However, I am unable to characterize this as non-pecuniary damages akin to loss of enjoyment of life arising from personal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Winnipeg Condo held that repairing a defective chattel constitutes irrecoverable economic loss, as noted in the passage quoted above at paragraph 150. It follows tidying up as a consequence of that defect must fall into the same category of irrecoverable damages whether the plaintiff does the chore personally or pays to have it done. Winnipeg Condo held damage would be limited to "the reasonable cost of putting the building into a non-dangerous state, but not the cost of any repairs that would serve merely to improve the quality and not the safety of the building" (p. 215-16 [D.L.R.]).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No special damages relating to property damage resulting from the alleged defects in the windows are particularized in any of the plaintiffs' pleadings. The only evidence of damage to property apart from deterioration of the windows themselves is evidence that the Gladishes had water stained window drapes and sheers cleaned at a cost of $219.84. This is the sort of periodic cleaning a householder would typically incur even without experiencing window condensation.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plaintiffs' tort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If I am wrong about the availability of tort damages in this case, I would not award the replacement cost of new windows and consequential interior and exterior renovations, including repainting and restuccoing,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Damages were awarded on this basis in Riel under the implied warranties in the Sale of Goods Act, but in tort law, the plaintiffs have a duty to mitigate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Here there was evidence of solutions to the plaintiffs' condensation and icing problems much less expensive that full replacement of the IJ windows. These included inexpensive solutions such as that described by Mr. Bowersock in his testimony quoted above and the installation of heat recovery or energy recovery ventilation systems for about $2,500, according to Mr. Hodder.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Morestead, who provided a report to all parties based on a joint instruction from the plaintiffs and the defendant, recommended a number of possible remedial measures short of full replacement of all the IJ windows. None of the plaintiffs pursued his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He also opined that "Replacement windows may not be substantially more restive (sic) of condensation if glazing is reinstalled in the same location as existing windows and interior conditions remain unchanged." By "same location" I take him to mean location relative to the inside and outside surfaces of the walls. In other words, he is saying that full replacement of all IJ windows, as the three plaintiffs who have not yet done so propose, may not solve the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For these reasons, I am not satisfied that the plaintiffs have proved that replacement of their IJ windows represents the true measure of any tort damages that would be awarded if such damages were available in this case. At most, damages for replacement of the bedroom windows only might be awarded to make the houses "non-dangerous", if other measures failed to prevent them from freezing shut.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plaintiffs' four actions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Counsel agreed to address the issue of costs in written submissions once this judgment was delivered. I would appreciate receiving their submissions within one month. If counsel cannot agree on a schedule for exchange and filing of their submissions they should notify the trial coordinator in writing and I will set a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Coleman v. Spong, [2003] B.C.J. No. 1130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Duncan Registry No. S7398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C.P.C. (5th)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828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Garland Coleman, plaintiff, and Joshua Edward Spong and The Corporation of the District of North Cowichan,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8"/>
      <w:bookmarkEnd w:id="108"/>
      <w:r>
        <w:rPr>
          <w:rFonts w:ascii="arial" w:eastAsia="arial" w:hAnsi="arial" w:cs="arial"/>
          <w:b/>
          <w:color w:val="000000"/>
          <w:sz w:val="20"/>
          <w:lang w:val="en-US" w:eastAsia="en-US" w:bidi="ar-SA"/>
        </w:rPr>
        <w:t>Practice — Settlements — What constitutes — By one of multiple defendants, effect of — Enforceability — Interpretation — Amount.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8"/>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Coleman, for specific performance of a settlement agreement with the defendant, Spong, as well as costs and pre-judgment interest. Coleman was rendered a quadriplegic in a single vehicle accident in which Spong was the driver. Coleman had settled with the other defendants. In the Spong settlement, the parties had agreed on all issues except for the amount of costs, stipulating that they intended to make their best efforts to reach full settlement, in default of which they would seek court intervention. Spong argued that this meant that a full settlement was not reached, and that in any event, Rule 37(31) stated that the settlement was not enforceable given that it did not include all defendants jointly. As to prejudgment interest, Spong's only dispute was with the amount claimed for attendant care, given that Coleman did not use an attendant while he was at school.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8"/>
            <w:bookmarkEnd w:id="110"/>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settlement was declared enforceable, with full prejudgment interest on the services of attendant care. The offer to settle, as accepted by Spong, was clear and unambiguous. While the issue of costs was still under negotiation, this did not render the offer unenforceable within the terms of Rule 37. Nothing in the minutes of settlement varied the terms of the offer. Spong and the other defendants were not joint tortfeasors within the meaning of Rule 37(31). Their liability was separate and distinct. Given that Coleman needed an attendant for 16 hours per day, he was entitled to the prejudgment interest as claimed.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Legislation Cited_3"/>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8"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37(22), 37(31).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 Regulations, s. 69(c).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and Equity Act, R.S.B.C., ss. 8, 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8"/>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Morley and N.W.P. Fraser, for the plaintiff/applicant. D.A. Farquhar, Q.C., for the defendant, Spong.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8"/>
      <w:bookmarkEnd w:id="113"/>
      <w:r>
        <w:pict>
          <v:line id="_x0000_s1110"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LANDER J."/>
            <w:bookmarkEnd w:id="114"/>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on this notice of motion, pursuant to sections 8 and 10 of the Law and Equity Act and pursuant to Rule 18A of the Rules of Court, and pursuant to the inherent jurisdiction of this court, seeks an order for specific performance of the settlement agreement resulting from the plaintiff's acceptance of an offer to settle issued by the defendant Joshua Spong on March 11, 2002, and for an order that the defendant Joshua Spong pay to the plaintiff the plaintiff's full costs and disbursements as taxed by the Registrar of this Honourable Court, and, that the defendant Joshua Spong pay pre-judgment interest to the plaintiff in the amount of $25,612.24 or as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briefly are: the plaintiff was rendered a complete quadriplegic on May 30, 1999. The plaintiff was a passenger in a motor vehicle driven by Joshua Spong, when Spong lost control of the vehicle and drove off the roadway. The plaintiff also commenced an action against the defendant, The Corporation of the District of North Cowichan which he alleged the District performed road construction which contributed to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March 7, 2002, mediation was held when Mr. William Berardino Q.C. represented the plaintiff and Mr. Donald Farquhar Q.C. represented the defendant Spong, in an attempt to resolve the case. The issue at that time was that of costs and in particular whether the defendant Spong and his insurer could take advantage of Regulation 69(c) of the Insurance (Motor Vehicle) Regulations allowing an apportionment of costs after trial if an offer to settle was made. Section 69(c)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to the amount by which liability is limited under section 67, the corporation shall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that proportion of the costs taxed against an insured in an action respecting a claim under this Part that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offered by the corporation as its total liability for indemnity to the insured under this Part in an offer to settle delivered in accordance with the Supreme Court Rules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bears to</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aggregate of all special and general damages awarded in respect of the occurrence for which the claim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mediation was finalized on the basis that the defendant Spong would reinstate an offer to settle which counsel had previously revoked. There then was to be further negotiation on an application to determine whether the plaintiff was entitled to full costs or only a portion of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offer to settle was duly issued by the defendant Spong on March 11, 2002, and accepted by the plaintiff on March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offer to settle terms were formulated in an order of this Court on May 16, 2002, which order stipulated that "costs and disbursements be paid in accordance with Rule 37(22)." Rule 37(22) reads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22.1, if an offer is accepted,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the plaintiff, the plaintiff is entitled to costs,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the defendant, the plaintiff is entitled to costs assessed to the date the offer was delivered to the plaintiff, and the defendant to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acknowledges that the amount pursuant to the offer to settle was paid except costs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important for these reasons to note that the plaintiff settled this action against the co-defendant, The Corporation of the District of North Cowichan separately and that a condition of that settlement was that it remain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 to be determined is: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defendant Spong be entitled to pay the plaintiff only reduced costs based on a notional apportionment of liability between Spong and The Corporation of the District of North Cowichan?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second matter to be determined is the plaintiff entitled to prejudgment interest for attendant care, house renovations, vehicle adaptations and non-reimbursed Part VII benefits. In the submissions made the defendant in particular in his outline disputes only those costs related to attendant care on the basis that the plaintiff did not require a live in attendant.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find that the offer to settle of March 11, 2002, is an offer made in clear and unambiguous language. I find that the plaintiff formally accepted this offer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offer to settle conforms with Rule 37. The only inconsistencies between the offer to settle and Form 64, prescribed by Rule 37, is that the defendant has added the words, "and disbursements" and omitted the words, "and (37)." As Rule 37(37) deals with offers to settle for sums within the jurisdiction of the Small Claims Act and this offer was for approximately $1 million, omitting the reference to Rule 37(37) has no effect on the issue of whether the offer complies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 submits in his Outline of Argument, that the offer to settle is not enforceable by virtue of Rule 37(31), which states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in an action for defamation, if several defendants are sued jointly, a plaintiff may not make an offer to settle except jointly to all defendants, and a defendant may not make an offer to settle except jointly with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Southin J.A., writing for the majority on the issue of costs in Brown v. Lowe </w:t>
      </w:r>
      <w:hyperlink r:id="rId436" w:history="1">
        <w:r>
          <w:rPr>
            <w:rFonts w:ascii="arial" w:eastAsia="arial" w:hAnsi="arial" w:cs="arial"/>
            <w:i/>
            <w:color w:val="0077CC"/>
            <w:sz w:val="20"/>
            <w:u w:val="single"/>
            <w:shd w:val="clear" w:color="auto" w:fill="FFFFFF"/>
            <w:lang w:val="en-US" w:eastAsia="en-US" w:bidi="ar-SA"/>
          </w:rPr>
          <w:t>(2002), 97 B.C.L.R. (3d) 246</w:t>
        </w:r>
      </w:hyperlink>
      <w:r>
        <w:rPr>
          <w:rFonts w:ascii="arial" w:eastAsia="arial" w:hAnsi="arial" w:cs="arial"/>
          <w:color w:val="000000"/>
          <w:sz w:val="20"/>
          <w:lang w:val="en-US" w:eastAsia="en-US" w:bidi="ar-SA"/>
        </w:rPr>
        <w:t xml:space="preserve"> (C.A.) stated the following at page 279: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all respect, the defendants here were not sued "jointly".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their liability is joint but they are not joint tortfeasors. The cause of action against each is several. Tortfeasors can only be said to be sued "jointly" if they have joined together in committing the tort and the liability of the one is the liability of the other, e.g. if two landowners agree to enter upon the land of another and cut down his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Mr. Spong and North Cowichan are not joint tortfeasors in the sense described by Madam Justice Southin. Therefore, Rule 37(31) does not prevent the defendant from making a valid offer to settle under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Therefore the offer to settle is valid and requires that costs be paid to the plaintiff in accordance with Rule 37(22). Rule 37(22) makes no allowance for a proportionate division of costs based on an apportionment of liability. As was held in Sherlock v. London Estate </w:t>
      </w:r>
      <w:hyperlink r:id="rId437" w:history="1">
        <w:r>
          <w:rPr>
            <w:rFonts w:ascii="arial" w:eastAsia="arial" w:hAnsi="arial" w:cs="arial"/>
            <w:i/>
            <w:color w:val="0077CC"/>
            <w:sz w:val="20"/>
            <w:u w:val="single"/>
            <w:shd w:val="clear" w:color="auto" w:fill="FFFFFF"/>
            <w:lang w:val="en-US" w:eastAsia="en-US" w:bidi="ar-SA"/>
          </w:rPr>
          <w:t>(1998), 47 B.C.L.R. (3d) 224</w:t>
        </w:r>
      </w:hyperlink>
      <w:r>
        <w:rPr>
          <w:rFonts w:ascii="arial" w:eastAsia="arial" w:hAnsi="arial" w:cs="arial"/>
          <w:color w:val="000000"/>
          <w:sz w:val="20"/>
          <w:lang w:val="en-US" w:eastAsia="en-US" w:bidi="ar-SA"/>
        </w:rPr>
        <w:t xml:space="preserve"> at 229 (S.C.), where Rule 37(22) applies, "the accepting party is entitled to tax all, not a portion of, his or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defendant contends that the offer to settle must be considered in light of the negotiations that preceded it. Specifically, he refers to the minutes of settlement from the March 7, 2002 mediation, which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ICBC and the plaintiff have agreed to settle the claim against Spong as follows: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Spong (ICBC) will re-issue the offer to settle and the plaintiff will accept.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have a disagreement over the matter of the amount of costs.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disagreement is if the plaintiff gets 100% or 70% of taxable disbursements and costs.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have agreed to make best efforts to achieve settlement or obtain a judicial decision on point 3 and if necessary tax the disbursements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defendant contends that he reserved the right to argue that the defendant should only be responsible for a portion of the plaintiff's costs and that the offer to settle was only part of the agreement entered into between the parties. For these reasons, the defendant suggests that the offer was not unconditional.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 minutes of settlement do not reflect any agreement that the plaintiff would receive only a portion of his taxable costs. Though the defendant may have reserved a right to argue that such a result should obtain from the acceptance of the Rule 37 offer that seems significantly different than actually agreeing to a proportionate recovery of costs or reserving a right to further negotiate the calculation of costs. That the parties were not reserving a right to further negotiate the issue of costs is apparent from point #4 in the minutes of settlement, which stipulates that the parties may seek a ruling on the issue. Obviously, the court cannot be asked to rule on the legal effect of an agreement that has not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nothing in the minutes of settlement that could be construed to actually vary the terms of the offer to settle. I find that the minutes of settlement indicate that the parties agreed to be bound by the terms of the offer to settle, including that costs would be paid in accordance with Rule 37(22), but they were unable to agree on the legal effect of this agreement. Notwithstanding this uncertainty, both parties agreed to be bound by the effect of Rule 37(22), whatever a court might determine that to be. Thus, I find that the only task before this court is to determine the effect of Rule 37(22) in the circumstances of this case. As indicated earlier, courts have held that the effect of accepting a Rule 37 offer to settle is that the plaintiff is entitled to his full costs to the date the offer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Even if the minutes of settlement had specifically evidenced an agreement between the parties that costs would be proportionate, it would appear from Sherlock v. London Estate, supra, that the invocation of Rule 37 precludes such a result. In Sherlock, the pre-settlement correspondence indicated that the plaintiff expected to receive his costs only in proportion to the defendant's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When making his offer, however, the defendant stipulated "that costs be paid in accordance with Rule 37(22) of the Rules of Court, as if this offer were a formal offer pursuant to Rule 37 . . . ." Although the offer itself did not conform with Rule 37, Melnick J. held that the invocation of Rule 37(22) was sufficient to attract the principles of the Rule and concluded as follows at page 229: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Rule 37(22) contemplates that when an offer to settle is made pursuant to the provisions of Rule 37, and it is accepted, the accepting party is entitled to tax all, not a portion of, his or her costs. </w:t>
      </w:r>
      <w:r>
        <w:rPr>
          <w:rFonts w:ascii="arial" w:eastAsia="arial" w:hAnsi="arial" w:cs="arial"/>
          <w:color w:val="000000"/>
          <w:sz w:val="20"/>
          <w:u w:val="single"/>
          <w:lang w:val="en-US" w:eastAsia="en-US" w:bidi="ar-SA"/>
        </w:rPr>
        <w:t>The fact that a division of liability for the purpose of trial may have been agreed upon during negotiations between the parties does not mean that</w:t>
      </w:r>
      <w:r>
        <w:rPr>
          <w:rFonts w:ascii="arial" w:eastAsia="arial" w:hAnsi="arial" w:cs="arial"/>
          <w:color w:val="000000"/>
          <w:sz w:val="20"/>
          <w:lang w:val="en-US" w:eastAsia="en-US" w:bidi="ar-SA"/>
        </w:rPr>
        <w:t xml:space="preserve">, absent a decision by a judge at the conclusion of that trial, </w:t>
      </w:r>
      <w:r>
        <w:rPr>
          <w:rFonts w:ascii="arial" w:eastAsia="arial" w:hAnsi="arial" w:cs="arial"/>
          <w:color w:val="000000"/>
          <w:sz w:val="20"/>
          <w:u w:val="single"/>
          <w:lang w:val="en-US" w:eastAsia="en-US" w:bidi="ar-SA"/>
        </w:rPr>
        <w:t>costs are automatically deemed to be "settled"</w:t>
      </w:r>
      <w:r>
        <w:rPr>
          <w:rFonts w:ascii="arial" w:eastAsia="arial" w:hAnsi="arial" w:cs="arial"/>
          <w:color w:val="000000"/>
          <w:sz w:val="20"/>
          <w:lang w:val="en-US" w:eastAsia="en-US" w:bidi="ar-SA"/>
        </w:rPr>
        <w:t xml:space="preserve"> (as opposed to "awarded") </w:t>
      </w:r>
      <w:r>
        <w:rPr>
          <w:rFonts w:ascii="arial" w:eastAsia="arial" w:hAnsi="arial" w:cs="arial"/>
          <w:color w:val="000000"/>
          <w:sz w:val="20"/>
          <w:u w:val="single"/>
          <w:lang w:val="en-US" w:eastAsia="en-US" w:bidi="ar-SA"/>
        </w:rPr>
        <w:t>in the same proportion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this decision I find that, regardless of what the parties may have intended, once they invoke Rule 37(22), the plaintiff is entitled to tax his or her full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reasoning in Sherlock was based, in part, on the decision of the Court of Appeal in Kapoor v. Hundle </w:t>
      </w:r>
      <w:hyperlink r:id="rId438" w:history="1">
        <w:r>
          <w:rPr>
            <w:rFonts w:ascii="arial" w:eastAsia="arial" w:hAnsi="arial" w:cs="arial"/>
            <w:i/>
            <w:color w:val="0077CC"/>
            <w:sz w:val="20"/>
            <w:u w:val="single"/>
            <w:shd w:val="clear" w:color="auto" w:fill="FFFFFF"/>
            <w:lang w:val="en-US" w:eastAsia="en-US" w:bidi="ar-SA"/>
          </w:rPr>
          <w:t>(1987), 19 B.C.L.R. (2d) 40</w:t>
        </w:r>
      </w:hyperlink>
      <w:r>
        <w:rPr>
          <w:rFonts w:ascii="arial" w:eastAsia="arial" w:hAnsi="arial" w:cs="arial"/>
          <w:color w:val="000000"/>
          <w:sz w:val="20"/>
          <w:lang w:val="en-US" w:eastAsia="en-US" w:bidi="ar-SA"/>
        </w:rPr>
        <w:t xml:space="preserve"> (C.A.). In Kapoor, the defendant paid $13,000 into court and delivered a notice of payment pursuant to then Rule 37(7). The notice, however, contained the following stipulation: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payment into Court is based upon an equal split in liability between the parties herein and, upon acceptance of this payment in, costs shall be taxed and set off in accordance with the apportionment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accepted the money paid in, but disputed the issue of costs and sought to tax his full costs. The Court of Appeal held that the defendant was not entitled to impose limiting conditions on entitlement to costs when paying money into court under Rule 37. Craig J.A. wrote the following at page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the rules, generally, is to secure the just, speedy and inexpensive determination of every proceeding on its merits (R. 1(5)). The purpose of R. 37 is to assist in the achievement of this object by encouraging litigants to settle their differences by negotiation rather than by litigation and, as an inducement to the plaintiff, R. 37(11) permits him to tax the costs which he has reasonably incurred up to seven days after delivery to him of the notice advising of payment in. That being so, a court should not encourage a defendant to impose conditions when making a payment of money into court. If a defendant wishes to impose conditions regarding the payment of any funds in settlement of the plaintiff's claim, he should do this by negotiation, not by imposing conditions when he makes a payment in pursuant to the rules. If a defendant chooses to impose any special conditions in a notice of payment in, he does so at his peril. To facilitate the attainment of the object of the rules, a court should insist that when a defendant makes payment into court, he does so unconditionally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separate concurring reasons, Wallace J.A. stated as follows ay page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attaching a condition to the "payment in" that costs were to be taxed upon the basis of an equal split in liability, the defendant was attempting to subvert one of the main objectives of the "payment in" procedure which uses the disposition of costs as an incentive for the parties to make a realistic assessment of the strength of their respective cases and an early offer of settlement. The inequity of attaching a condition to the "payment in" became apparent during the course of the appeal when counsel for the defendant conceded that it could become general practice for a defendant to make a payment in with a condition that the defendant denied all liability and costs would be taxed on the basis of one hundred per cent fault on the part of the plaintiff. The plaintiff in such circumstances might consider that the payment in correctly reflected the quantum of the damage and yet wish to refuse it because he would be denied all costs of the action to the date of payment in. Assuming that the payment in was a correct assessment of the damage, the plaintiff's refusal could expose him to liability for the costs of the defendant from the date of payment in. Accordingly, the defendant, by making such a conditional payment in, would receive the benefit of the rules promoting settlement and immunity from the obligation to pay the plaintiff the costs to which the rules and common sense dictate he should be entitled. Clearly such a stratagem should be discouraged.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as Craig J.A. held, "a court should insist that when a defendant makes payment into court, he does so unconditionally as to costs," then, arguably, so too should a court insist that a defendant who makes an offer to settle under the new provisions of Rule 37 does so unconditionally as to costs. I find that once the parties agree that costs will be paid according to Rule 37(22) - whether by issuance and acceptance of an offer to settle that complies with Rule 37 or by specifically invoking Rule 37(22) as in Sherlock - the plaintiff becomes entitled to his costs, regardless of the defendant's degree of liability. If the parties wish to apportion costs, it appears as though they must avoid the Rule 37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however, a distinction that can be drawn between the circumstances in Sherlock and Kapoor and the circumstances in the case at bar. In both of those cases, the only alleged basis for a proportionate entitlement to costs was that the plaintiff was contributorily negligent. In other words, the settlement in question was dispositive of the entire action. In the case at bar, on the other hand, the plaintiff arrived at two different settlements with the two defendants. For this reason, the arguments that counsel for Spong/ICBC advances for limiting his liability for costs are different than those in Sherlock and Kapoor, namely, that ICBC's liability for costs should be limited because: (1) North Cowichan, a separate defendant, was likely partially liable for the accident and has already settled with the plaintiff; and (2) some, if not most, of the plaintiff's costs would have been incurred in pursuing the action against North Cowichan who advanced a defence requiring substantial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first argument, based as it is on a notional apportionment of liability, may run afoul of the principle in Sherlock and Kapoor. It does, however, raise the spectre of double recovery for the plaintiff - a problem not encountered in cases where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only basis for apportionment. If, for example, the plaintiff had settled with both Spong and North Cowichan on two separate Rule 37 offers to settle, would the plaintiff be entitled to recover his full costs against the first defendant and then recover those same full costs against the second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second argument does not suggest that the defendant's costs liability under Rule 37(22) should be proportionate to its liability. Rather, it seeks to limit the defendant's responsibility for costs to those incurred in furtherance of the action against the particular defendant. Again, the potential for double recovery is apparent. One could argue that if a defendant wishes to avoid paying for costs incurred in relation to a co-defendant, it can simply avoid using Rule 37. The difficulty with that proposition is that the only way ICBC can avail itself of s. 69(c) of the Insurance (Motor Vehicle) Act Regulations is to comply with Rule 37. That section of the Regulations is intended to allow ICBC to minimize its liability for costs in the event of a damage award that exceeds the insured's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What transpired in the case at bar demonstrates the dilemma posed for ICBC. As the trial approached, ICBC feared that the award of damages to Coleman at trial would be far greater than Spong's insurance coverage. Wishing to limit its costs liability pursuant to s. 69(c) of the Regulations, ICBC issued a Rule 37 offer to settle for the full amount of its insurance liability. The result, however, according to the argument advanced by the plaintiff, is that by making the Rule 37 offer, ICBC opened itself up to liability for the full amount of the plaintiff's costs in the event that the offer was accepted. Section 69(c) of the Regulation creates what may be considered by ICBC as a "Catch-22" situation. They cannot limit their costs liability under the Regulations without exposing themselves to substantially the same liability under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must be borne in mind that there has been no judicial determination of the apportionment of liability as between the defendant's Spong and The Corporation of the District of North Cowichan. As mentioned the defendant Spong advances a "notional"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therefore, that the settlement effected by the offer pursuant to Rule 37 does not permit an 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Although Sherlock and Kapoor supra decides that acceptance of a Rule 37 offer to settle entitles the plaintiff to tax his full costs, neither case dealt with the issue at bar that is to say multiple defendants and the potential for double recovery. The plaintiff, I find, relied on the defendant's compliance with Rule 37(22) and not withstanding the obvious difficulty presented to the defendant relative to the utilization of s. 69(c) of the Insurance (Motor Vehicle) Act Regulations. I find the defendant must pay 100% of the taxed costs of the plaintiff in the Spong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to the plaintiff's claim for prejudgment interest for attendant care, house renovations, vehicle adaptation and non-reimbursed Part VII benefits the defendant from its Outline appears to dispute only those costs related to attendant care on the basis that the plaintiff did not require a live-in attendant.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refers to and relies upon the time task analysis prepared by G.F. Strong Rehabilitation Centre as evidence that the plaintiff required attendant care for only three hours and fifteen minutes per day. Counsel for the plaintiff correctly observes, however, that the report is premised on the plaintiff receiving help from his family with homemaking and meals. The law in British Columbia is that a plaintiff is entitled to the cost of attendant care even if that care is provided free of charge by family or friends. The evidence provided by the plaintiff suggests that much of his care was provided by family members and roommates at the University of Victoria when his care attendant is not present. Mr. Coleman's occupational therapist opines that he requires 24 hour personal and homemaking care. The plaintiff, in his discovery evidence testified to attending classes during the day at the University on his own. This evidence leads the Court to conclude that this degree of independence is such that to make 24 hour care an unreasonable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is entitled to prejudgment interest on those expenditures he would reasonably have made had the funds been available. I find from the materials submitted the plaintiff required substantially more assistance with personal and homemaking care than he was receiving from paid professionals. I find however it does not go so far as to establish a need for 24 hour care as he attends classes on his own, he might be termed as having a limited ability to care for himself. I find that the plaintiff is in need of attendant care 16 hours a day. He shall receive prejudgment interest on the cost of that amount of care. I leave it to counsel to determine what that figure is. If counsel cannot agree I will hear further submissions upon application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will have costs of both applications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Cunningham v. Slubowski, [2004] B.C.J. No. 1932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19 - 21,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SO44301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C.C.L.I. (4th)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Matthew Cunningham, plaintiff, and Richard Dale Slubowski, Arlene Joy Robertson also known as Arlene Joyce Robertson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9"/>
      <w:bookmarkEnd w:id="115"/>
      <w:r>
        <w:rPr>
          <w:rFonts w:ascii="arial" w:eastAsia="arial" w:hAnsi="arial" w:cs="arial"/>
          <w:b/>
          <w:color w:val="000000"/>
          <w:sz w:val="20"/>
          <w:lang w:val="en-US" w:eastAsia="en-US" w:bidi="ar-SA"/>
        </w:rPr>
        <w:t>Civil procedure — Costs — Against solicitor personally — Set-off — Special orders — When not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9"/>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Slubowski and Insurance Corporation of British Columbia, for orders of special costs payable by the counsel of the plaintiff, or the plaintiff himself. The action was a jury trial on damages for personal injury sustained in a motor vehicle accident. The plaintiff, Cunningham, was successful at trial. However, Slubowski alleged that counsel for the plaintiff unnecessarily delayed the proceeding by virtue of his conduct before, during and after trial. The complaints involved lack of communication by counsel, lack of attention to detail or carelessness in preparation. Cunningham's counsel had also brought action against the defendant Insurance Corporation with regard to an unidentified driver, though there was no cogent evidence of an unidentified driver.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9"/>
            <w:bookmarkEnd w:id="11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pre-trial and post-trial conduct of counsel did not justify an award of costs against him, despite the inconvenience and extra work caused to Slubowski's counsel. Most of the pre-trial problems were addressed by costs awards in pre-trial proceedings. Post-trial problems were due to scheduling difficulties or the deteriorating relations between counsel. Denying a portion of Cunningham's costs was appropriate to address his counsel's outrageous decision at the beginning of trial to attempt an application to dispense with the jury. It was not appropriate to award costs against Cunningham just because he brought and maintained claim against the Insurance Corporation that had little chance of success. There was no abuse of the court's process by Cunningham's solicitor that would make a costs award against him appropriate because he did not act in bad faith or in a deliberately misleading or dishonest manner. Costs were denied for Cunningham for the first four days of trial as these days were consumed with unnecessary proceedings caused by Cunningham's counsel. The costs payable by Cunningham to the Insurance Corporation were set-off against the costs payable by the defendants Robertson and the third party to Cunningham.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4"/>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11, 40(8), 57, 57(1), 57(9), 57(14), 57(15), 57(18), 57(37),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s.24.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9"/>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T.L. Spraggs (Sr.) and T.L. Spraggs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Thomas L. Spraggs Sr. And Thomas L. Spraggs Jr. and Spraggs &amp; Company: K.M. Wellburn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Robertson and Third Party: D.W. Framingham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R.C. Hejka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9"/>
      <w:bookmarkEnd w:id="120"/>
      <w:r>
        <w:pict>
          <v:line id="_x0000_s1115" style="position:absolute;z-index:2518210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15, 2004.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MacKENZIE J."/>
            <w:bookmarkEnd w:id="121"/>
            <w:r>
              <w:rPr>
                <w:rFonts w:ascii="arial" w:eastAsia="arial" w:hAnsi="arial" w:cs="arial"/>
                <w:b/>
                <w:color w:val="000000"/>
                <w:sz w:val="30"/>
                <w:lang w:val="en-US" w:eastAsia="en-US" w:bidi="ar-SA"/>
              </w:rPr>
              <w:t>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pursuant to Rule 57 of the Rules of Court for orders of special costs payable either by Mr. Spraggs Sr., counsel for the plaintiff, by the plaintiff himself, or by both Mr. Spraggs and the plaintiff, or alternatively, ordinary costs, or the denial of costs to the plaintiff for the trial or portions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T.L. Spraggs was counsel for the plaintiff at the jury trial of an action for damages for personal injury sustained in a motor vehicle accident. Mr. Spraggs' son, Mr. T. Spraggs, was co-counsel at trial. There is no costs application against Mr. Spraggs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Framingham was counsel for both the defendant owner of the car ("Ms. Robertson") and for the defendant third party, the Insurance Corporation of British Columbia, (the "third party"). The third party is a defendant because the "defendant" Slubowski had breached the insurance contract by driving while prohibited when he drove Ms. Robertson's car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Hejka was counsel for the nominal defendant, the Insurance Corporation of British Columbia, ("ICBC"), on the claim against the unknown ("unidentified")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Wellburn was counsel for Mr. Spraggs Sr. on the costs application. Mr. Spraggs Jr. represented the plaintiff, as did Mr. Spraggs Sr. for that portion of this hearing that occurred on 16 April 2004. Mr. Spraggs Jr. alone represented the plaintiff at the remainder of the costs hearing; on behalf of the plaintiff, he adopted the submissions of Ms. Wellburn.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on 3 January 1997, and the plaintiff commenced the action on 23 December 1997. After one adjournment for insufficient court time, the trial was set for ten days to start 27 October 2003. It was expanded to fifteen days by a Master at a pre-trial conference shortly before trial. However, the trial consumed over twenty days. It started on 27 October 2003 and ended on 25 November 2003 with the jury's verdict. (The motion for judgment in accordance with the verdict, and further argument about the result of the verdict did not occur until 16 April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succeeded in his claim for damages. The jury found Ms. Robertson and the third party liable for the accident on the basis that Mr. Slubowski had rear-ended the plaintiff. The jury awarded the plaintiff $200,000 ($100,000 general damages and $100,000 for past loss of income) with a 25 percent reduction for failure to mitigate. The generosity of the jury's award was surprising on the totality of the evidence. It exceeded my own and defendants' counsels' expectations. The jury awarded no damages for loss of future earning capacity. There were various deductions from the award of damages to account for monies received earlier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ICBC was successful on the plaintiff's claim against an unidentified driver. I dismissed that claim on the motion brought under Rule 40(8), a "no evidence" motion, because there was no evidence on the statutory pre-conditions to judgment set out in s. 24 of the Insurance (Motor-Vehicle)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Apart from the relatively brief, routine matters of a jury trial, approximately the first five days of trial were consumed by arguments. The jury had to be excused for over a week. Almost all the arguments concerned the admissibility of documents the plaintiff intended to adduce in evidence. About half a day was used later for argument and editing of Mr. Spraggs' intended closing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impugned documentary evidence included expert reports, clinical records, and four binders of other documents. Although there was argument on the admissibility of the report of the defendants' expert, Dr. Pirani, it was brief and the (successful) application to abridge the notice period did not arise from delay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ruled some of the plaintiff's reports inadmissible for failure to comply with Rule 40A of the Rules of Court. Other expert reports had to be reviewed, edited and corrected to comply with Rule 40A. Yet other documents, such as the police report, clinical records, and others, consisted of inadmissible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Various transcribed rulings address many of the issues raised during the first five or so days in the absence of the jury. The rulings provide more explanation of some of the complaints leading to this application by the defendants for special costs, including the dismissal on 17 November 2003 of the claim against the unidentified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defendants each adopted the other's submissions, so when I refer to the defendants' arguments, I generally mean all the defendants unless I indicate otherwise. To avoid confusion, I will sometimes refer to the defendants Robertson and the third party ICBC as the "unsuccessful" defendants, and the nominal defendant ICBC as the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divided their complaints about the conduct of Mr. Spraggs and the plaintiff into the stages of pre-trial, trial, and post-trial conduct. I will address each of them.</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pre-trial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pre-trial complaints include the fact the plaintiff added a claim against an unidentified driver, so ICBC became a nominal defendant. I will address this issue when discussing the trial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complain about difficulties with Mr. Spraggs in setting the action for trial, and in scheduling the pre-trial conferences. Mr Spraggs did not file a Trial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also complain that the routine production of documents was unnecessarily complicated because the plaintiff and his counsel did not cooperate in an orderly and timely fashion including: failing to comply with the 16 October 2003 order of Master Nitikman for production of certain documents that were not in the possession of the plaintiff in any event; failing to provide the defendants with the complete file of the plaintiff's expert, Dr. Atkins; and producing the police file to the defendants late. The defendants further complain of difficulties in arranging for the plaintiff to see Dr. Pirani for an updated independent medical examination and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also point out that although Mr. Spraggs was quite content throughout to fax documents to counsel for the defendants, he would not receive documents by fax from them, nor would he receive couriered documents. While Ms. Wellburn pointed out that R. 11(6.1) does not require counsel to accept service of documents by fax, it seems reasonable for counsel to have expected the same courtesy they extended to Mr. Spraggs.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also complain about the plaintiff's failure to attend the continuation of his examination for discovery until ordered to do so by Master Nitikman on 13 October 2003. They did not continue his examination for discovery until the first day scheduled for trial before me when it was completed in a voir dire. I directed the plaintiff to answer the questions to which his counsel had earlier objected in a manner the defendants called "obstructionist". I made the order for costs then sought by the defendants, so the time lost on that continuation has already been addressed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pre-trial complaints do not arise from bad faith, intent to mislead or dishonesty as the defendants concede, but from lack of communication by Mr. Spraggs and lack of attention to detail or carelessness in his preparation. On application of the test below, this conduct does not justify an award of costs against the plaintiff or his solicitor. Difficulties in the production of documents caused inconvenience and extra work for defendants' counsel before and during trial. I consider that the costs awards made at various Chambers applications by the defendants for production of documents and other matters addressed most of these pre-trial problems, and those during trial fall to be considered in the remedy I grant for lost time at the beginning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Similarly, I will address the time wasted by the plaintiff in serving further expert reports upon counsel late in the day before trial as part of the time lost in the first days of argument, as well as the plaintiff's forlorn attempt on the first day of trial to dispense with the jury.</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post-trial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complaints about the post-trial difficulties centred on scheduling the hearing of this costs application and some frustrating failure by Mr. Spraggs to communicate. However, relations between counsel had deteriorated by this point. My own sitting schedule was also a problem. In any event, there is nothing in the post-trial conduct to justify an order of costs against Mr. Spraggs or the plaintiff.</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Spraggs submitted on 16 April 2003 that the plaintiff was entitled to all his costs from the unsuccessful defendants (Ms. Robertson and the third party). I rejected his application then for costs at Scale 4 or 5. Mr. Spraggs says that on this application, the most I could do is to deny the plaintiff his costs for one or two days at the beginning of the trial that were consumed by his application to dispense with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Spraggs concedes he was on notice (from the reaction of Master Bolton at a pre-trial conference on 16 October 2003) that the application to dispense with the jury was brought too late. Master Bolton characterized the proposed application as "outrageous" and "appalling". I declined to even entertain the application, but even that took time. Mr. Spraggs' concession is appropriate; as explained later in these reasons, denying a portion of the plaintiff's costs is an appropriate remedy.</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the defendant ICBC</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ICBC receive its costs under the usual rule that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Hejka submits first that ICBC should receive its costs under the usual rule that costs follow the event (R. 57(9)) as ICBC was successful on the plaintiff's unidentified driver claim. Ms. Wellburn agrees this is appropriate. I reject Ms. Hejka's admittedly weak argument for costs of the whole trial. Her client's success occurred on 17 November 2003 when I dismissed the claim against the unidentified driver. However, I do order that ICBC will have its costs up to and including 20 November 2003 when Mr. Spraggs undertook not to appeal that ruling. Until then, Ms. Hejka was required to remain at trial to protect ICBC's interests on the issue of damages.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should pay ICBC's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second issue is whether the plaintiff or the unsuccessful defendants (Robertson and the third party) should pay ICBC's costs of defending the unidentified driver claim. Ms. Wellburn argues that I should exercise my discretion pursuant to Rule 57(18) to order Robertson and the third party to pay ICBC its costs. However, she has the disadvantage of being absent at the trial. Her argument is based upon an incorrect interpretation of Mr. Slubowski's statement to the police of 3 January 1997. The blue sedan that he described as having "jump (sic) out in front of me from the right lane" so that he could not avoid hitting it from behind was the plaintiff's car. He was blaming the plaintiff for the collision, not an unknown driver. Mr. Slubowski maintained this position at trial. I agree with Ms. Hejka that there was never any lis between the defendants Robertson and Slubowski and an unknown driver. The liability dispute was between the plaintiff and Mr. Slubowski. At no time did the plaintiff himself blame an unidentified driver; he had always maintained that Mr. Slubowski was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claim against the nominal defendant ICBC predictably failed. Mr. Spraggs stated on the first day of trial that, "... it's my position that there is no unknown driver in this case." He seemed to be saying in further discussion that he knew the identity of the person who was the alleged unknown driver, but did not think this person, Mr. Aiken, was liable for the accident. However, Mr. Spraggs chose not to apply to substitute a known for the unknown driver; it seemed there was still some doubt in his mind about it, and during submissions on 16 April 2004, he said, "It was our position there really was no unknown driver, but we had to join one because of the actions of Mr. Slubowski". It seems that Mr. Spraggs believed he had to maintain that action in his client's interest because Mr. Slubowski disappeared shortly after the action was started. There was a degree of uncertainty about Mr. Slubowski's evidence should he be located (he was a prohibited driver). The statutory preconditions under s. 24 of the Insurance (Motor Vehicle) Act to obtaining judgment against an unidentified driver were a continuing bar to success on that claim, and the plaintiff never did apply to substitute a known for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effect of an order under Rule 57(18) that the defendants Robertson and the third party pay ICBC's costs would be to indirectly deny ICBC its costs because there is a legal relationship between the defendant ICBC and the third party ICBC. It is not appropriate in the circumstances that the unsuccessful defendants should bear ICBC's costs for its success on the claim. The plaintiff should bear the consequences of the strategic decision to add the nominal defendant in the absence of cogent evidence. There are no facts to justify denial of the successful defendant's usual rights against an unsuccessful plaintiff: Imperial Salmon House Ltd. v. Krdzalic </w:t>
      </w:r>
      <w:hyperlink r:id="rId446" w:history="1">
        <w:r>
          <w:rPr>
            <w:rFonts w:ascii="arial" w:eastAsia="arial" w:hAnsi="arial" w:cs="arial"/>
            <w:i/>
            <w:color w:val="0077CC"/>
            <w:sz w:val="20"/>
            <w:u w:val="single"/>
            <w:shd w:val="clear" w:color="auto" w:fill="FFFFFF"/>
            <w:lang w:val="en-US" w:eastAsia="en-US" w:bidi="ar-SA"/>
          </w:rPr>
          <w:t>(1983), 48 B.C.L.R. 256</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ICBC receive special costs payable by the plaintiff or his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ICBC submits that in considering the whole of these proceedings, the cumulative effect of the conduct of the plaintiff and particularly his counsel amounts to "reprehensible conduct" as described in the case law such that chastisement by special costs against either or both is justified. She relies upon Garcia v. Crestbrook Forest Industries Ltd. </w:t>
      </w:r>
      <w:hyperlink r:id="rId447"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(B.C.C.A.) for the proposition that "reprehensible" encompasses scandalous or outrageous conduct, and milder forms of misconduct deserving or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Counsel's arguments were, of course, adopted by the unsuccessful defendants, Robertson and the third party, but I will address that aspect further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not necessary to set out the scrupulous detail of the myriad of complaints described by the defendants that they submit, cumulatively justify the order sought. I have studied the transcripts of the arguments of 16 April 2004 and 21 July 2004, the transcript of the first day of trial, transcripts of parts of the proceedings, including the plaintiff's examination for discovery, and much correspondence between counsel in affidavits. Further, I have considered the extensive written submissions, and transcripts of rulings I made at trial. Volumes of material were put before me. I will only refer to examples of the complaints because the central theme is consistent; they are complaints about Mr. Spraggs' lack of communication with counsel before and during trial, lack of preparation, failure to analyze and review the case, and carelessness about the plaintiff's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Examples of the complaints include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Wasting the court's time by applying to dispense with the jury on the first day of trial. I have already referred to this and Mr. Spraggs' concession that the application was ill-conceived and that one or two days of the plaintiff's costs from the unsuccessful defendants might properly be denied.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Maintaining the claim against an unidentified driver as described above. This prolonged the trial when the claim was bound to fail. Mr. Spraggs maintained this claim through twenty days of trial in the face of obvious and readily available evidence to refute the claim, but which he failed to analyze and review until just before trial. Even then, Ms. Hejka submits the appropriate analysis and decisions were not made. Therefore, Ms. Hejka submits ICBC's cost of the waste of trial time on this claim ought to be borne by Mr. Spraggs rather than the plaintiff. She says the plaintiff is a self-described simple man who merely followed his lawyer's advice.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make earlier the admissions sought that certain of the records the defendants intended to tender were business records pursuant to the Evidence Act,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unsuccessfully attempting to introduce into evidence the clinical records of the treating doctor and repeatedly attempting to introduce in evidence letters of three specialists that were included in clinical records;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Tendering four books of documents that had to be reviewed at length for admissibility purposes and of which the majority were ruled inadmissible or required modification and editing in some way.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respond to the defendants' objections to his expert reports required significant court time for arguments, rulings and editing. This was related to carelessness with respect to the requirements of Rule 40(A) of the Rules of Court and other rules of evidence.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Serving two expert reports in the afternoon before trial caused significant extra work for counsel and those reports were ruled inadmissible. Yet, he told Masters at pre-trial conferences held on 16 and 21 October 2003, that: he was ready and fully prepared to proceed to trial; there was no further production of document issues from his perspective and no further documents outstanding from him; and that experts' reports had been exchanged from his perspective, and he would not be delivering or producing further experts' reports.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court's intervention on witness scheduling and procedure that should have been resolved by communicating with counsel for the defendants.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relevant documents, for example, the 1993 income tax return printout that had been provided to the plaintiff's expert, Dr. Atkins, by Mr. Spraggs. These documents were uncovered by defendants' counsel during cross-examination of Dr. Atkins. This and other conduct meant the court frequently stood down and inconvenienced the jury.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Errors in his jury address. In the interests of caution, I required Mr. Spraggs to produce in writing his closing address to the jury for review and submissions to ensure the jury heard no improper material or submissions, and to correct errors in references to the evidence. Rather than taking the anticipated fifteen to twenty minutes, this review took about half a day as it required listening to the tape-recording of some of the evidence, argument and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are other complaints, but the examples above, together with a review of the transcribed rulings, provide the flavour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all, the jury had to be excused for over five days for applications and argument before the evidence began, and about half a day to review and edit Mr. Spraggs' jury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turn now to the test for special costs against a party and a solicitor as described in the case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Test for Special costs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unidentified driver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not appropriate to award special costs against a party merely because they have brought a claim that has little chance of success: Young v. Young, </w:t>
      </w:r>
      <w:hyperlink r:id="rId448"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This principle applies to the plaintiff's claim against the unidentified driver. It was not maintained for an improper purpose, but because of various uncertainties. I have referred to it above in the discussion about who should pay ICBC's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do not know what instructions the plaintiff gave his counsel, and it would be wrong to inquire about or to speculate upon, communications subject to solicitor-client privilege. Mr. Spraggs did tell the court on the first day of trial that his client did not wish to adjourn the trial, nor did he want to prejudice his case. I do not know what Mr. Spraggs meant, except that the plaintiff did maintain his claim against the unidentified driver. Perhaps Mr. Spraggs did not want to give up a later possible opportunity to substitute a known for the unknown driver, depending on how the evidence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understand the defendants' complaints about the futility of the plaintiff's having maintained this action in the face of the statutory bar and limitation under s. 24 of the Insurance (Motor-Vehicle) Act. In addition, the plaintiff's position at his examination for discovery was that no one except Mr. Slubowski was responsible for the accident. He maintained this position at trial. It also seemed obvious from Mr. Slubowski's statement to the police on the day of the accident that he, in turn, blamed the plaintiff for making an unsafe and unsignalled lane change in front of him. However, Mr. Slubowski complicated matters because he disappeared shortly after the action was commenced. Mr. Spraggs could not examine Mr. Slubowski for discovery, his statement to the police was not under oath, he was a prohibited driver and, in all the circumstances, perhaps an unreliable witness if he eventually appeared at trial. A private investigator hired by the third party finally succeeded in locating Mr. Slubowski shortly before 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Absent any improper motive and in the context of the uncertainty arising from the absence of Mr. Slubowski until late in the trial, the statement and evidence of Mr. Aitken and the plaintiff's instructions to Mr. Spraggs, it is not appropriate to award ICBC special costs against the plaintiff or his counsel for maintaining the claim against the unidentified driver. Hindsight is not the correct lens through which to make an assessment.</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conduct of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Lack of cooperation, failure to communicate or even acrimony between counsel cannot support an award for special costs: see Young v. Young </w:t>
      </w:r>
      <w:hyperlink r:id="rId449" w:history="1">
        <w:r>
          <w:rPr>
            <w:rFonts w:ascii="arial" w:eastAsia="arial" w:hAnsi="arial" w:cs="arial"/>
            <w:i/>
            <w:color w:val="0077CC"/>
            <w:sz w:val="20"/>
            <w:u w:val="single"/>
            <w:shd w:val="clear" w:color="auto" w:fill="FFFFFF"/>
            <w:lang w:val="en-US" w:eastAsia="en-US" w:bidi="ar-SA"/>
          </w:rPr>
          <w:t>(1990), 75 D.L.R. (4th) 46</w:t>
        </w:r>
      </w:hyperlink>
      <w:r>
        <w:rPr>
          <w:rFonts w:ascii="arial" w:eastAsia="arial" w:hAnsi="arial" w:cs="arial"/>
          <w:color w:val="000000"/>
          <w:sz w:val="20"/>
          <w:lang w:val="en-US" w:eastAsia="en-US" w:bidi="ar-SA"/>
        </w:rPr>
        <w:t xml:space="preserve"> at 96 (B.C.C.A.) (upheld on appeal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is no evidence of deliberate non-disclosure of documents, deceit or attempt to mislead the court upon which to base an award of special costs against the plaintiff to ICBC for the unidentified driver portion of the trial. Even in Kitney v. McDonald </w:t>
      </w:r>
      <w:hyperlink r:id="rId450" w:history="1">
        <w:r>
          <w:rPr>
            <w:rFonts w:ascii="arial" w:eastAsia="arial" w:hAnsi="arial" w:cs="arial"/>
            <w:i/>
            <w:color w:val="0077CC"/>
            <w:sz w:val="20"/>
            <w:u w:val="single"/>
            <w:shd w:val="clear" w:color="auto" w:fill="FFFFFF"/>
            <w:lang w:val="en-US" w:eastAsia="en-US" w:bidi="ar-SA"/>
          </w:rPr>
          <w:t>[1997] B.C.J. No. 584</w:t>
        </w:r>
      </w:hyperlink>
      <w:r>
        <w:rPr>
          <w:rFonts w:ascii="arial" w:eastAsia="arial" w:hAnsi="arial" w:cs="arial"/>
          <w:color w:val="000000"/>
          <w:sz w:val="20"/>
          <w:lang w:val="en-US" w:eastAsia="en-US" w:bidi="ar-SA"/>
        </w:rPr>
        <w:t xml:space="preserve"> (S.C.), where the plaintiff was found to be deceitful and fraudulent in certain aspects of his personal injury claim, special costs were not awarded against him. The court found Mr. Kitney did suffer injuries and was forced to proceed to trial because the defendants made no reasonable offer of settlement. Here, the plaintiff suffered injuries and had to become involved in litigation. No award of special costs against the plaintiff is justified.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iii) special costs against plaintiff's counsel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leading case on the awarding of costs against a solicitor personally is a decision of the Supreme Court of Canada in Young. There, the trial judge awarded "solicitor-client" costs (the former term for special costs) against counsel for the husband in family law proceedings. The Court of Appeal of British Columbia held that the trial court should not have made an order for costs against counsel; the Supreme Court of Canada upheld that part of the decision, referring to the "entirely satisfactory analysis of the Court of Appeal". McLachlin J. (as she then was) said at 135-36: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basic principle on which costs are awarded is as </w:t>
      </w:r>
      <w:r>
        <w:rPr>
          <w:rFonts w:ascii="arial" w:eastAsia="arial" w:hAnsi="arial" w:cs="arial"/>
          <w:color w:val="000000"/>
          <w:sz w:val="20"/>
          <w:u w:val="single"/>
          <w:lang w:val="en-US" w:eastAsia="en-US" w:bidi="ar-SA"/>
        </w:rPr>
        <w:t>compensation</w:t>
      </w:r>
      <w:r>
        <w:rPr>
          <w:rFonts w:ascii="arial" w:eastAsia="arial" w:hAnsi="arial" w:cs="arial"/>
          <w:color w:val="000000"/>
          <w:sz w:val="20"/>
          <w:lang w:val="en-US" w:eastAsia="en-US" w:bidi="ar-SA"/>
        </w:rPr>
        <w:t xml:space="preserve"> for the successful party, not in order to punish a barrister. Any member of the legal profession might be subject to a compensatory order for costs if it is shown that repetitive and irrelevant material, and excessive motions and applications, characterized the proceedings in which they were involved, and that the lawyer acted in bad faith in encouraging this abuse and delay. It is clear that the courts possess jurisdiction to make such an award, often under statute and, in any event, as part of their inherent jurisdiction to control abuse of process and contempt of court. But the fault that might give rise to a costs award against Mr. How does not characterize these proceedings, despite their great length and acrimonious progress. Moreover, courts must be extremely cautious in awarding costs personally against a lawyer, given the duties upon a lawyer to guard confidentiality of instructions and to bring forward with courage even unpopular causes. A lawyer should not be placed in a situation where his or her fear of an adverse order of costs may conflict with these fundamental duties of his or her calling.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Court of Appeal reasons in Young, Cumming J.A. stated at 102-103: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care must be exercised in a case where it is sought to hold a solicitor personally liable to pay costs on the ground that the proceedings which had been initiated or continued had no or substantially no chance of success as the solicitor, because of the duty of confidentially he owes his client, may be hampered in defending the allegations made against him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solicitor has a duty to take any point which he honestly believes to be fairly arguable on behalf of his client, and it is the duty of the court to hear the point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And at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Solicitors who think that they may be mulcted in costs for advancing points which they honestly believe to be fairly arguable may not act fearlessly and in the best traditions of an independent profession. If solicitors are limited in what they think they can say or do on behalf of their clients, then the rights of those clients are also necessarily limited. The potential for a chilling effect, especially if solicitors may be exposed to orders that they pay costs as between solicitor and client, the repercussions on solicitors' positions and consequently upon that of their clients, if adverse costs awards are made, underscore the need for judges to exercise caution in the making of such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Cumming J.A. summarized the findings of the trial judge that led her to make the special order as to costs at 88-89:</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custody claim by the appellant Young had little merit;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had been excessive number of interlocutory applications and motions;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Irrelevant and repetitious material was produced;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and chambers judge were subjected to unwarranted abuse, criticism and insult;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Someone other than Mr. Young was promoting and paying for these proceedings,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Young attempted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the trial judge had not distinguished between the items above which related to the order for special costs against the litigant, and those which had resulted in the order for solicitor and client costs against the solicitor, the Court of Appeal went through the list, noting that there was no finding that the solicitor was personally responsible for bringing a custody claim which was meritless, or that the solicitor was personally responsible for bringing an excessive number of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Cummings J.A. observed at 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of costs should not be made against a solicitor personally on the ground that proceedings brought on behalf of a client lack merit unless it is beyond doubt, not only that the proceedings are devoid of merit and that the solicitor knew or ought to have known them to be so, but also that the responsibility for continuing with the proceedings despite their lack of merit lies with the solicitor, rather than the client. Firstly, a solicitor should not usurp the function of the court by prejudging a client's case. Secondly, it will generally be impossible for a solicitor to defend a charge that he or she is responsible for proceeding with a meritless claim, by showing that the client has been advised of the improbability of success and has nevertheless insisted on proceeding, without a violation or waiver of solicitor-client privilege: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the manner in which the solicitor had conducted himself in court, Cumming J.A. said at 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dispute the power of the courts in civil cases to visit costs on counsel for his conduct of a trial. That is a power which, because it may inhibit or prevent counsel representing his client fearlessly on the trial of the merits, is to be most sparingly exercised. It is not necessary in my view to decide whether it can only be properly applied in a case of contempt although that is my tentative present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An award of costs against the solicitor should only be made in very special circumstances, and should not be made on the basis of mistake, error in judgment, or even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Hannigan v. Ikon Office Solutions Inc. </w:t>
      </w:r>
      <w:hyperlink r:id="rId451" w:history="1">
        <w:r>
          <w:rPr>
            <w:rFonts w:ascii="arial" w:eastAsia="arial" w:hAnsi="arial" w:cs="arial"/>
            <w:i/>
            <w:color w:val="0077CC"/>
            <w:sz w:val="20"/>
            <w:u w:val="single"/>
            <w:shd w:val="clear" w:color="auto" w:fill="FFFFFF"/>
            <w:lang w:val="en-US" w:eastAsia="en-US" w:bidi="ar-SA"/>
          </w:rPr>
          <w:t>(1998), 61 B.C.L.R. (3d) 270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Kent v. Waldock, </w:t>
      </w:r>
      <w:hyperlink r:id="rId452" w:history="1">
        <w:r>
          <w:rPr>
            <w:rFonts w:ascii="arial" w:eastAsia="arial" w:hAnsi="arial" w:cs="arial"/>
            <w:i/>
            <w:color w:val="0077CC"/>
            <w:sz w:val="20"/>
            <w:u w:val="single"/>
            <w:shd w:val="clear" w:color="auto" w:fill="FFFFFF"/>
            <w:lang w:val="en-US" w:eastAsia="en-US" w:bidi="ar-SA"/>
          </w:rPr>
          <w:t>[2000] 7 W.W.R. 10</w:t>
        </w:r>
      </w:hyperlink>
      <w:r>
        <w:rPr>
          <w:rFonts w:ascii="arial" w:eastAsia="arial" w:hAnsi="arial" w:cs="arial"/>
          <w:color w:val="000000"/>
          <w:sz w:val="20"/>
          <w:lang w:val="en-US" w:eastAsia="en-US" w:bidi="ar-SA"/>
        </w:rPr>
        <w:t xml:space="preserve"> (B.C.C.A.), the court also considered an argument that a solicitor had brought a claim without merit. The Court held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Arguments of this kind, of course, go to the very heart of the confidential relationship between solicitor and client. Unless the solicitor-client privilege is waived, the court cannot know what in fact the client told the lawyer, or what the lawyer "advised" his client before receiving his instructions. It may be that the lawyer told the client that his case had very little chance of success. But, having accepted the retainer, a lawyer is bound to proceed in accordance with the client's instructions as long as he can do so properly. For this reason and others, courts must be careful not to second-guess lawyers unfairly and with the benefit of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who was unrepresented, obtained an order of special costs against the defendant Waldock, who subsequently declared bankruptcy. The plaintiff then sought an order of costs against the defendant's lawyer, Mr.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said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although an order under the British Columbia R. 57(37) may not necessarily require proof of "bad faith", we read Young v. Young and other British Columbia cases decided thereafter as requiring conduct that can properly be described as "reprehensible" or amounting to an abuse of the process of the court. Thus a mere error in judgment or even an occurrence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without more, is unlikely to meet the threshold requirements imposed by the case authorities by which we are bound in interpreting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Relying upon the principles set out in Young v. Young and the wording of Rule 57(37), the Court analyzed the various complaints made about the solicitor by the plaintiff. It did order certain specific costs to be paid by Mr. Murphy. The first related to a failure by Mr. Murphy to disclose documents. There was evidence that it was Mr. Murphy who had failed to produce the documents rather than his client. The court held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non-disclosure was not a minor slip-up or error of the kind that can be expected to occur in a busy litigator's practice. It was an egregious and persistent failure to comply with the rules regarding disclosure of documents to a party who needed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costs of a related application were also ordered to be paid by the solicitor personally: see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Costs were also awarded against the solicitor personally because he brought an application to the court to strike a jury without notice to the plaintiff and with an endorsement that the matter was "noncontentious" and required only five minutes to be heard. The Court agreed that the solicitor acted reprehensibly in purporting to inform the court that the matter was not contentious and in failing to give notice of the application to the plaintiff. The Court referred the matter to the Registrar to determine the amount of costs and expense incurred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Rule 57(1) of the Rules of Court provides that costs shall be assessed as party and party costs unless the court orders that they be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Rule 57(37) provides the jurisdiction to award costs against a solicitor personally.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court considers that a solicitor for a party has caused costs to be incurred without reasonable cause, or has caused costs to be wasted through delay, neglect or some other fault, the court may do any one or more of the following: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disallow any fees and disbursements between the solicitor and the solicitor's client or, where those fees or disbursements have been paid, order that the solicitor repay some or all of them to the client;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the solicitor indemnify his or her client for all or part of any costs that the client has been ordered to pay to another party;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the solicitor be personally liable for all or part of any costs that his or her client has been ordered to pay to another party;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that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Framingham argues on behalf of the unsuccessful defendants, Robertson and the third party, that Rule 57(37) provides ample discretion to award costs against Mr. Spraggs personally for all or part of these defendants' costs or to deny the plaintiff all or part of his costs. Mr. Framingham submits justice requires such an order in this case. But the discretion in Rule 57(37) must be exercised cautiously and in accordance with the case law as discussed above. Mr. Framingham was unable to refer me to any case where special costs had been awarded against a successful party or his solicitor to an unsuccessful party such as Robertson and the third party in this case. In any event, I do not consider this to be one of those rare cases of abuse of the court's process that might make it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case law is settled that the court's discretion to award costs against a solicitor must be exercised judicially, carefully and only in the clearest of cases of serious misconduct. It should only be made in very special circumstances and not on the basis of mistake, error in judgment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object of such an order is to compensate the litigant for costs incurred as a result of the solicitor's default, not to punish the solicitor, although there will be some incidental element of deterrence: Young; Hannigan.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My interpretation of Young; Kent; and Hannigan is that the solicitor's conduct must amount to an abuse of the court's process because it was deliberately misleading, dishonest, or motivated by bad faith. That standard of egregious conduct was not reached in this case. As Cumming J.A. wrote in Young at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an award of costs pursuant to Rule 57(30) [now Rule 57(37)] should not be made against a solicitor personally in respect to his role in the management and conduct of a case in court or in the preliminary work which is related to the conduct of the case in court which are his functions as a barrister.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trial was difficult for all concerned. Ms. Wellburn provided me with valuable assistance on this hearing. She made a valiant effort to grasp the course of the proceedings, but had the disadvantage of not having been counsel at trial. Counsel ordered a few transcripts of the proceedings, but I decided on 7 May 2003, on counsels' request, that full transcripts were not justified by the expense. As the trial judge, I had the unique position of assessing the course of the proceedings at trial. My recollection remains vivid and, as referred to above, I have considered all the voluminous material filed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or Mr. Spraggs, was responsible for the consumption of about five days of court time by the disarray of the documentary evidence, the late applications to dispense with the jury, and for production of a document on which privilege was asserted, and the continuation in court of the plaintiff's examination for discovery. Significant extra work was generated at the eleventh hour for counsel for the defendants by a very late service of reports. Mr. Spraggs frustrated them with his late responses to reasonable requests about whether his client would attend a particular appointment for an independent medical examination, and by the other matters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Mr. Spraggs did not deliberately deceive the court or counsel at any point, nor did he exercise bad faith in failing to disclose or produce documents in a timely manner. He did fail to properly attend to important details. Both counsel for the defendants concede that no dishonesty or bad faith can be attributed to Mr. Spraggs. At a pre-trial conference on 21 October 2003, Mr. Spraggs told Master Donaldson that he had no more expert reports to serve. He certainly ought to have alerted counsel then to the fact the occupational therapist's and economist's reports were outstanding. He served them upon counsel late in the afternoon the day before trial. I attribute this behaviour to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Spraggs did not maintain the claim against the unidentified driver for an improper motive. An award of costs should not be made against a solicitor personally on the ground that proceedings brought on behalf of a client lack merit unless it is beyond doubt, not only that the proceedings are devoid of merit and that the solicitor knew or ought to have known them to be so, but also that the responsibility for continuing with the proceedings despite their lack of merit lies with the solicitor, rather than the client: Young. That test is not met here. Mr. Spraggs cannot defend the charge that he is responsible for proceeding with it without a violation or waiver of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Nor did Mr. Spraggs intend to be difficult or confusing. He was not driven by anything other than his own standards of preparation and communication for this case. Those standards were inadequate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reasons for the difficulty and prolonged course of the trial can be summarized simply as due to: the nature of Mr. Spraggs' preparation; his failure to analyze and review the evidence; his lack of attention to the Rule 40A requirement for expert reports; and his failure or lapses in communication with opposing counsel before and during trial. And to be fair, a degree of mistrust and irritation characterized the relations between counsel as the trial progressed. I find on the totality of the circumstances that the complaints about Mr. Spraggs' conduct, whether viewed cumulatively or individually, do not meet the standard required to justify chastisement by an order of special costs against him.</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what scale should ICBC receive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Hejka submits that if I find, as I did, that Mr. Spraggs' conduct does not reach the standard required for the extraordinary remedy of special costs, that ICBC should receive its costs at scale 4 or 5 to compensate for the increased difficulty in defending the unidentified driver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Section 2 of Appendix B of the Rules of Court sets out the principles for deciding which scale of ordinary costs is appropriate. Scale 4 is for matters of more than ordinary difficulty or importance, and Scale 5 is for matters of unusual difficulty or importance. Ms. Hejka says this matter was unusually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"Difficulty" in Appendix B refers to difficult issues of fact or law: Bradshaw Construction Ltd. v. Bank of Nova Scotia </w:t>
      </w:r>
      <w:hyperlink r:id="rId453" w:history="1">
        <w:r>
          <w:rPr>
            <w:rFonts w:ascii="arial" w:eastAsia="arial" w:hAnsi="arial" w:cs="arial"/>
            <w:i/>
            <w:color w:val="0077CC"/>
            <w:sz w:val="20"/>
            <w:u w:val="single"/>
            <w:shd w:val="clear" w:color="auto" w:fill="FFFFFF"/>
            <w:lang w:val="en-US" w:eastAsia="en-US" w:bidi="ar-SA"/>
          </w:rPr>
          <w:t>(1991), 54 B.C.L.R. (2d) 309</w:t>
        </w:r>
      </w:hyperlink>
      <w:r>
        <w:rPr>
          <w:rFonts w:ascii="arial" w:eastAsia="arial" w:hAnsi="arial" w:cs="arial"/>
          <w:color w:val="000000"/>
          <w:sz w:val="20"/>
          <w:lang w:val="en-US" w:eastAsia="en-US" w:bidi="ar-SA"/>
        </w:rPr>
        <w:t xml:space="preserve"> (S.C.) at 317-18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agree that ICBC has been put to expense and inconvenience in defending the unidentified driver claim, but I do not find it presented more than ordinarily difficult issues of fact or law. It gave rise to a successful motion under Rule 40(8) for dismissal. Frustration does not create increased difficulty so as to justify a higher scale of costs. Scale 3 is appropriate.</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defendants Robertson and the third party receive any of their costs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Framingham asks me to invoke the discretion under Rules 57(14) and/or 57(15) to depart from the usual rule that costs follow the event. He submits that success is divided because the plaintiff failed in his claim for damages for loss of future earning capacity, a primary component of his action. Mr. Framingham submits this divided success coupled with reprehensible conduct should result in denial to the plaintiff of specific portions of his costs and an award of costs to the defendants, Robertson and the third party, for particular issues or parts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Rule 57(14) provides a discretion to disallow a party its costs arising from or associated with its own improper act or omission, or to order that such a party pay the costs incurred by another party by reason of the act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Rule 57(15) provides the discretion to award costs that relate to some particular issue or part of the proceeding, or to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have already disposed of all the defendants' applications for special costs. But I also exercise my discretion not to award any costs at all to Robertson and the third party for any part of the proceedings. On the plaintiff's failed claim for loss of future earning capacity, it would be unusual in the circumstances to award these defendants their costs because the plaintiff succeeded in 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those defendants and was awarded significant damages. He had no reasonable choice but to become involved in litigation. Moreover, the evidence on the failed claim was intertwined with the evidence on the extent of the plaintiff's injuries and his past income loss. He succeeded on those claims and it is not possible to determine what evidence the jury relied upon or to discretely segregate portions of the trial this way. Costs will therefore not be apportioned in that manner: Kropp v. Swanset Bay Golf Course Ltd., </w:t>
      </w:r>
      <w:hyperlink r:id="rId454" w:history="1">
        <w:r>
          <w:rPr>
            <w:rFonts w:ascii="arial" w:eastAsia="arial" w:hAnsi="arial" w:cs="arial"/>
            <w:i/>
            <w:color w:val="0077CC"/>
            <w:sz w:val="20"/>
            <w:u w:val="single"/>
            <w:shd w:val="clear" w:color="auto" w:fill="FFFFFF"/>
            <w:lang w:val="en-US" w:eastAsia="en-US" w:bidi="ar-SA"/>
          </w:rPr>
          <w:t>[1999] B.C.J. No. 1029</w:t>
        </w:r>
      </w:hyperlink>
      <w:r>
        <w:rPr>
          <w:rFonts w:ascii="arial" w:eastAsia="arial" w:hAnsi="arial" w:cs="arial"/>
          <w:color w:val="000000"/>
          <w:sz w:val="20"/>
          <w:lang w:val="en-US" w:eastAsia="en-US" w:bidi="ar-SA"/>
        </w:rPr>
        <w:t xml:space="preserve"> at para. 34 (S.C.). I will not embark upon the "costly and painful process in which the court will be invited to dissect and analyze every issue and subissue with a view to apportioning costs": British Columbia v. Worthington (Canada) Inc. (1988), </w:t>
      </w:r>
      <w:hyperlink r:id="rId455" w:history="1">
        <w:r>
          <w:rPr>
            <w:rFonts w:ascii="arial" w:eastAsia="arial" w:hAnsi="arial" w:cs="arial"/>
            <w:i/>
            <w:color w:val="0077CC"/>
            <w:sz w:val="20"/>
            <w:u w:val="single"/>
            <w:shd w:val="clear" w:color="auto" w:fill="FFFFFF"/>
            <w:lang w:val="en-US" w:eastAsia="en-US" w:bidi="ar-SA"/>
          </w:rPr>
          <w:t>[1989] 1 W.W.R. 1</w:t>
        </w:r>
      </w:hyperlink>
      <w:r>
        <w:rPr>
          <w:rFonts w:ascii="arial" w:eastAsia="arial" w:hAnsi="arial" w:cs="arial"/>
          <w:color w:val="000000"/>
          <w:sz w:val="20"/>
          <w:lang w:val="en-US" w:eastAsia="en-US" w:bidi="ar-SA"/>
        </w:rPr>
        <w:t xml:space="preserve"> at 26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will not award the defendants Robertson and the third party any costs associated with the claim against the unidentified driver because of the uncertainty about Mr. Slubowski's appearance at trial and testimony as explained above. Those defendants stood to benefit from the result on liability had that claim been successful, and they took some tactical advantage of it. Only after some discussion with the Court about the evidence did Mr. Framingham obtain his clients' instructions to abandon that issue. For the same reasons, I exercise my discretion to allow the plaintiff his costs from these defendants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Finally, I do not award the defendants any costs for the approximately four or five days of the trial lost in argument on the admissibility of the plaintiff's documentary evidence. There was also some, albeit brief, editing of the report of the defendants' expert, Dr. Pirani. Even in Kitney, costs were not awarded against the successful plaintiff even though he had been deceitful and had dishonestly exaggerated his injuries. Instead, that plaintiff was awarded only fifteen per cent of his taxable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less drastic remedy of denying the plaintiff a portion of his costs from the defendants is appropriate in the circumstances; I turn to it now.</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remedy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a discretionary power under Rule 57(15) to effect a just result between the parties in cases prolonged by issues that were the responsibility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Approximately, the first week of trial was consumed with motions, applications, arguments and rulings arising from the plaintiff's ill-conceived attempt to dispense with the jury, the late application for production of a document, disarray of his documentary evidence, (some of which was excluded, and much of which had to edited) and almost one day was lost on the review and correction of Mr. Spraggs' jury address. I exercise my discretion, given my familiarity with this case and all the circumstances, to deny the plaintiff his costs from the defendants Robertson and the third party for the first four days of trial. It would be unfair to deny costs for more time because some was taken by the routine matters of jury selection and discussions with counsel. It is also fair to allow some typical time for some argument that usually occurs at trial. Also, the plaintiff has not been deceitful or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costs payable by the plaintiff to ICBC will be set-off against the costs payable by Robertson and the third party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will not receive his disbursements for expert reports (the occupational therapist's and the economist's) or other documents that were ruled inadmissible in evidence. Nor will the plaintiff receive any disbursements incurred for the amending of any reports. He will, however, receive disbursements for the original version of any subsequently amended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have decided not to order that plaintiff's counsel personally pay costs thrown away, pursuant to Rule 57(37)(c), for the approximate half day consumed by the submissions and editing of his closing address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circumstances here are not nearly as extreme as those in Gemmell v. Reddicopp, </w:t>
      </w:r>
      <w:hyperlink r:id="rId456" w:history="1">
        <w:r>
          <w:rPr>
            <w:rFonts w:ascii="arial" w:eastAsia="arial" w:hAnsi="arial" w:cs="arial"/>
            <w:i/>
            <w:color w:val="0077CC"/>
            <w:sz w:val="20"/>
            <w:u w:val="single"/>
            <w:shd w:val="clear" w:color="auto" w:fill="FFFFFF"/>
            <w:lang w:val="en-US" w:eastAsia="en-US" w:bidi="ar-SA"/>
          </w:rPr>
          <w:t>[2003] B.C.J. No. 30</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2003 BCSC 21</w:t>
        </w:r>
      </w:hyperlink>
      <w:r>
        <w:rPr>
          <w:rFonts w:ascii="arial" w:eastAsia="arial" w:hAnsi="arial" w:cs="arial"/>
          <w:color w:val="000000"/>
          <w:sz w:val="20"/>
          <w:lang w:val="en-US" w:eastAsia="en-US" w:bidi="ar-SA"/>
        </w:rPr>
        <w:t>. There, Gemmell's counsel's opening address to the jury included theatrics, rhetoric, and throwing documents out of Court windows. On the application of the defendant's counsel, R.D. Wilson J. declared a mistrial and discharged the jury; he decided that comments by plaintiff's counsel in that address, introduced a substantial likelihood of a verdict founded upon improper considerations. R.D. Wilson J. observed: "A wayward address is the act of counsel alone. There is no reason for the client to bear the responsibility for the adverse consequences of such an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was my decision alone to review Mr. Spragg's intended closing address before he delivered it to the jury. It was, in retrospect, a wise decision, as there were important corrections to make and editing of it. However, I think defendants' counsel benefited from the exercise. A mistrial was neither sought nor declared and the circumstances here are distinguishable from those in Gemmell.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the costs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Ms. Wellburn submits for various reasons that special costs of this costs application be awarded to Mr. Spraggs. These reasons include what she characterizes as inflammatory language highly critical of him. I am satisfied, however, that counsel retracted any unnecessarily florid language. Neither counsel impugned the integrity or honesty of Mr. Spraggs. The applications by the defendants were not brought for improper motives. They were not spurious or frivolous. It is true that Mr. Spraggs has been put to inconvenience and expense to defend this application, but I dismiss his application for special costs of the costs application for the same reasons I dismissed the application for special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consider that success has been divided on the costs application; although the plaintiff and his counsel, Mr. Spraggs, were successful on the special costs issue, the defendants Robertson and the third party succeeded in having the court deny the plaintiff a portion of his costs at trial, on the plaintiff's application under Rule 57(18), and on the plaintiff's failed application for costs at Scale 4 or 5 (dismissed on 16 April 2003). ICBC, in turn, was successful in obtaining its costs to 20 November 2003, rather than to 17 November 2003. In all the circumstances, I exercise my discretion to make no award of costs on the costs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corrigendum has been prepared to amend Reasons for Judgment of September 15, 2004 to properly reflect the counsel who appeared during the hearing on the issue of costs and the third party, the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F.W. Hearns/Actes - A Joint Venture v. University of British Columbia, [2000] B.C.J. No. 2569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and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C965740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1827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 C.L.R. (3d)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877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F.W. Hearn/Actes - A Joint Venture, plaintiff, defendant by counterclaim and third party, and The University of British Columbia, defendant and counterclaimant, and Architectura Waisman Dewar Grout Carter Inc. and others, defendants by counterclaim and third parties, and TAF Construction Ltd., Wesbridge Steel Works Limited formerly Dan-Can Manufacturing Ltd. and others,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0"/>
      <w:bookmarkEnd w:id="122"/>
      <w:r>
        <w:rPr>
          <w:rFonts w:ascii="arial" w:eastAsia="arial" w:hAnsi="arial" w:cs="arial"/>
          <w:b/>
          <w:color w:val="000000"/>
          <w:sz w:val="20"/>
          <w:lang w:val="en-US" w:eastAsia="en-US" w:bidi="ar-SA"/>
        </w:rPr>
        <w:t>Practice — Pleadings — Striking out pleadings — Grounds, failure to disclose a cause of action or defence — Torts — Duty of care, particular relationships — Builders and contractors — Subcontractors.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0"/>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a group of subcontractors and suppliers for summary dismissal of the counterclaim by the University of British Columbia. The University had contracted with Hearn to build housing. The completion date was not met. The University alleged that the subcontractors and suppliers were aware of the completion date and carelessly caused the completion date not to be met. The University claimed loss of rental income, the cost of extended interim financing, additional professional fees and additional administrative expenses. The subcontractors and suppliers argued that the University's claim was for pure economic loss and did not disclose a cause of action. The University argued that the issue of whether there was a cause of action ought to be decided at trial rather than on summary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0"/>
            <w:bookmarkEnd w:id="124"/>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could be determined suitably without a trial. The counterclaim did not fall within any of the recognized categories for recoverable pure economic loss. This was not a situation in which a new category of recoverable pure economic loss should be created or one of the existing categories should be expanded to include claims by a non-contracting parties on a job site for delay. The counterclaim was dismissed against the applicants because there was no discernible cause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5"/>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 18A,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20"/>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Skene, for Hearn/Actes - A Joint Venture. D. Bruce Gleig and Hannelie G. Stockenstrom, for the University of British Columbia. Christopher J. O'Connor, for the Guarantee Company of North America La Guarantie D'Assurance de L'Amerique du Nord. Paul Rosenberg, for Wesbridge Steel Works Limited (formerly Dan-Can Manufacturing Co. Ltd.). John-Charles Ltd. appeared in person. Marina A. Pratchett and Norman D. Streu, for BCE Holdings Ltd. (formerly Blueline Drywall Ltd.). Donald A. Thompson, for LaFarge Concrete (a division of LaFarge Canada Inc.). Valmon J. LeBlanc, for Alpha Mechanical Contracting Ltd. and Benson Industries Ltd. R. Michael Young, for Shanahan's Limited.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20"/>
      <w:bookmarkEnd w:id="127"/>
      <w:r>
        <w:pict>
          <v:line id="_x0000_s1120"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SIGURDSON J."/>
            <w:bookmarkEnd w:id="128"/>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decision concerns a number of applications brought under Rules 19(24) and 18 for the summary dismissal of the counterclaim of the Owner, the University of British Columbia, for damages for delay. The applicants are subcontractors and suppliers who have not contracted with the Owner. They say that the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delay is a claim for pure economic loss and does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Owner acknowledges that the claim is on the margin, as their counsel put it, but says that, given the changing and developing nature of the law of economic loss, it would be unjust to dismiss the counterclaim before the evidence at trial is heard and the full factual matrix is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Several of the applicants also brought summary trial applications under Rule 18A, which I said I would subsequently entertain if the applications under Rules 19(24) and 18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15, 2000, I advised counsel that the counterclaims of the University were dismissed with reasons to follow. These are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pleadings disclose that the University and its main contractor, Hearn/Actes, entered into a contract for the construction of U.B.C. Thunderbird Housing - Phase 2 (the "Project") with a completion date for substantial performance of September 20, 1994 (the "Completion Date"). In the counterclaim the Owner is suing the Contractor, as I will refer to UBC and Hearn/Actes respectively, for damages for delay. I will mention the particular applicants in a moment, but I will first set out the impugned paragraphs in the amended defence and counterclaim (I have deleted parties who were not applicants on the motion before me):</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Wesbridge Steelworks Limited, formerly Dan Can Manufacturing Co. Ltd., Alpha Mechanical Contracting Ltd, BCE Holdings Ltd., formerly Blueline Drywall Ltd., John Charles Ltd., Benson Industries Limited, Shanahan's Limited and Lafarge Concrete, a division of Lafarge Canada Inc (collectively the "Delay Subcontractors"), were subcontractors retained by Hearn/Actes to provide labour and/or materials with respect to the construction of the Project.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UBC pleads that each of the Delay Subcontractors owed a duty of care to UBC to construct Thunderbird Housing using all reasonable care, skill, diligence and competence to ensure that Project was completed by the Completion Date.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duty of care, each of the Delay subcontractors negligently failed to exercise all reasonable skill, care, diligence and competence to ensure that Project was completed by the Completion Date, particulars of which have been provided or will be provided at or before the trial of this action.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of the Delay Subcontractors, UBC has suffered and will continue to suffer damages which are provided in paragraph 57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damages claimed (in paragraph 57 of the amended defence and counterclaim) include general damages, loss of rental income, cost of extended interim financing, additional professional fees and additional administrative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applicants on this motion are Wesbridge Steel Works Ltd. (formerly Dan-Can Manufacturing Ltd), which was retained by the Hearn/Actes (the Contractor) in or around October 1993 to fabricate and install certain structural steel and the steel staircases in the building; John-Charles Ltd., a stucco contracting firm allegedly retained by the Contractor to supply and install stucco cladding; BCE Holdings Ltd. (formerly Blueline Drywall Ltd.), a drywall contracting firm allegedly retained by the Contractor to supply and install drywall and related aspects to the Housing Project; LaFarge Concrete (a division of LaFarge Canada Inc.), retained by the Contractor to supply concrete during the course of construction; Alpha Mechanical Contracting Ltd., a mechanical contracting firm retained by the Contractor to install mechanical systems and related aspects, including the sprinkler system; Benson Industries Ltd., a cabinet-making firm retained by the Contractor to fabricate and install kitchen cabinets; and Shanahan's Limited, a hardware supply firm retained by the Contractor to supply finished hardware and other related items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Owner alleges that the Project was delayed as a result of which the Owner suffered financial loss. Although it is not specifically pleaded, the Owner's position, and I think it would be a reasonable amendment, is that the applicant subcontractors and suppliers were aware of the Completion Date (the date for completion in the contract between the Owner and the main Contractor) and by their carelessness caused delay or, in other words, caused the Completion Date not to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is apparent, none of the applicants entered into a contract with the Owner, nor is there any allegation of dangerous, shoddy or defective work done by these contractors. There is no claim of damage to person or property or threat of same and hence these claims are claims of pure economic loss. There is also no allegation of a commitment or representation or professional expertise that was relied on by the Owner that the parties would use reasonable care to meet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Owner's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Owner says that there is a cause of action disclosed by the pleadings. Put another way they say that, given the state of the law and the importance of resolving questions of law on the basis of certain as opposed to assumed or uncertain facts, the issue of whether a cause of action is disclosed should not be dealt with as a pleadings or a summary dismissal application, but should be decided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is the Owner's alleged cause of action? Simply put, the Owner argues that there exists, or should exist, in law a contractor's duty analogous to the duty in Winnipeg Condominium Corporation No. 36 v. Bird Construction Co., </w:t>
      </w:r>
      <w:hyperlink r:id="rId419"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There, at p. 105, the Court described "the contractor's duty [was] to ensure that [a] building meets a reasonable and safe standard of construction." The Owner argues here that the law should find that in the circumstances pleaded there should be a duty on the part of the subcontractor "to not delay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Gleig, for the Owner, argues that when the factual basis of the underlying dispute is understood, the two-part test from Anns v. Merton London Borough Council, [1978] A.C. 728 (H.L.), may well support the imposition of a duty of care here. The Anns test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751-752]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applicants say that these applications can be decided on the asserted facts and on the pleadings. They say that it is a case of pure economic loss for which no recovery is allowed under our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applicants argue that the Supreme Court of Canada has recognized that there are categories in which economic loss is recoverable and that the test in Anns is applicable to determine whether new categories ought to be developed or whether existing categories ought to be expanded or altered. However, the applicants argue that this claim does not fit within any existing category and an application of the Anns test necessarily results in a conclusion that no cause of action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TEST UNDER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applicable law for striking out pleadings summarily is not disputed.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the Supreme Court of Canada endorsed the "plain and obvious" test. A statement of claim or counterclaim can only be struck out under Rule 19(24) if it discloses no reasonable cause of action. The facts in the pleadings are assumed to be true and it must be assumed that the pleadings may be amended prior to trial. It is not appropriate to decide vital or novel questions of law where a full investigation of the facts or factual matrix is required: Bow Valley Resource Services v. Kansa General Insurance Co. </w:t>
      </w:r>
      <w:hyperlink r:id="rId464" w:history="1">
        <w:r>
          <w:rPr>
            <w:rFonts w:ascii="arial" w:eastAsia="arial" w:hAnsi="arial" w:cs="arial"/>
            <w:i/>
            <w:color w:val="0077CC"/>
            <w:sz w:val="20"/>
            <w:u w:val="single"/>
            <w:shd w:val="clear" w:color="auto" w:fill="FFFFFF"/>
            <w:lang w:val="en-US" w:eastAsia="en-US" w:bidi="ar-SA"/>
          </w:rPr>
          <w:t>(1991), 56 B.C.L.R. (2d) 337</w:t>
        </w:r>
      </w:hyperlink>
      <w:r>
        <w:rPr>
          <w:rFonts w:ascii="arial" w:eastAsia="arial" w:hAnsi="arial" w:cs="arial"/>
          <w:color w:val="000000"/>
          <w:sz w:val="20"/>
          <w:lang w:val="en-US" w:eastAsia="en-US" w:bidi="ar-SA"/>
        </w:rPr>
        <w:t xml:space="preserve"> (B.C.C.A.). It has been said that questions of law should not be resolved on assumed or uncertain facts. See, for example, Can-Dive Services Ltd. v. Pacific Coast Energy Corp. </w:t>
      </w:r>
      <w:hyperlink r:id="rId465"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xml:space="preserve"> (B.C.C.A.). Although that case considered Rule 34, I think it is an important caution to bear in mind when the particular facts may be crucial to the issue of whether a duty of care exists and a cause of action lies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Moreover, it has been said that the Court should be cautious striking out claims at any early stage when the case presents issues which are novel or in an area where the law is evolving: Carley Estate v. Allied Signal Inc. </w:t>
      </w:r>
      <w:hyperlink r:id="rId466" w:history="1">
        <w:r>
          <w:rPr>
            <w:rFonts w:ascii="arial" w:eastAsia="arial" w:hAnsi="arial" w:cs="arial"/>
            <w:i/>
            <w:color w:val="0077CC"/>
            <w:sz w:val="20"/>
            <w:u w:val="single"/>
            <w:shd w:val="clear" w:color="auto" w:fill="FFFFFF"/>
            <w:lang w:val="en-US" w:eastAsia="en-US" w:bidi="ar-SA"/>
          </w:rPr>
          <w:t>(1997), 35 B.C.L.R. (3d) 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Much of the debate before me concerned the development of the law of economic loss that has occurred in Canada over the last 25 years, and where that debate currently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By way of introduction, the Supreme Court of Canada, in Martel Building Ltd. v. Canada, </w:t>
      </w:r>
      <w:hyperlink r:id="rId420"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[2000] S.C.J. No. 60</w:t>
        </w:r>
      </w:hyperlink>
      <w:r>
        <w:rPr>
          <w:rFonts w:ascii="arial" w:eastAsia="arial" w:hAnsi="arial" w:cs="arial"/>
          <w:color w:val="000000"/>
          <w:sz w:val="20"/>
          <w:lang w:val="en-US" w:eastAsia="en-US" w:bidi="ar-SA"/>
        </w:rPr>
        <w:t>, expressed the historical position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common law traditionally did not allow recovery of economic loss where a plaintiff had suffered neither physical harm nor property damage. See Cattle v. Stockton Waterworks Co. (1875), L.R. 10 Q.B. 453.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paragraph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However recovery for economic loss was allowed in limited circumstances where there was no physical harm or property damage. In Kamloops City v. Nielsen, </w:t>
      </w:r>
      <w:hyperlink r:id="rId46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the Supreme Court of Canada expressly approved the test from Anns. In that case at pp. 10-11, Wilson J. restated Lord Wilberforce's test in the following terms: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1990 the House of Lords in Murphy v. Brentwood District Council, [1991] 1 A.C. 38, repudiated Anns. However, the Supreme Court of Canada has followed a different course and subsequently shaped the development of the law of economic loss in cases such as Canadian National Railway Co. v. Norsk Pacific Steamship Co., </w:t>
      </w:r>
      <w:hyperlink r:id="rId421"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Winnipeg Condominium, supra; Hercules Management Ltd. v. Ernst &amp; Young, </w:t>
      </w:r>
      <w:hyperlink r:id="rId469"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Bow Valley Husky (Bermuda) Ltd. v. Saint John Shipbuilding Ltd., </w:t>
      </w:r>
      <w:hyperlink r:id="rId470"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and, Martel,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Norsk the Court split 3-1-3 with Stevenson J. accepting McLachlin J.'s conclusion, although he did not adopt her reasoning. In that case the plaintiff, the Canadian National Railway Company, suffered damage as a result of the closure of a railway bridge because of an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contract between the owner of the bridge and the railway provided for no indemnification in the event of bridge service disruption. Unable to claim under the contract, the railway instead brought an action in tort against the parties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McLachlin J. (as she then was) accepted an incremental approach to a determination of the limits of recovery for pure economic loss. She stated at p. 1153: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categories are not closed. As more cases are decided, we can expect further definition on what factors give rise to liability for pure economic loss in particular categories of cases. In determining whether liability should be extended to a new situation, courts will have regard to the factors traditionally relevant to proximity such as the relationship between the parties, physical propinquity, assumed or imposed obligations and close causal connection. And they will insist on sufficient special factors to avoid the imposition of indeterminate and unreasonable liability. The result will be a principled, yet flexible, approach to tort liability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far as the particular facts of the case were concerned, McLachlin J. found that the version of the Anns test from Kamloops was satisfied and that recovery was justified. She concluded that there was sufficient proximity to found a duty, and that valid purposes were served by allowing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La Forest J.'s dissenting judgment adopted the category by category approach of Professor Feldthusen from his article, "Economic Loss in the Supreme Court of Canada: Yesterday and Tomorrow" (1990-1991) 17 Can. Bus. L.J. 356. These categories, each of which involve different policy considerations, are: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doing so, La Forest J. considered the claim in Norsk to be within the category of "contractual relational economic loss". Contractual relational economic loss arises where even though the plaintiff has suffered no physical damage to its property, its operations were so closely allied to those of the parties suffering physical damage that it can be considered a joint venture. Such a person is in the same position for practical purposes as if he or she owned the property that was physically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cases that follow indicate that the Supreme Court of Canada has adopted the category by category approach in this area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Winnipeg Condominium the issue was whether a general contractor responsible for the negligent construction of a building could be held liable to a subsequent purchaser of that building for the cost of repairing defects when there was no contractual privity between the contractor and the subsequent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judgment was delivered by La Forest J. He began his analysis with reference to the different categories in Professor Feldthusen's article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stressed in Norsk that the question of recoverability for economic loss must be approached with reference to the unique and distinct policy issues raised in each of these categories. That is because ultimately the issues concerning recovery for economic loss are concerned with determining the proper ambit of the law of tort, an exercise that must take account of the various situations where that question may arise. This case raises issues different from that in Norsk, which fell within the fifth category. The present case, which involves the alleged negligent construction of a building, falls partially within the fourth category, although subject to an important caveat. The negligently supplied structure in this case was not merely shoddy; it was dangerous.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page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behalf of a unanimous Court, La Forest J. proceeded to allow recovery for economic loss in this case according to the test developed in Anns and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Subsequent cases followed this trend. In D'Amato v. Badger, </w:t>
      </w:r>
      <w:hyperlink r:id="rId471" w:history="1">
        <w:r>
          <w:rPr>
            <w:rFonts w:ascii="arial" w:eastAsia="arial" w:hAnsi="arial" w:cs="arial"/>
            <w:i/>
            <w:color w:val="0077CC"/>
            <w:sz w:val="20"/>
            <w:u w:val="single"/>
            <w:shd w:val="clear" w:color="auto" w:fill="FFFFFF"/>
            <w:lang w:val="en-US" w:eastAsia="en-US" w:bidi="ar-SA"/>
          </w:rPr>
          <w:t>[1996] 2 S.C.R. 1071</w:t>
        </w:r>
      </w:hyperlink>
      <w:r>
        <w:rPr>
          <w:rFonts w:ascii="arial" w:eastAsia="arial" w:hAnsi="arial" w:cs="arial"/>
          <w:color w:val="000000"/>
          <w:sz w:val="20"/>
          <w:lang w:val="en-US" w:eastAsia="en-US" w:bidi="ar-SA"/>
        </w:rPr>
        <w:t xml:space="preserve"> at 1085, Major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at least one of the differences which existed between the approaches in Norsk has been resolved. It is apparent that this Court now recognizes distinct categories of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Hercules, the question was whether auditors responsible for the preparation of a corporation's financial statements owed a duty of care to shareholders of the corporation who suffered losses in reliance on the audited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 Forest J. again delivered the judgment for the Court and affirmed the two-stage approach for actions involving claims for different types of economic loss, including negligent misrepresentation. Despite the fact that the Court found that the auditors owed a prima facie duty of care, that duty was negated by policy considerations relating to indeterminate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Bow Valley, the issue was whether a company leasing an oil rig could recover from the manufacturer economic losses resulting from the shutdown of the rig for fire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approach of the Court can best be summarized from the judgment of Iacobucci J. In that case he considered the proper approach to be taken to novel cases of contractual relational economic loss and referred to the judgment of McLachlin J. (as she then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my colleague's discussion of this matter to mean that she has adopted the general exclusionary rule and categorical exceptions approach set forth by La Forest J. in Norsk. My colleague has found that the circumstances of the present case do not fall within any of the three exceptions identified in that case. She points out that both her reasons and those of La Forest J. in Norsk recognize that the categories of recoverable contractual relational economic loss are not closed and that whether or not a new category ought to be created is determined on a case-by-case basis. In that connection, I approve of her analysis of the facts of this case and applaud the approach she has taken to meld her reasoning in Norsk with that of La Forest J. in this very difficult area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page 1272]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the Supreme Court of Canada has recently pronounced the correct approach to be taken in deciding novel cases of pure economic loss that fall outside the recognized categories. In Martel, supra, the issue was whether the economic loss of an opportunity to negotiate a lease renewal arising out of the conduct of pre-contractual negotiations should be recoverable. Iacobucci and Major JJ., for the Court, stated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Anns approach is equally applicable when, as in this appeal, the claim alleges a duty of care in an area not previously categorized.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Despite applying the Anns analysis to find proximity between the parties sufficient to found a prima facie duty of care, the Court concluded that there were sufficient policy considerations to negative the duty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summarize, the significance of the test in Anns is in considering whether to establish new categories or to expand or refine the existing categories in which there may be recovery. This is the appropriate approach to be taken in all novel cases of economic loss, whether they fall within an existing category or not. If a particular case does not fall within a recognized category, recovery in tort may still be awarded if the two-step test can be fulfilled.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OUGHT THERE TO BE RECOVERY IN THE CIRCUMSTANCES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suggestion that the counterclaim by UBC fell within any of the categories recognized by the Supreme Court of Canada for pure economic loss: independent liability of statutory public authorities; negligent misrepresentation; negligent performance of service; negligent manufacture of shoddy products; or relational economic loss. The authorities indicate that there are different policy considerations for the different categories: Martel, supra,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a result, it is necessary to consider whether the situation that is pleaded in this case is a circumstance in which a new category of recoverable economic loss should be created, or an existing category expanded. Should there be a cause of action for economic loss based on the Owner's adaptation of the statement in Winnipeg Condominium that I have set out above? The question is this. Is there a duty of care owed by a subcontractor to an owner to use reasonable care not to cause delay to the construction project? As stated by Taylor J.A. in Kripps v. Touche Ross &amp; Co. </w:t>
      </w:r>
      <w:hyperlink r:id="rId472"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(B.C.C.A.), at p.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cannot be a general duty of care to avoid causing foreseeable pure economic loss simpliciter. Such a duty can arise only in exceptional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Before addressing the application of the Anns test to determine if this is one of those "exceptional cases", I must consider the Owner's argument that this matter is difficult and closely tied to the full factual matrix that must be explored at trial. It cannot be necessary to go to trial in all cases. I note that Kripps was decided under Rule 19(24). In Hercules, the appeal was dismissed by the Supreme Court of Canada under Rule 20.03 of the Manitoba Court of Queen's Bench Rules on the basis that the appellants had failed to show that their claims would have "a real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Kripps, Taylor J.A. stated the following at pp. 67-68: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the decision of the Supreme Court of Canada in Carey Canada Inc. does not mean that complicated questions of law are necessarily unsuited to resolution on an application under R. 19(24). That case stands, of course, for a different proposition - that the fact that the questions raised are complex ought not to influence the court in favour of striking out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a court is not bound to refuse relief under R. 19(24) simply because the relevant area of the law is uncertain, that is to say because it seems possible another court might come to a different conclusion on the law. ... It would be wrong that those against whom action is brought in an area of law which happens to be an active state of development should for that reason alone be required to bear the cost of inquiry into the facts before the court will decide whether the claim is one which calls for an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Anns Test to determine whether there is a possible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Is this one of those exceptional cases to which Taylor J.A. referred? In other words, since this is a novel claim for pure economic loss, is this a situation in which a new category of recoverable economic loss should be created or an existing one expanded? Is there a cause of action for damages for delay based on a duty of care between non-contracting parties, i.e. an owner and a subcontractor, on a construction project? Based on the approach taken by the Supreme Court of Canada in Martel, I must consider the Anns test and determine whether this might be an appropriate circumstance for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Once again, the applicable test is: (1) is there a sufficiently close relationship between the parties so that, in the reasonable contemplation of the defendant, carelessness on its part might cause damage to the plaintiff? If so, (2) are there any considerations which ought to negative or limit (a) the scope of that duty,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arguments that I heard for the purposes of this summary dismissal application mainly concerned the second aspect of the Anns test. This is perhaps an appropriate time to review those arguments. I will highlight only some of them, as they were restated in numerous different ways by the applicants'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All of the applicants on this motion argued that if there is a duty of care owed by them to the Owner, it would be difficult to see why such a duty would not be owed to an indeterminate number of persons who would foreseeably lose money if the Project were delayed. That group might conceivably include other subtrades, parents of students who have to pay for housing elsewhere, potential occupiers and others who might suffer loss if the building is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Rosenberg, for Wesbridge, argued that any duty must arise independently of any contractal obligation of the particular subcontractor or supplier. In other words, the obligation that the Owner seeks to claim damages for breach of must exist independently of the contract to which the subcontractor is a party. He says that the prospect of indeterminate liability is the factor that militates against a duty of care even if there is sufficient proximity. He suggests that if his client is liable to the Owner, then presumably his client would be liable to all of the subtrades who suffer loss by the delay, even if there is no privity of contract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Rosenberg suggests that there are other policy reasons against the existence of such a duty of care. On a construction project, the owner generally has control of the site and the documents. He argues that the proper allocation of risk is normally established by the contract documents and by bonding or insurance. He further noted that it is generally understood that there is no insurance that is available to protect subcontractors against this type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Thompson, for Lafarge Concrete, argued that in essence the claim not to cause delay logically must arise in contract or it does not make any sense, otherwise the subcontractors will not know what schedule or time line governs their activities. This he argues is a policy reason that demonstrates that there can be no claim for pure economic loss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Pratchett, for BCE Holdings, argued that there are other policy reasons that dictate against the existence of a duty of care the Owner asserts. Not only is there the question of indeterminate liability but creating such a duty imposes a risk of liability that could not be quantified at the bidding stage, and such would create an inequality of bargaining power for the subtrades who could not reasonably protect themselves contractually, as an owner might. She also argued that the existence of such a duty, rather than encouraging order and timeliness, could create chaos. The subtrades might find that the contract, to which they are a party, does not govern and they had a duty to adhere to a different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Leblanc, for Alpha Mechanical and Benson Industries, suggested a different policy consideration. He said that if there is liability to an owner under the alleged duty of care, there exists no right of set-off. He said that in circumstances where there is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Owner, the potential exposure of a subcontractor for damages in tort might be enormous, even though the percentage fault of the delaying subcontractor may be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Gleig, for the Owner, says that the concerns about indeterminate liability are overblown. He says that there is one Project, one Completion Date and one Owner. He says that the subcontractors are exposed anyhow in that they might always be brought in by third party proceedings. In other words, he suggests the class to whom this duty is owed is relatively small. The duty of care that would be owed, he says, is not one of perfection but is only to use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He says that it would be appropriate to expand an existing category or create a new category of pure economic loss in this case. The duty, he says, is in the realm of the possible and should be allowed to go to trial to be explored. Mr. Gleig argues that as the law is uncertain, issues such as proximity, foreseeability and policy considerations affecting whether there is a duty of care cannot be justly decided in the absence of complete evidence concerning the detailed commercial and professional relationships that enmesh the project. He points to the decision in Geo. A. Kelson Co. v. Ellis-Don Construction Ltd. </w:t>
      </w:r>
      <w:hyperlink r:id="rId473" w:history="1">
        <w:r>
          <w:rPr>
            <w:rFonts w:ascii="arial" w:eastAsia="arial" w:hAnsi="arial" w:cs="arial"/>
            <w:i/>
            <w:color w:val="0077CC"/>
            <w:sz w:val="20"/>
            <w:u w:val="single"/>
            <w:shd w:val="clear" w:color="auto" w:fill="FFFFFF"/>
            <w:lang w:val="en-US" w:eastAsia="en-US" w:bidi="ar-SA"/>
          </w:rPr>
          <w:t>(1998), 38 C.L.R. (2d) 215</w:t>
        </w:r>
      </w:hyperlink>
      <w:r>
        <w:rPr>
          <w:rFonts w:ascii="arial" w:eastAsia="arial" w:hAnsi="arial" w:cs="arial"/>
          <w:color w:val="000000"/>
          <w:sz w:val="20"/>
          <w:lang w:val="en-US" w:eastAsia="en-US" w:bidi="ar-SA"/>
        </w:rPr>
        <w:t xml:space="preserve"> (Ont. Ct. Gen. Div.), where the Court refused to dismiss the claim by a subcontractor against the Attorney General arising out of the delayed start-up of a project to reconstruct a penitentiary. There Ground J. decided that the issues of proximity and a special relationship depended on the facts of the case and could not be decided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concluded that given the state of the law, particularly in light of the Martel decision, I must conclude that there is no cause of action pleaded by the Owner. It was not seriously suggested that the facts as pleaded brought the claims within one of the established categories for recoverable economic loss. I am unable to conclude that this is the type of situation in which a new category of recoverable pure economic loss should be created, or for that matter that one of the categories be expanded to include a claim by a non-contracting party on a job site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not plain and obvious to me that the first branch of the test in Anns would not be satisfied. It may be. However, leaving that aside, I think it is plain and obvious that policy concerns under the second branch of the Anns test would clearly dictate, in circumstances such as these, that no duty would lie. I think that is so, given the alleged facts and any reasonable amendments that the Owner might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legal proposition advanced by the Owner is a rather straight forward fundamental one: that there is a duty owed by a non-contracting party to the Owner to ensure that it does not suffer economic loss by the non-contracting party failing to use reasonable care and thereby delaying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think there are clear policy reasons why there is no cause of action in these circumstances. First, and most significantly, there is the spectre, in the words of Cardozo C.J. in Ultramares Corp. v. Touche, 174 N.E. 441 at 444 (1931) (N.Y.C.A.), of "liability in an indeterminate amount for an indeterminate time to an indeterminate class." I agree that if the subcontractors have a duty to the Owner to avoid delay in this case, there is nothing in principle preventing such a duty to any affected user of the Project. Potential occupiers, other contractors and anyone else affected by the delay could presumably seek to recover resulting pure economic losses from the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think that there are other policy considerations. On a construction project, an owner is in the best position to organize its affairs prior to commencement of construction in order to protect itself from delay. It could, for example, require that the subcontractor contract directly with the owner. It could also require that bonding for this type of loss from delay be put in place. That I think is a further policy consideration that dictates against the imposition of a duty of care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other arguments outlined by counsel for the applicants also have merit, but I need not rely on them to reach the conclusion that I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opinion, setting this matter for trial would impose undue inconvenience and expense on the applicants since the matter can be adequately determined at this stage. In considering an application of this sort the court must assume that there may be amendments to bring out facts that might support the claim but here I think that the respondent has failed to allege a factual basis upon which it could be said that there is a possible claim. The Owner's claim is very simple and straightforward: that non-contracting parties simply owe an owner a duty to use reasonable care not to cause delay. I do not think that any evidence will assist in deciding in these circumstances whether there is a cause of action. I have concluded that it is plain and obvious that the claim cannot succeed. As such, unlike in Geo. Kelson, I see no purpose in sending the matter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claims against the applicants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Gill v. L'Association des Francophones de Nanaimo, [2001] B.C.J. No. 491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6,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13, 2001.</w:t>
      </w:r>
    </w:p>
    <w:p>
      <w:pPr>
        <w:spacing w:before="120" w:line="260" w:lineRule="atLeast"/>
        <w:jc w:val="center"/>
        <w:rPr>
          <w:lang w:val="en-US" w:eastAsia="en-US" w:bidi="ar-SA"/>
        </w:rPr>
      </w:pPr>
      <w:r>
        <w:rPr>
          <w:rFonts w:ascii="arial" w:eastAsia="arial" w:hAnsi="arial" w:cs="arial"/>
          <w:color w:val="000000"/>
          <w:sz w:val="20"/>
          <w:lang w:val="en-US" w:eastAsia="en-US" w:bidi="ar-SA"/>
        </w:rPr>
        <w:t>Nanaimo Registry No. S21418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491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384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103 A.C.W.S. (3d) 892</w:t>
      </w:r>
    </w:p>
    <w:p>
      <w:pPr>
        <w:spacing w:before="120" w:line="260" w:lineRule="atLeast"/>
        <w:rPr>
          <w:lang w:val="en-US" w:eastAsia="en-US" w:bidi="ar-SA"/>
        </w:rPr>
      </w:pPr>
      <w:r>
        <w:rPr>
          <w:rFonts w:ascii="arial" w:eastAsia="arial" w:hAnsi="arial" w:cs="arial"/>
          <w:color w:val="000000"/>
          <w:sz w:val="20"/>
          <w:lang w:val="en-US" w:eastAsia="en-US" w:bidi="ar-SA"/>
        </w:rPr>
        <w:t>Between David Gill, appellant, and L'Association des Francophones de Nanaimo, respondent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2"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9" w:name="Keywords_11"/>
      <w:bookmarkEnd w:id="12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Evidence.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30" w:name="Case Summary_11"/>
            <w:bookmarkEnd w:id="13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Gill from a judgment awarding the respondent Association damages for flooding. The Association operated a pre-school in a basement. The basement was flooded in 1997. Gill was a contractor and was backfilling a property in the vicinity of the Association's building. A city worker testified at trial that the flooding did not originate from a culvert and that Gill had admitted to him that the flooding resulted from his backfilling. At trial, Gill alleged that the flooding occurred due to a culvert overflowing. </w:t>
            </w:r>
            <w:r>
              <w:rPr>
                <w:lang w:val="en-US" w:eastAsia="en-US" w:bidi="ar-SA"/>
              </w:rPr>
              <w:cr/>
            </w:r>
          </w:p>
          <w:p>
            <w:pPr>
              <w:spacing w:before="120" w:line="260" w:lineRule="atLeast"/>
              <w:ind w:left="240"/>
              <w:jc w:val="both"/>
              <w:rPr>
                <w:lang w:val="en-US" w:eastAsia="en-US" w:bidi="ar-SA"/>
              </w:rPr>
            </w:pPr>
            <w:bookmarkStart w:id="131" w:name="Holdings of Court_11"/>
            <w:bookmarkEnd w:id="131"/>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evidence contradicted Gill's allegation as to the cause of the flooding. The city worker and environmental reports indicating that there had been no rainfall in the five days prior to the flooding contradicted Gill's claim that the flooding resulted from the culvert. </w:t>
            </w:r>
            <w:r>
              <w:rPr>
                <w:lang w:val="en-US" w:eastAsia="en-US" w:bidi="ar-SA"/>
              </w:rPr>
              <w:cr/>
            </w:r>
          </w:p>
          <w:p>
            <w:pPr>
              <w:rPr>
                <w:lang w:val="en-US" w:eastAsia="en-US" w:bidi="ar-SA"/>
              </w:rPr>
            </w:pPr>
          </w:p>
        </w:tc>
      </w:tr>
    </w:tbl>
    <w:p>
      <w:pPr>
        <w:jc w:val="both"/>
        <w:rPr>
          <w:lang w:val="en-US" w:eastAsia="en-US" w:bidi="ar-SA"/>
        </w:rPr>
      </w:pPr>
      <w:bookmarkStart w:id="132" w:name="Counsel_21"/>
      <w:bookmarkEnd w:id="13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3" style="position:absolute;z-index:2517329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appellant appeared in person. S. Anderson, for the respondent.</w:t>
      </w:r>
      <w:r>
        <w:rPr>
          <w:lang w:val="en-US" w:eastAsia="en-US" w:bidi="ar-SA"/>
        </w:rPr>
        <w:cr/>
      </w:r>
    </w:p>
    <w:p>
      <w:pPr>
        <w:spacing w:after="240"/>
        <w:rPr>
          <w:lang w:val="en-US" w:eastAsia="en-US" w:bidi="ar-SA"/>
        </w:rPr>
      </w:pPr>
      <w:bookmarkStart w:id="133" w:name="Judgment_21"/>
      <w:bookmarkEnd w:id="133"/>
      <w:r>
        <w:pict>
          <v:line id="_x0000_s1124" style="position:absolute;z-index:25178316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4" w:name="BENNETT J."/>
            <w:bookmarkEnd w:id="134"/>
            <w:r>
              <w:rPr>
                <w:rFonts w:ascii="arial" w:eastAsia="arial" w:hAnsi="arial" w:cs="arial"/>
                <w:b/>
                <w:color w:val="000000"/>
                <w:sz w:val="30"/>
                <w:lang w:val="en-US" w:eastAsia="en-US" w:bidi="ar-SA"/>
              </w:rPr>
              <w:t>BENNETT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judgment of Small Claims Court rendered November 17, 1999. The claim was for water damage as a result of flooding. The trial judge found for the respondent and awarded judgment in the full amount of the claim, plus costs of $176.00. The claim was for $6,653.60.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morning of May 12, 1997, a large amount of water flooded into the basement of the respondent's building. The respondent operated a pre-school in this basement.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appellant was a contractor. He was backfilling on a property one lot away from the respondent's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trial, the appellant took the position that the water had not originated as a result of the backfilling, but from rainwater collecting in a culvert.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Rod Morgan works for the City of Nanaimo. He investigated the flood when it occurred. He checked the culvert and the water did not originate from there. He said it was quite easy to see where the water came from, that it came from the property where the appellant was working.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Morgan spoke to the appellant, who at the time admitted to Mr. Morgan that the water originated as a result of the backfilling.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the appellant acknowledged making a statement to an insurance adjuster where he said that the flooding was as a result of heavy rain and the culvert overflowing.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Environmental reports were filed before the trial judge indicating that there had been no rainfall in the previous five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problem with the appellant's position before the trial judge, and before me, is that his evidence is contradicted by the objective evidence of the environmental report and the independent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argued that the trial judge misapprehended the evidence. A trier of fact may accept all, part or none of any witness' evidence. It is clear from the all the evidence that the trial judge did not misapprehend the evidence. Further, there is ample evidence to support his conclusion that the flooding was caused by the appellant's backfilling nearby and displacing the water onto the respondent's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appeal is dismissed with costs to the respondent.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BENNETT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Gilmour v. Machibroda, [2008] B.C.J. No. 376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M.J. 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M055092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849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Devon Gilmour, Plaintiff, and Robert Peter Machibroda, Jean A. Mackenzie and Cortland J.G. Mackenzie,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12"/>
      <w:bookmarkEnd w:id="135"/>
      <w:r>
        <w:rPr>
          <w:rFonts w:ascii="arial" w:eastAsia="arial" w:hAnsi="arial" w:cs="arial"/>
          <w:b/>
          <w:color w:val="000000"/>
          <w:sz w:val="20"/>
          <w:lang w:val="en-US" w:eastAsia="en-US" w:bidi="ar-SA"/>
        </w:rPr>
        <w:t>Damages — General damages — For personal injuries — Considerations — Pre-existing medial conditions — Assessment of for personal injuries suffered in motor vehicle accident — Plaintiff, 24 at time of accident, suffered neck and low back injury causing pain in upper back and neck and headaches — Degenerative spine asymptomatic prior to accident — Plaintiff awarded $45,000 for non-pecuniary damages — No loss of income earning capacity established — Degenerative spine would have become symptomatic between 2003 and 2008 — Defendant liable for soft tissue injuries caused by accident, which would have resolved after six months and pain and suffering relating to neck and upper spine for four years from date of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Neck — Whiplash — Age of claimant — 18 to 25 — Non-pecuniary award — $40,001 to $60,000 — Assessment of for personal injuries suffered in motor vehicle accident — Plaintiff, 24 at time of accident, suffered neck and low back injury causing pain in upper back and neck and headaches — Degenerative spine asymptomatic prior to accident — Plaintiff awarded $45,000 for non-pecuniary damages — No loss of income earning capacity established — Degenerative spine would have become symptomatic between 2003 and 2008 — Defendant liable for soft tissue injuries caused by accident, which would have resolved after six months and pain and suffering relating to neck and upper spine for four years from date of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2"/>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for personal injuries suffered in motor vehicle accident -- Defendant admitted liability -- Plaintiff alleged he suffered neck and low back injury which had become chronic, causing pain in his upper back and neck and headaches -- Plaintiff complained of continuous pain in lower back, now also chronic, caused by compression fracture and a small disc herniation -- Plaintiff, 24 at time of accidetn, alleged diminished capacity to earn income -- Contradictory medical evidence as to whether or not plaintiff's ongoing symptoms were caused by accident or by degenerative spine -- Plaintiff unable to enjoy his previous activities of skiing, snowboarding, hiking with a backpack, and working out in gym -- Plaintiff alleged he lost 20 days of work due to pain -- Plaintiff designed and installed audio video systems for homes -- Plaintiff alleged that due to accident, he was restricted to designing only as he was unable to move and lift equipment -- HELD: Action allowed -- Plaintiff awarded $45,000 for non-pecuniary damages -- No loss of income earning capacity established -- Special damages of $1,789 awarded -- Plaintiff's neck, upper lumbar and lower lumbar pain caused by accident -- Plaintiff had prior degenerative spine, but was asymptomatic prior to accident -- Accident triggered symptoms -- Plaintiff's pre-existing condition would have detrimentally affected him in future regardless of accident -- Degenerative spine would have become symptomatic between 2003 and 2008 as a result of some impact arising from plaintiff's activities -- Defendant liable for soft tissue injuries caused by accident, which would have resolved after six months and pain and suffering relating to neck and upper spine for four years from date of accident -- No reduction in income due to accident established.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7" w:name="Legislation Cited_6"/>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7"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22"/>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Jack Adelaar.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Kevin A. Cantelon.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2"/>
      <w:bookmarkEnd w:id="139"/>
      <w:r>
        <w:pict>
          <v:line id="_x0000_s1129"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M.J. ALLAN J."/>
            <w:bookmarkEnd w:id="140"/>
            <w:r>
              <w:rPr>
                <w:rFonts w:ascii="arial" w:eastAsia="arial" w:hAnsi="arial" w:cs="arial"/>
                <w:b/>
                <w:color w:val="000000"/>
                <w:sz w:val="30"/>
                <w:lang w:val="en-US" w:eastAsia="en-US" w:bidi="ar-SA"/>
              </w:rPr>
              <w:t>M.J. 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Gilmour, applies for judgment pursuant to Rule 18A. He seeks damages arising from a motor vehicle accident which occurred on November 20, 2003 when the car in which he was a front seat passenger collided with the defendants' vehicle which had attempted to make a left turn in front of it.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Gilmour claims that as a result of the collision, he suffered an injury to his neck and low back, which has become chronic, causing pain in his upper back and neck and headaches. He says he also has continuous pain in his lower back, now also chronic, which was caused by a compression fracture and a small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Gilmour says that these injuries have affected and will continue to affect both his capacity to earn income and his quality of life. He seeks non-pecuniary damages, damages for loss of earning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Gilmour, who is presently 28 years old, was in excellent health at the time of the accident four years ago. He had been in no previous motor vehicle accidents, and had experienced no back pain or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accident, Mr. Gilmour experienced immediate back pain and was taken to hospital by ambulance. The plaintiff's position is that X-rays and a CT scan showed a compression fracture of his L1 vertebrae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Gilmour was released from hospital the following day and given Tylenol 3 medication. He saw Dr. Richards, his family doctor, in February 2004 because the pain was so intense.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embarked on an exercise program and continued his medication. As well, he took physiotherapy and chiropractic treatments. He returned to Dr. Richards in February 2006 who ordered another CT scan. In his July 17, 2006 medical-legal report to Mr. Adelaar, the plaintiff's lawyer, he says that CT scan showed a minor disc bulge at L4-5 and a central disc herniation at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Richard's report does not indicate that Mr. Gilmour ever complained of upper back or neck pain or headaches on the three occasions he saw him: on February 4, 2004, February 1, 2006 and March 14, 2006. He said the plaintiff complained of "chronic pain in his lumbar spine, right sided lower back pain with some radiation into the buttocks." He was of the opinion that Mr. Gilmour had improved with his significant rehabilitation efforts but continued to have ongoing symptoms. In his summary, Dr. Richards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his ongoing motivation for rehabilitation, he has improved from the accident. Currently he does still have back related symptoms and the prognosis might be that of some ongoing back pain with a possibility of having more problems in the next years to come due to this accident. The degree of his disability in the long term due to this is unsure as the patient has been very proactive in his rehabilitation. Still in regards to that, he still has ongoing symptoms after three years despite participating in various therapies to improve his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response to a request by Mr. Adelaar, Dr. McKenzie, an orthopaedic surgeon, provided a medical-legal report in January 2007. He opined that Mr. Gilmour had suffered a facet joint injury in the upper cervical spine on the right side, an acute fracture of the L1 vertebra, and a disc injury resulting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Gilmour complains that he continues to experience pain in his neck and upper and lower back. He continues to exercise at home and takes medication for the pain. He deposes that his ability to work is compromised, and he is unable to engage in his previous recreational activities or to perform physical house maintenance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have produced reports of Dr. Siu and Dr. Schweigel. Dr. Siu is a radiologist who reviewed the X-rays from November 2003 and the CT scan taken in March 2006. With respect to the 2003 X-rays, he noted that Mr. Gilmour's L2 vertebra "had a developmental deformity consisting of mild anterior loss of height and presence of unfused superior endplate apophysis, termed limbus vertebrae'." The L2/3 disc height was mildly narrowed which was also caused by developmental factors. The L5/L6 and L6/S1 disc heights were mildly narrowed, related to early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Siu made similar observations with respect to the 2006 CT scan, and found they showed no changes from the earlier 2003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Siu concluded that no injury resulting from the motor vehicle accident could be identified. Mr. Gilmour's developmental abnormality of the L2 vertebra had no clinical significance. The disc changes which were due to a degenerative process might either stabilize or progress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Schweigel, an orthopaedic surgeon, performed an independent medical examination of Mr. Gilmour on November 19, 2007 at the defendants' request. He also described Mr. Gilmour's congenital or developmental anomaly at L2, which he emphasized was not a fracture: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vertebra is slightly wedged shape and the small fragment of bone anteriorly is an unfused apophysis called a "limbus vertebra."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Schweigel also noted that Mr. Gilmour had six lumbar vertebrae rather than five and noted disc degeneration (a bulging disc) at L5/L6 and a central disc protrusion at L6/S1.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Schweigel opined that the motor vehicle accident had caused the soft tissue injuries to Mr. Gilmour's neck and low back. Those injuries, he stated, would not develop degeneration or arthritis or require surgery. They would not accelerate his underlying degenerative arthritis of his lumbar spine. In his opinion, Mr. Gilmour would have needed to take a few weeks or, at most, two months, off work. After that, he should have been able to return to work with some discomfort and occasional analgesics. He was not disabled from most activities and the restrictions on his heavy lifting and impact type activities were due to his underlying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Dr. Schweigel concluded that Mr. Gilmour's pre-existing condition was rendered symptomatic by the accident. It may have progressed spontaneously since that time. Discussing Mr. Gilmour's pre-accident status, Dr. Schweigel stated that "the disc protrusion at L5/S1 was </w:t>
      </w:r>
      <w:r>
        <w:rPr>
          <w:rFonts w:ascii="arial" w:eastAsia="arial" w:hAnsi="arial" w:cs="arial"/>
          <w:color w:val="000000"/>
          <w:sz w:val="20"/>
          <w:u w:val="single"/>
          <w:lang w:val="en-US" w:eastAsia="en-US" w:bidi="ar-SA"/>
        </w:rPr>
        <w:t>probably</w:t>
      </w:r>
      <w:r>
        <w:rPr>
          <w:rFonts w:ascii="arial" w:eastAsia="arial" w:hAnsi="arial" w:cs="arial"/>
          <w:color w:val="000000"/>
          <w:sz w:val="20"/>
          <w:lang w:val="en-US" w:eastAsia="en-US" w:bidi="ar-SA"/>
        </w:rPr>
        <w:t xml:space="preserve"> caused by the accident from a pre-existing weakened or bulging disc at L5/S1" (emphasis added). However, when considering his post-accident status, Dr. Schweigel stated: "I would have to conclude that the disc protrusion at L5/S1 may have occurred because of this [accident] but more likely than not, preceded this [accident] and was part and partial [sic] of a degenerating spine. It was not caused by the [accident] of November 20, 2003." Rather, he opined, the accident caused it to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Schweigel did not think that surgery was necessary. He recommended that Mr. Gilmour lose 20 to 30 pounds and continue to do his core exercises. The plaintiff could do some sporting activities but should avoid vigorous sports such as contact sports or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Schweigel considered the VGH emergency note, which did not record any tenderness in the mid-line or evidence of spasm, to be confirmatory of the fact that Mr. Gilmour did not have a compression fracture of L2.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Dr. Schweigel's opinion, Mr. Gilmour's disc protrusion would have become symptomatic from his degenerating spine regardless of the motor vehicle accident. He would have expected symptoms to have occurred between 2003 and 2008. A slip, a fall, a jolt, a bending episode, impact activity etc. or any innocuous event would have caused that pre-existing condition to become symptomatic. As the soft tissue injuries have now healed, the plaintiff's ongoing discomfort is due to that underlying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leave of the court, Mr. Adelaar filed a further report of Dr. McKenzie in rebuttal to Dr. Schweigel's report. Dr. McKenzie reiterated his earlier opinions and noted that it would be unlikely that a 24-year-old man such as Mr. Gilmour would have disc abnormalities. He cited a study that found that in the 20 to 29-year-old age group, only 25% of the population had an asymptomatic disc bulge at L4/5 and only 20% at L5/S1. Disc protrusions in that same age group were 15% at L4/5 and 10% at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McKenzie was adamant that the motor vehicle accident, not a degenerating spine, was "a material cause" of Mr. Gilmour's neck, upper lumbar and lower lumbar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find Dr. McKenzie's conclusion that "it would be much more likely that he did not have an asymptomatic disc protrusion and much more likely that he had a normal lumbar spine on CT scan or MRI imaging prior to being involved in this accident" to be useful. The literature refers only to the statistical improbability of a young man having an asymptomatic disc bulge. In this case, the opinions of both Dr. Schweigel and Dr. Siu are that he is indeed in that smaller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this matter suitable for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action is presently set for an eight-day trial by judge alone, commencing December 1, 2008, although the defendants concede the evidence could likely be heard in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submit that this matter is inappropriate for disposition under Rule 18A as there is significant conflict and ambiguity within the evidence which requires full examination and cross-examination of the witnesses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Cantelon outlined what he considered to be a number of ambiguities and vague statements in the plaintiff's evidence particularly relating to the effect of his difficulties on his work. I do not find those matters to be sufficiently significant to preclude the summary disposition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real issue in this case concerns the clash between the evidence of Dr. McKenzie and Drs. Schweigel and Siu. My initial impression was that these conflicts necessitate a trial where those experts could be cross-examined before the Court. However, on reflection, it appears that even if Drs. Schweigel and Siu correctly opine that Mr. Gilmour had a pre-existing degenerative condition, it is clear that he was asymptomatic before the motor vehicle accident and it was that incident that rendered Mr. Gilmour symptomatic. That is, the plaintiff was a thin skull plaintiff who was asymptomatic prior to the accident. The issue of causation is to be determined by the principles articulated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case, I conclude that I can find the necessary facts to determine the matter summarily and that it would it be fair to do so. The amount in question simply does not warrant continued expensive litigation and an eight-day trial in this matter when all of the relevant facts can be determined on the evidence before me and it would not be unjust to resolve this matter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to the plaintiff's damages, the defendants submit that if the matter is determined summarily, Mr. Gilmour is entitled to a relatively modest award for past wage loss and non-pecuniary damages and nothing for future wage loss or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agree with the defendants that the plaintiff, having chosen Rule 18A presumably to avoid trial costs, bears the risk of any uncertainty arising from any contradictory evidence in the material before me. "Any doubt on the issue of damages should be resolved in favour of the defendants": </w:t>
      </w:r>
      <w:r>
        <w:rPr>
          <w:rFonts w:ascii="arial" w:eastAsia="arial" w:hAnsi="arial" w:cs="arial"/>
          <w:b/>
          <w:i/>
          <w:color w:val="000000"/>
          <w:sz w:val="20"/>
          <w:lang w:val="en-US" w:eastAsia="en-US" w:bidi="ar-SA"/>
        </w:rPr>
        <w:t>Elyk v. John Doe</w:t>
      </w:r>
      <w:hyperlink r:id="rId488" w:history="1">
        <w:r>
          <w:rPr>
            <w:rFonts w:ascii="arial" w:eastAsia="arial" w:hAnsi="arial" w:cs="arial"/>
            <w:i/>
            <w:color w:val="0077CC"/>
            <w:sz w:val="20"/>
            <w:u w:val="single"/>
            <w:shd w:val="clear" w:color="auto" w:fill="FFFFFF"/>
            <w:lang w:val="en-US" w:eastAsia="en-US" w:bidi="ar-SA"/>
          </w:rPr>
          <w:t>[1996] B.C.J. No. 535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Damages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counsel filed numerous cases in support of their submissions as to the appropriate award of damages in this case. The plaintiff seeks the following damages: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range of $80,000 to $100,000;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in the range of $50,000 to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suggests that the appropriate award is: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at the lower end of the range of $20,000 to $45,000;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summary trial, both parties agree that the plaintiff is entitled to special damages of $321. Subsequently, Mr. Adelaar sought to re-open his case to claim special damages totalling $1789.10. He indicated that Mr. Cantelon took no position with respect to his re-opening the case or to the amount of damages claimed. Mr. Adelaar then provided the court with an affidavit of Mr. Gilmour attaching further receipts relating to his injuries and not covered by his insurance policy. He also enclosed receipts relating to his purchase of an inversion table and an elliptical machine to assist in his rehabilitation. At trial, I understood that Mr. Cantelon opposed the claim for an inversion table. However, given that he now apparently takes no position on the special damages claimed, I am prepared to award Mr. Gilmour the full amount claimed. There is no question that he undertook commendable rehabilitation efforts, which Dr. Richardson found greatly assisted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24 years old at the time of the accident. He was hospitalized for a day, released with Tylenol 3 and Advil for his pain, and off work for about a month after the accident. He deposes that he regularly takes Tylenol and Advil for persistent pain in his neck and upper and low back. His lower back pain is aggravated by sitting at his desk for a long period of time or walking a lot. Lifting aggravates his pain. He is unable to enjoy his previous activities of skiing, snowboarding, hiking with a backpack, and working out in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is difficult for him to vacuum and do heavy cleaning or yard work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Gilmour continues to exercise regularly with a back exercise ball, an elliptical machine and an inversion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McKenzie, who saw the plaintiff on one occasion, diagnosed him as "depressed". Such a diagnosis is clearly beyond his area of expertise, Mr. Gilmour does not complain of depression in his affidavit; moreover, Dr. Richards does not describe or diagnose depression. I do not find that Mr. Gilmour suffered depression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Schweigel is of the opinion that Mr. Gilmour suffered only soft tissue injuries to his neck and back as a result of the motor vehicle accident and that those injuries should only have disabled him for a month or two. He considers any ongoing pain in his lumbar spine is from the underlying degenerative disc disease. The only activities he must avoid involve impact-type activities and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I accept the plaintiff's evidence that he has experienced considerable pain and discomfort from the date of the motor vehicle accident. On the evidence, I find that the accident triggered that pain and discomfort in the plaintiff who had a degenerative spine condition. For purposes of assessing non-pecuniary damages, the issue is if and when that degenerative condition would have caused the same pain and discomfort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Gilmour was employed with Accurate Sound and Video from 2000 to January 2004, designing and installing audio video systems for homes. In early 2004, he commenced work at La Scala Integrated Media where he is presently Manager of their Design Department. He estimates that he lost 20 days of work due to his pain complaints. When he is at work, he must frequently rise, stretch and move around to relive his back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Gilmour deposes that his pain affects his concentration and production at work. He says he is no longer able to do installations because he cannot lift and carry the necessary equipment. He says that he is restricted to the design aspect of his job but the money to be earned in his profession is much higher in the installation aspect than the design area. He estimated that he could have made 25% more per year in gross income if he had been able to do installation work as well as design. However, his income tax returns do not show any decline in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673"/>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$43,513.96</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43,952.54</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41"/>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39,408.00 (he was laid off for lack of work in late 2003)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41,349.80</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50,721.73</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Further, Ms. Sanford, his employer, has deposed that a person of Mr. Gilmour's talent and motivation, who did not suffer from his pain, would make an additional 5 to 15% of income and that increased salary is not open to him at this time. She suggests that his career advancement may be impacted in the future by his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the issue was whether the plaintiff's disc herniation was caused by injuries sustained in two motor vehicle accidents or whether it was attributable to his pre-existing back problems. The Court articulated the following principles: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injury would likely have occurred at the same time, absent the injuries sustained in the motor vehicle accident, then causation is not proven;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accident and the pre-existing back condition for the injury to occur, then causation is proven, since the injury would not have occurred but for the accident. Even if the accident played a minor role, the defendant would still be fully liable because the accident was still a necessary contributing cause;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 alone could have been a sufficient cause, and the pre-existing back condition alone could have been a sufficient cause, then it is unclear which was the cause-in-fact of the injury. The trial judge must determine,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the Court concluded that there was no finding of any measurable risk that the disc herniation would have occurred without the accident, and accordingly there was no basis to reduce the award to take into account such a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Here, I find that Mr. Gilmour's pre-existing condition of degenerative disease was inherent in the plaintiff's "original position". The defendants are not required to put him in a position better than his original position. They are liable for the additional soft tissue damage caused by the motor vehicle accident but not his pre-existing degenerative spine. As the Court stated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b/>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Malec v. J.C. Hutton Proprietary Ltd.,</w:t>
      </w:r>
      <w:r>
        <w:rPr>
          <w:rFonts w:ascii="arial" w:eastAsia="arial" w:hAnsi="arial" w:cs="arial"/>
          <w:color w:val="000000"/>
          <w:sz w:val="20"/>
          <w:lang w:val="en-US" w:eastAsia="en-US" w:bidi="ar-SA"/>
        </w:rPr>
        <w:t xml:space="preserve"> 169 C.L.R. 638;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case illustrates the difference between a "thin skull" and a "crumbling skull":</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finding that the plaintiff has a thin skull results if the injuries resulting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unexpectedly severe owing to a pre-existing condition. In such a case, the defendants are still liable for the full extent of the injuries.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will be found to have a crumbling skull if the pre-existing condition was inherent in his original position and would have manifested debilitating effects anyway. In that situation, the defendants are not liable to compensate the plaintiff for these debilitating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Here, I find that on the balance of probabilities, Mr. Gilmour's pre-existing condition would have detrimentally affected him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Dr. Schweigel's opinion that Mr. Gilmour's degenerating spine would have become symptomatic between 2003 and 2008 as a result of some impact arising from his activities. The defendant is liable for soft tissue injuries caused by the accident, which I find would have resolved after six months and the pain and suffering relating to his neck and upper spine for four years from the date of the accident in November 2003. As to the pain and disability arising from Mr. Gilmour's lumbar spine, I find that by late 2007, it is more probable than not that his degenerative spine condition would have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a reasonable award of non-pecuniary damages for the plaintiff's moderate soft tissue injuries arising from the motor vehicle accident is $45,000.00.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do not find that he incurred any loss of income earning capacity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Gilmour is entitled to special damages of $1789.10. He is entitled to pre-judgment interest on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is entitled to his party/party costs at scale B, subject to any offers of settlement of which I am not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M.J. 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Hansen v. Trinity (The), [2007] B.C.J. No. 322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Submissions received: January 5, 12, 15 and 31,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2 and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06-3715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2007 BCSC 225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155 A.C.W.S. (3d) 248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C.P.C. (6th) 353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2007 CarswellBC 340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Ian Hansen and Coral Jordeen Hansen, Plaintiffs, and The Ship "Trinity" and the Owners and all others interested in 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13"/>
      <w:bookmarkEnd w:id="141"/>
      <w:r>
        <w:rPr>
          <w:rFonts w:ascii="arial" w:eastAsia="arial" w:hAnsi="arial" w:cs="arial"/>
          <w:b/>
          <w:color w:val="000000"/>
          <w:sz w:val="20"/>
          <w:lang w:val="en-US" w:eastAsia="en-US" w:bidi="ar-SA"/>
        </w:rPr>
        <w:t>Transportation law — Shipping, navigation and admiralty — Shipbuilding — Contracts — The warrant to arrest the sailboat "Trinity" issued following a without-notice hearing was set aside as there was material non-disclosure by the plaintiffs in the application — The fact of the application, and the reasons for the prior refusal of a Mareva injunction were material and should have been disclosed.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13"/>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applied to set aside a warrant to arrest the sailboat "Trinity", which had been issued following a without-notice hearing -- The defendants argued there was material non-disclosure by the plaintiffs in the application, or alternatively, that the warrant should be set aside on posting of a reasonable amount for security or bail -- In the underlying claim, the plaintiffs claimed damages for fundamental breach of contract on the part of the defendant owners, in that the sailboat they had been contracted to build was defective -- HELD: The warrant to arrest was set aside -- The similarity of purpose and effect between Mareva injunctions and arrest, coupled with the obligations that ought to properly be fulfilled by a party who sought a remedy without notice to an opposing party, and without giving the opposing party an opportunity to respond or to explain, required full and frank disclosure whenever a party or counsel appeared without notice before a judge or judicial officer seeking relief -- The fact of the application, and the reasons for the prior refusal of a Mareva injunction were material and should have been disclosed -- This was particularly so because the plaintiffs led evidence in support of the application for the Mareva injunction that failed to persuade Macaulay J. that they had a strong prima facie case of fundamental breach, and entitlement to rescind the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Legislation Cited_7"/>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Federal Court Rules, Rule 481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4" w:name="Counsel_23"/>
      <w:bookmarkEnd w:id="1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G.D.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 Guy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3"/>
      <w:bookmarkEnd w:id="145"/>
      <w:r>
        <w:pict>
          <v:line id="_x0000_s1134"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JOHNSTON J."/>
            <w:bookmarkEnd w:id="146"/>
            <w:r>
              <w:rPr>
                <w:rFonts w:ascii="arial" w:eastAsia="arial" w:hAnsi="arial" w:cs="arial"/>
                <w:b/>
                <w:color w:val="000000"/>
                <w:sz w:val="30"/>
                <w:lang w:val="en-US" w:eastAsia="en-US" w:bidi="ar-SA"/>
              </w:rPr>
              <w:t>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set aside a warrant to arrest the sailboat "Trinity". The warrant was issued pursuant to the order of Shabbits J. of August 22, 2006, following a "without notice" hearing. The defendants say that there was material non-disclosure by the plaintiffs in the application made to Shabbits J. and, for that reason, the warrant should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alternative, the defendants ask that the warrant be set aside on posting of a reasonable amount for security or bail.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their statement of claim the plaintiffs allege that in March 2004, they entered into an oral contract with ACU Marine Ltd. ("ACU") and Reginald and Claire Wittman, shareholders and directors of ACU (collectively called the "Owners"). Under that contract, the plaintiffs assert that the Owners undertook to complete a steel hulled sailboat, then partly built, in return for which the plaintiffs were to pay some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plead that between March 2004 and March 2005 they paid $316,000 to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allege that in April 2005 the Owners delivered the sailboat to the plaintiffs, but that, on inspection by the plaintiffs, one or more hull plate welds were found to be sufficiently inferior to amount to a fundamental breach by the Owners. The plaintiffs' claim in these terms: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breaches referred to in paragraph 14 above, the Owners and each of them failed to make proper delivery of the Vessel contracted for. The Owners and each of them were in breach of, and repudiated, the Contract.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2005 the Plaintiffs elected to accept the Owner's (sic) breach of the Contract and terminated the Contract, demanding the return of the $316,000 purchase price instalments.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Plaintiffs' demand the Owners and none of them have failed to return any of the instalments.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to paragraphs 15 and 15 (sic) above, the Plaintiffs rescinded the Contract on the basis of those fundamental breaches by the Owners referred to above, and the Owners elected to terminate the Contract. The Owners wrongfully retained the instalment payments without quantifying damages, despite demands made by the Plaintiffs for return of the monies and that they quantify damages which damages were and remain specifically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statement of claim pleads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quantum valebant</w:t>
      </w:r>
      <w:r>
        <w:rPr>
          <w:rFonts w:ascii="arial" w:eastAsia="arial" w:hAnsi="arial" w:cs="arial"/>
          <w:color w:val="000000"/>
          <w:sz w:val="20"/>
          <w:lang w:val="en-US" w:eastAsia="en-US" w:bidi="ar-SA"/>
        </w:rPr>
        <w:t xml:space="preserve"> (sic), unjust enrichment,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a contractual duty of good faith, and promissory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statement of claim then pleads: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says this claim is subject to the principles of </w:t>
      </w:r>
      <w:r>
        <w:rPr>
          <w:rFonts w:ascii="arial" w:eastAsia="arial" w:hAnsi="arial" w:cs="arial"/>
          <w:i/>
          <w:color w:val="000000"/>
          <w:sz w:val="20"/>
          <w:lang w:val="en-US" w:eastAsia="en-US" w:bidi="ar-SA"/>
        </w:rPr>
        <w:t>Canadian Maritime Law</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an equitable (sic) interest in the Vessel in respect of the amount of unreturned purchase price instalments of $316,000.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plaintiffs had previously sued the defendants for damages in Action No. 05/2432. That action was commenced in May 2005. In that earlier action, among the same parties, for the same damages, the plaintiffs applied for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on August 9, 2005. That application came on before Macaulay J. who dismissed it. In oral reasons, Macaulay J. said:</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reviewed the materials, I can find no evidence that the defendants were contractually obligated to build to an ABS standard, nor, assuming that ABS does represent the applicable trade standard, is there any evidence that the failure to meet it in a specific weld supports the conclusion that the vessel is not seaworthy. It follows that I am not persuaded on the evidence before me that the plaintiffs have established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fundamental breach. A breach that does not go to the fundamental terms of the contract would not entitle the plaintiffs to rescind.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30, 2005 Ralph J. granted an order permitting the plaintiffs to conduct inspection of the vessel "Trinity" including ultrasound examination of welds.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damage action in which the orders of Macaulay J. and Ralph J. were granted was set for trial in March 2006, but that trial was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action was commenced by endorsed writ of summons on August 21, 2006, and on August 22, 2006 the plaintiffs applied for an arrest warrant by filing an "Affidavit to Lead Warrant" pursuant to Rule 55(9). The Rules require an affidavit in Form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affidavit tendered was not precisely in the terms provided in Form 109, because counsel used the form provided in the Rules of the Federal Court for affidavit to lead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registrar of this court referred the matter to Shabbits J. Plaintiffs' counsel appeared and spoke to the matter and Shabbits J. ordered the warrant that is now under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argue that the plaintiffs had a duty to make full and frank disclosure on their application before Shabbits J. because it was without notice to the defendants. The defendants say that the plaintiffs failed to make the required disclosure to Shabbits J., and, for that reason, the warrant for arrest should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particular, the defendants say that the failure by counsel to inform Shabbits J. of these material facts: that in the first action there had been an application for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that the application had been denied; and the reasons that the application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respond by arguing that this is an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and brought under Canadian maritime law. In such an action, they say a warrant for arrest is something to which the plaintiffs are entitled, if not as a matter of right, then very close to it. The plaintiffs argue that the disclosure issue is irrelevant to the issuance of a warrant to arrest the vessel "Trinity". The plaintiffs say that the defendants are applying the wrong principles, derived from ex parte or without notice applications for injunctive relief such as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orders, to a remedy in maritime law to which a plaintiff is entitled virtually as a matter of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existence of the earlier action was disclosed to Shabbits J. on the application for the arrest warrant, as a "parallel action" that in due course the plaintiffs intended to join with the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action with which Shabbits J. was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argue that the failure to inform Shabbits J. of the failed attempt to obtain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in parallel proceedings was not a material non-disclosure because the requirements to obtain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are quite different than the requirements to obtain an arrest warrant. The plaintiffs point to the requirements to obtain an arrest warrant under the Rules for Regulating the Practice and Procedure in the Federal Court of Appeal and the Federal Court </w:t>
      </w:r>
      <w:r>
        <w:rPr>
          <w:rFonts w:ascii="arial" w:eastAsia="arial" w:hAnsi="arial" w:cs="arial"/>
          <w:i/>
          <w:color w:val="000000"/>
          <w:sz w:val="20"/>
          <w:lang w:val="en-US" w:eastAsia="en-US" w:bidi="ar-SA"/>
        </w:rPr>
        <w:t>SOR/98-106</w:t>
      </w:r>
      <w:r>
        <w:rPr>
          <w:rFonts w:ascii="arial" w:eastAsia="arial" w:hAnsi="arial" w:cs="arial"/>
          <w:color w:val="000000"/>
          <w:sz w:val="20"/>
          <w:lang w:val="en-US" w:eastAsia="en-US" w:bidi="ar-SA"/>
        </w:rPr>
        <w:t>. ("Federal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Federal Court Rule 481 reads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 designated officer may issue a warrant for the arrest of property in an action in rem, in Form 481, at any time after the filing of a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seeking a warrant under subsection (1) shall file an affidavit, entitled "Affidavit to Lead Warrant", stating</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address and occupation of the party;</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claim and the basis for invoking the in rem jurisdiction of the Court;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 has not been satisfied;</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property to be arrested and, where the property is a ship, the name and nationality of the ship and the port to which it belongs; and</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pursuant to subsection 43(8) of the Act, the warrant is sought against a ship that is not the subject of the action, that the deponent has reasonable grounds to believe that the ship against which the warrant is sought is beneficially owned by the person who is the owner of the ship that is the subject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Because this action was commenced in this court, the provisions governing application for and issuance of a warrant to arrest the vessel are Rules 55(9), (10) and (11) of the Rules of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Arrest - "Affidavit to Lead Warrant"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may, at any time after an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has been commenced, apply for a warrant for the arrest of the property named by filing with the registrar an "Affidavit to Lead Warrant" in Form 109.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of warrant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may, after reading the affidavit,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the warrant,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 the matter to the court and the court may issue the warrant, subject to any directions that the court may give.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Form of warrant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warrant to arrest under this rule shall be in Form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rules of both the federal court and this court provide that whether or not a warrant issues is a matter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argue that, in the federal court at least, any discretion over whether a warrant should issue is rarely exercised against the applicant for the warrant. The plaintiffs cite the decision of Hargrave, Prothonotary, in </w:t>
      </w:r>
      <w:r>
        <w:rPr>
          <w:rFonts w:ascii="arial" w:eastAsia="arial" w:hAnsi="arial" w:cs="arial"/>
          <w:b/>
          <w:i/>
          <w:color w:val="000000"/>
          <w:sz w:val="20"/>
          <w:lang w:val="en-US" w:eastAsia="en-US" w:bidi="ar-SA"/>
        </w:rPr>
        <w:t>Kiku Fisheries Ltd. v. Canadian North Pacific Ocean Corp.</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[1997] F.C.J. No. 1291</w:t>
        </w:r>
      </w:hyperlink>
      <w:r>
        <w:rPr>
          <w:rFonts w:ascii="arial" w:eastAsia="arial" w:hAnsi="arial" w:cs="arial"/>
          <w:color w:val="000000"/>
          <w:sz w:val="20"/>
          <w:lang w:val="en-US" w:eastAsia="en-US" w:bidi="ar-SA"/>
        </w:rPr>
        <w:t xml:space="preserve"> (T.D.)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Counsel did refer to </w:t>
      </w:r>
      <w:r>
        <w:rPr>
          <w:rFonts w:ascii="arial" w:eastAsia="arial" w:hAnsi="arial" w:cs="arial"/>
          <w:i/>
          <w:color w:val="000000"/>
          <w:sz w:val="20"/>
          <w:lang w:val="en-US" w:eastAsia="en-US" w:bidi="ar-SA"/>
        </w:rPr>
        <w:t>Armada Lines Ltd. v. Chaleur Fertilizers Ltd.</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[1995] 1 F.C. 3</w:t>
        </w:r>
      </w:hyperlink>
      <w:r>
        <w:rPr>
          <w:rFonts w:ascii="arial" w:eastAsia="arial" w:hAnsi="arial" w:cs="arial"/>
          <w:color w:val="000000"/>
          <w:sz w:val="20"/>
          <w:lang w:val="en-US" w:eastAsia="en-US" w:bidi="ar-SA"/>
        </w:rPr>
        <w:t xml:space="preserve">, a decision of the Federal Court of Appeal. A portion of the decision dealing with wrongful arrest was overturned by the Supreme Court of Canada. However, the comments of the Court of Appeal, or perhaps what were the views of the Court, are an interesting gloss on Rule 1003(2) dealing with the content of the affidavit to lead warrant. The Court of Appeal recognized that the Rule sets out the criteria necessary in order to obtain an arrest warrant. The Court also considered the somewhat more onerous requirements for obtaining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including full and frank disclosure of all material matters within the plaintiff's knowledge and of providing full particulars of the claim, including fairly stating the points made against the plaintiff by the defendant. Now this is quite laudable, but it is not required on the plain wording of Rule 1003(2) which requires the affidavit to set out: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address and occupation of the applicant for the warrant; (b) the nature of the claim; (c) that the claim has not been satisfied; (d) the nature of the property to be arrested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commenting on this Rule in </w:t>
      </w:r>
      <w:r>
        <w:rPr>
          <w:rFonts w:ascii="arial" w:eastAsia="arial" w:hAnsi="arial" w:cs="arial"/>
          <w:i/>
          <w:color w:val="000000"/>
          <w:sz w:val="20"/>
          <w:lang w:val="en-US" w:eastAsia="en-US" w:bidi="ar-SA"/>
        </w:rPr>
        <w:t>Lorac Transport Ltd. v. The "Atra</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(1984), 9 D.L.R. (4th) 129</w:t>
        </w:r>
      </w:hyperlink>
      <w:r>
        <w:rPr>
          <w:rFonts w:ascii="arial" w:eastAsia="arial" w:hAnsi="arial" w:cs="arial"/>
          <w:color w:val="000000"/>
          <w:sz w:val="20"/>
          <w:lang w:val="en-US" w:eastAsia="en-US" w:bidi="ar-SA"/>
        </w:rPr>
        <w:t>, Mr. Justice McNair, apropos of the "</w:t>
      </w:r>
      <w:r>
        <w:rPr>
          <w:rFonts w:ascii="arial" w:eastAsia="arial" w:hAnsi="arial" w:cs="arial"/>
          <w:i/>
          <w:color w:val="000000"/>
          <w:sz w:val="20"/>
          <w:lang w:val="en-US" w:eastAsia="en-US" w:bidi="ar-SA"/>
        </w:rPr>
        <w:t>Atra</w:t>
      </w:r>
      <w:r>
        <w:rPr>
          <w:rFonts w:ascii="arial" w:eastAsia="arial" w:hAnsi="arial" w:cs="arial"/>
          <w:color w:val="000000"/>
          <w:sz w:val="20"/>
          <w:lang w:val="en-US" w:eastAsia="en-US" w:bidi="ar-SA"/>
        </w:rPr>
        <w:t>", noted that there was nothing in the Rule requiring disclosure of beneficial ownership and that if that were a necessary averment it would have been set out in the Rule (p. 133). In my view one need not go beyond a reasonable interpretation of the disclosure required by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apparent that in arriving at his decision the Prothonotary relied upon the decision of the federal Court of Appeal in </w:t>
      </w:r>
      <w:r>
        <w:rPr>
          <w:rFonts w:ascii="arial" w:eastAsia="arial" w:hAnsi="arial" w:cs="arial"/>
          <w:b/>
          <w:i/>
          <w:color w:val="000000"/>
          <w:sz w:val="20"/>
          <w:lang w:val="en-US" w:eastAsia="en-US" w:bidi="ar-SA"/>
        </w:rPr>
        <w:t>Armada Lines Ltd. v. Chaleur Fertilizers Ltd.</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[1995] 1 F.C. 3</w:t>
        </w:r>
      </w:hyperlink>
      <w:r>
        <w:rPr>
          <w:rFonts w:ascii="arial" w:eastAsia="arial" w:hAnsi="arial" w:cs="arial"/>
          <w:color w:val="000000"/>
          <w:sz w:val="20"/>
          <w:lang w:val="en-US" w:eastAsia="en-US" w:bidi="ar-SA"/>
        </w:rPr>
        <w:t xml:space="preserve"> (C.A). The applicable point is set out at pp. 19 and 20:</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w:t>
      </w:r>
      <w:r>
        <w:rPr>
          <w:rFonts w:ascii="arial" w:eastAsia="arial" w:hAnsi="arial" w:cs="arial"/>
          <w:i/>
          <w:color w:val="000000"/>
          <w:sz w:val="20"/>
          <w:lang w:val="en-US" w:eastAsia="en-US" w:bidi="ar-SA"/>
        </w:rPr>
        <w:t>Elesguro Inc. v. Ssangyong Shipping Co. Ltd.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[1980] F.C.J. No. 273</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FN29</w:t>
      </w:r>
      <w:r>
        <w:rPr>
          <w:rFonts w:ascii="arial" w:eastAsia="arial" w:hAnsi="arial" w:cs="arial"/>
          <w:color w:val="000000"/>
          <w:sz w:val="20"/>
          <w:lang w:val="en-US" w:eastAsia="en-US" w:bidi="ar-SA"/>
        </w:rPr>
        <w:t xml:space="preserve">] Mr. Justice Collier expressed the view that the guidelines set out in the English cases for the issuance of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should be applicable to Canadian maritime law. The guidelines to which he refers, are set out by Denning M.R. in the </w:t>
      </w:r>
      <w:r>
        <w:rPr>
          <w:rFonts w:ascii="arial" w:eastAsia="arial" w:hAnsi="arial" w:cs="arial"/>
          <w:i/>
          <w:color w:val="000000"/>
          <w:sz w:val="20"/>
          <w:lang w:val="en-US" w:eastAsia="en-US" w:bidi="ar-SA"/>
        </w:rPr>
        <w:t>Third Chandris</w:t>
      </w:r>
      <w:r>
        <w:rPr>
          <w:rFonts w:ascii="arial" w:eastAsia="arial" w:hAnsi="arial" w:cs="arial"/>
          <w:color w:val="000000"/>
          <w:sz w:val="20"/>
          <w:lang w:val="en-US" w:eastAsia="en-US" w:bidi="ar-SA"/>
        </w:rPr>
        <w:t xml:space="preserve"> case, [1979] 2 Lloyd's Rep. 184. [</w:t>
      </w:r>
      <w:r>
        <w:rPr>
          <w:rFonts w:ascii="arial" w:eastAsia="arial" w:hAnsi="arial" w:cs="arial"/>
          <w:color w:val="000000"/>
          <w:sz w:val="20"/>
          <w:u w:val="single"/>
          <w:lang w:val="en-US" w:eastAsia="en-US" w:bidi="ar-SA"/>
        </w:rPr>
        <w:t>FN30</w:t>
      </w:r>
      <w:r>
        <w:rPr>
          <w:rFonts w:ascii="arial" w:eastAsia="arial" w:hAnsi="arial" w:cs="arial"/>
          <w:color w:val="000000"/>
          <w:sz w:val="20"/>
          <w:lang w:val="en-US" w:eastAsia="en-US" w:bidi="ar-SA"/>
        </w:rPr>
        <w:t xml:space="preserve">] By these guidelines, a plaintiff seeking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must:</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full and frank disclosure of all material matters within his knowledge;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full particulars of his claim;</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grounds for believing that the defendants have assets within the jurisdiction;</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some grounds for believing that there is a risk that the asset will be removed before the judgment or award is satisfied;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give an undertaking in damages -- in case the plaintiff fails in its claim or the injunction turns out to be unjustified</w:t>
      </w:r>
      <w:r>
        <w:rPr>
          <w:rFonts w:ascii="arial" w:eastAsia="arial" w:hAnsi="arial" w:cs="arial"/>
          <w:color w:val="000000"/>
          <w:sz w:val="20"/>
          <w:lang w:val="en-US" w:eastAsia="en-US" w:bidi="ar-SA"/>
        </w:rPr>
        <w:t>.</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1003 [as am. by SOR/79-57, s. 18; SOR/92-726, s. 12; SOR/94-41, s. 7] of the </w:t>
      </w:r>
      <w:r>
        <w:rPr>
          <w:rFonts w:ascii="arial" w:eastAsia="arial" w:hAnsi="arial" w:cs="arial"/>
          <w:i/>
          <w:color w:val="000000"/>
          <w:sz w:val="20"/>
          <w:lang w:val="en-US" w:eastAsia="en-US" w:bidi="ar-SA"/>
        </w:rPr>
        <w:t>Federal Court Rules</w:t>
      </w:r>
      <w:r>
        <w:rPr>
          <w:rFonts w:ascii="arial" w:eastAsia="arial" w:hAnsi="arial" w:cs="arial"/>
          <w:color w:val="000000"/>
          <w:sz w:val="20"/>
          <w:lang w:val="en-US" w:eastAsia="en-US" w:bidi="ar-SA"/>
        </w:rPr>
        <w:t xml:space="preserve"> [C.R.C., c. 663] sets out the criteria necessary for the granting of a warrant for the arrest of property in an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In my view, the guidelines set out in the </w:t>
      </w:r>
      <w:r>
        <w:rPr>
          <w:rFonts w:ascii="arial" w:eastAsia="arial" w:hAnsi="arial" w:cs="arial"/>
          <w:i/>
          <w:color w:val="000000"/>
          <w:sz w:val="20"/>
          <w:lang w:val="en-US" w:eastAsia="en-US" w:bidi="ar-SA"/>
        </w:rPr>
        <w:t>Third Chandris</w:t>
      </w:r>
      <w:r>
        <w:rPr>
          <w:rFonts w:ascii="arial" w:eastAsia="arial" w:hAnsi="arial" w:cs="arial"/>
          <w:color w:val="000000"/>
          <w:sz w:val="20"/>
          <w:lang w:val="en-US" w:eastAsia="en-US" w:bidi="ar-SA"/>
        </w:rPr>
        <w:t xml:space="preserve"> case are consistent with the criteria established by Rule 1003. In each instance, the onus is undoubtedly cast upon the plaintiff to show that the arrest requested is necessary for the protection of its rights. Requirement (v) in the </w:t>
      </w:r>
      <w:r>
        <w:rPr>
          <w:rFonts w:ascii="arial" w:eastAsia="arial" w:hAnsi="arial" w:cs="arial"/>
          <w:i/>
          <w:color w:val="000000"/>
          <w:sz w:val="20"/>
          <w:lang w:val="en-US" w:eastAsia="en-US" w:bidi="ar-SA"/>
        </w:rPr>
        <w:t>Third Chandris</w:t>
      </w:r>
      <w:r>
        <w:rPr>
          <w:rFonts w:ascii="arial" w:eastAsia="arial" w:hAnsi="arial" w:cs="arial"/>
          <w:color w:val="000000"/>
          <w:sz w:val="20"/>
          <w:lang w:val="en-US" w:eastAsia="en-US" w:bidi="ar-SA"/>
        </w:rPr>
        <w:t xml:space="preserve"> case, the undertaking in damages, clearly demonstrates that the plaintiff, who seeks the arrest, must carry the risk and burden of an illegal arrest, and the consequences flowing therefrom. While Rule 1003 does not specifically require an undertaking as to damages for wrongful arrest, I think it to be a necessary inference that the plaintiff assumes the consequences of such an arrest. The English authorities support the view that damages are payable where the arrest is without a proper legal foundation. [</w:t>
      </w:r>
      <w:r>
        <w:rPr>
          <w:rFonts w:ascii="arial" w:eastAsia="arial" w:hAnsi="arial" w:cs="arial"/>
          <w:color w:val="000000"/>
          <w:sz w:val="20"/>
          <w:u w:val="single"/>
          <w:lang w:val="en-US" w:eastAsia="en-US" w:bidi="ar-SA"/>
        </w:rPr>
        <w:t>FN31</w:t>
      </w:r>
      <w:r>
        <w:rPr>
          <w:rFonts w:ascii="arial" w:eastAsia="arial" w:hAnsi="arial" w:cs="arial"/>
          <w:color w:val="000000"/>
          <w:sz w:val="20"/>
          <w:lang w:val="en-US" w:eastAsia="en-US" w:bidi="ar-SA"/>
        </w:rPr>
        <w:t>] In my view, when a plaintiff seeks to arrest a ship or its cargo pursuant to Rule 1003, the plaintiff carries the burden of showing that the arrest was lawfully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apparent, to me at least, that the federal Court of Appeal endorsed the application of guidelines applicable to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injunctions when it said "In my view, the guidelines set out in the </w:t>
      </w:r>
      <w:r>
        <w:rPr>
          <w:rFonts w:ascii="arial" w:eastAsia="arial" w:hAnsi="arial" w:cs="arial"/>
          <w:i/>
          <w:color w:val="000000"/>
          <w:sz w:val="20"/>
          <w:lang w:val="en-US" w:eastAsia="en-US" w:bidi="ar-SA"/>
        </w:rPr>
        <w:t>Third Chandris</w:t>
      </w:r>
      <w:r>
        <w:rPr>
          <w:rFonts w:ascii="arial" w:eastAsia="arial" w:hAnsi="arial" w:cs="arial"/>
          <w:color w:val="000000"/>
          <w:sz w:val="20"/>
          <w:lang w:val="en-US" w:eastAsia="en-US" w:bidi="ar-SA"/>
        </w:rPr>
        <w:t xml:space="preserve"> case are consistent with the criteria established by Rule 1003" and I note that the federal Court of Appeal then went on to apply one of those criteria to the case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An appeal from this decision was allowed by the Supreme Court of Canada, see: </w:t>
      </w:r>
      <w:hyperlink r:id="rId501" w:history="1">
        <w:r>
          <w:rPr>
            <w:rFonts w:ascii="arial" w:eastAsia="arial" w:hAnsi="arial" w:cs="arial"/>
            <w:i/>
            <w:color w:val="0077CC"/>
            <w:sz w:val="20"/>
            <w:u w:val="single"/>
            <w:shd w:val="clear" w:color="auto" w:fill="FFFFFF"/>
            <w:lang w:val="en-US" w:eastAsia="en-US" w:bidi="ar-SA"/>
          </w:rPr>
          <w:t>[1997] 2 S.C.R. 617</w:t>
        </w:r>
      </w:hyperlink>
      <w:r>
        <w:rPr>
          <w:rFonts w:ascii="arial" w:eastAsia="arial" w:hAnsi="arial" w:cs="arial"/>
          <w:color w:val="000000"/>
          <w:sz w:val="20"/>
          <w:lang w:val="en-US" w:eastAsia="en-US" w:bidi="ar-SA"/>
        </w:rPr>
        <w:t xml:space="preserve">. That court set aside the award of damages for wrongful arrest, granted by the Federal Court of Appeal, as contrary to the common law rule that damages could be ordered only if a plaintiff had acted in bad faith or with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Supreme Court of Canada pointed out that the Federal Court Rules did not require an undertaking in damages from a plaintiff seeking a warrant to arrest. I note that Rule 55 of the Rules of Court does not require an undertaking in damages, as is set out in Rule 45 (6), relating to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conclude, partly on the basis of the above passage from </w:t>
      </w:r>
      <w:r>
        <w:rPr>
          <w:rFonts w:ascii="arial" w:eastAsia="arial" w:hAnsi="arial" w:cs="arial"/>
          <w:b/>
          <w:i/>
          <w:color w:val="000000"/>
          <w:sz w:val="20"/>
          <w:lang w:val="en-US" w:eastAsia="en-US" w:bidi="ar-SA"/>
        </w:rPr>
        <w:t>Armada Lines</w:t>
      </w:r>
      <w:r>
        <w:rPr>
          <w:rFonts w:ascii="arial" w:eastAsia="arial" w:hAnsi="arial" w:cs="arial"/>
          <w:color w:val="000000"/>
          <w:sz w:val="20"/>
          <w:lang w:val="en-US" w:eastAsia="en-US" w:bidi="ar-SA"/>
        </w:rPr>
        <w:t>, and partly on the basis that an application without notice for a remedy that is within the discretion of the court to grant or to refuse, that full and frank disclosure is required when an application is made for an warrant to arrest a vessel under Rule 55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the combined effect of the decisions of the Federal Court of Appeal and of the Supreme Court of Canada in </w:t>
      </w:r>
      <w:r>
        <w:rPr>
          <w:rFonts w:ascii="arial" w:eastAsia="arial" w:hAnsi="arial" w:cs="arial"/>
          <w:b/>
          <w:i/>
          <w:color w:val="000000"/>
          <w:sz w:val="20"/>
          <w:lang w:val="en-US" w:eastAsia="en-US" w:bidi="ar-SA"/>
        </w:rPr>
        <w:t>Armada Lines</w:t>
      </w:r>
      <w:r>
        <w:rPr>
          <w:rFonts w:ascii="arial" w:eastAsia="arial" w:hAnsi="arial" w:cs="arial"/>
          <w:color w:val="000000"/>
          <w:sz w:val="20"/>
          <w:lang w:val="en-US" w:eastAsia="en-US" w:bidi="ar-SA"/>
        </w:rPr>
        <w:t xml:space="preserve"> do not directly address this point. The similarity of purpose and effect between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injunctions and arrest, coupled with the obligations that should in my view properly be fulfilled by a party who seeks a remedy without notice to an opposing party, and without giving the opposing party an opportunity to respond or to explain, require full and frank disclosure whenever a party or counsel appear without notice before a judge or judicial officer seeking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for the argument that it was not material to the application for a warrant to arrest the vessel that the applicant had previously sought and been refused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in collateral proceedings, I do not agree. The fact of the application, and the reasons for the prior refusal of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were, in my view, material and should have been disclosed. This is particularly so because the plaintiffs led evidence in support of the application for the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that failed to persuade Macaulay J. that they had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fundamental breach, and entitlement to rescind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consider that information essential whether or not a warrant to arrest a vessel might be granted virtually as a matter of right in federal court. It goes directly to the merits of the asserted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claim upon which the application for the warrant is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that ground alone, I set aside the warrant to arrest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had questioned whether, on the pleadings, the claims in this action were truly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I asked counsel for further submissions on the point raised by this statement by Irving J. in </w:t>
      </w:r>
      <w:r>
        <w:rPr>
          <w:rFonts w:ascii="arial" w:eastAsia="arial" w:hAnsi="arial" w:cs="arial"/>
          <w:b/>
          <w:i/>
          <w:color w:val="000000"/>
          <w:sz w:val="20"/>
          <w:lang w:val="en-US" w:eastAsia="en-US" w:bidi="ar-SA"/>
        </w:rPr>
        <w:t>Fry v. Botsford</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(1902), 9 B.C.R. 234</w:t>
        </w:r>
      </w:hyperlink>
      <w:r>
        <w:rPr>
          <w:rFonts w:ascii="arial" w:eastAsia="arial" w:hAnsi="arial" w:cs="arial"/>
          <w:color w:val="000000"/>
          <w:sz w:val="20"/>
          <w:lang w:val="en-US" w:eastAsia="en-US" w:bidi="ar-SA"/>
        </w:rPr>
        <w:t>, at p. 239: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has been defined as a proceeding to determine the status or condition of the thing itself, and a judgment is a decision as to the disposition of the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seemed to me that the plaintiffs here had disclaimed any interest in Trinity when they elected to treat the contract at an end and sue for the return of the money they had paid on account. It also seemed to me that there was no judgment in this action that would possibly determine the status or condition of the Trinity, or its disposition, apart, of course, from the effect of the warrant of arrest. Since the arrest warrant must depend for its existence on there being a proceeding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it cannot at the same time provide the foundation for such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am obliged to counsel for their careful and thorough arguments on this question. I am persuaded by those arguments that I ought not to go where I do not need to go to dispose of the application before me. I therefore do not decide on this application whether, on the pleadings in this action, there is a valid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claim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warrant will be set aside, with costs to the defendants. The parties may speak to the appropriate scale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Hemsworth v. Vancouver (City), [2005] B.C.J. No. 475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Bernard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18,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7, 2005.</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S75828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475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BCSC 317</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138 A.C.W.S. (3d) 193</w:t>
        </w:r>
      </w:hyperlink>
    </w:p>
    <w:p>
      <w:pPr>
        <w:spacing w:before="120" w:line="260" w:lineRule="atLeast"/>
        <w:rPr>
          <w:lang w:val="en-US" w:eastAsia="en-US" w:bidi="ar-SA"/>
        </w:rPr>
      </w:pPr>
      <w:r>
        <w:rPr>
          <w:rFonts w:ascii="arial" w:eastAsia="arial" w:hAnsi="arial" w:cs="arial"/>
          <w:color w:val="000000"/>
          <w:sz w:val="20"/>
          <w:lang w:val="en-US" w:eastAsia="en-US" w:bidi="ar-SA"/>
        </w:rPr>
        <w:t>Between Katherine Hemsworth, plaintiff, and City of Vancouver, The Board of School Trustees of School District No. 39 (Vancouver),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6"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7" w:name="Keywords_14"/>
      <w:bookmarkEnd w:id="14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Occupiers' liability — Duty of occupier.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8" w:name="Case Summary_14"/>
            <w:bookmarkEnd w:id="14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the Board of School Trustees of School District No. 39, for summary judgment dismissing the action against it. This was an action by the plaintiff, Hemsworth, against the City of Vancouver, and the Board of School Trustees of School District No. 39 (Vancouver), for damages for personal injuries suffered in a slip and fall accident. Hemsworth was a 55-year-old woman who was attending a class at a high school. She was going down some stairs when she lost her footing and fell down several steps. She fractured her wrist. Hemsworth argued that there was a crack in the rubber tread on the stairs which caused the fall. </w:t>
            </w:r>
            <w:r>
              <w:rPr>
                <w:lang w:val="en-US" w:eastAsia="en-US" w:bidi="ar-SA"/>
              </w:rPr>
              <w:cr/>
            </w:r>
          </w:p>
          <w:p>
            <w:pPr>
              <w:spacing w:before="120" w:line="260" w:lineRule="atLeast"/>
              <w:ind w:left="240"/>
              <w:jc w:val="both"/>
              <w:rPr>
                <w:lang w:val="en-US" w:eastAsia="en-US" w:bidi="ar-SA"/>
              </w:rPr>
            </w:pPr>
            <w:bookmarkStart w:id="149" w:name="Holdings of Court_12"/>
            <w:bookmarkEnd w:id="149"/>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to support that the tread was responsible for the fall. Hemsworth had the onus of proof. </w:t>
            </w:r>
            <w:r>
              <w:rPr>
                <w:lang w:val="en-US" w:eastAsia="en-US" w:bidi="ar-SA"/>
              </w:rPr>
              <w:cr/>
            </w:r>
          </w:p>
          <w:p>
            <w:pPr>
              <w:rPr>
                <w:lang w:val="en-US" w:eastAsia="en-US" w:bidi="ar-SA"/>
              </w:rPr>
            </w:pPr>
          </w:p>
        </w:tc>
      </w:tr>
    </w:tbl>
    <w:p>
      <w:pPr>
        <w:jc w:val="both"/>
        <w:rPr>
          <w:lang w:val="en-US" w:eastAsia="en-US" w:bidi="ar-SA"/>
        </w:rPr>
      </w:pPr>
      <w:bookmarkStart w:id="150" w:name="Legislation Cited_8"/>
      <w:bookmarkEnd w:id="15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37"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w:t>
      </w:r>
      <w:r>
        <w:rPr>
          <w:lang w:val="en-US" w:eastAsia="en-US" w:bidi="ar-SA"/>
        </w:rPr>
        <w:cr/>
      </w:r>
    </w:p>
    <w:p>
      <w:pPr>
        <w:keepNext/>
        <w:spacing w:before="240" w:line="340" w:lineRule="atLeast"/>
        <w:rPr>
          <w:lang w:val="en-US" w:eastAsia="en-US" w:bidi="ar-SA"/>
        </w:rPr>
      </w:pPr>
      <w:bookmarkStart w:id="151" w:name="Counsel_24"/>
      <w:bookmarkEnd w:id="15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8" style="position:absolute;z-index:251786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N.A. Mulholland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S.F. Lee</w:t>
      </w:r>
      <w:r>
        <w:rPr>
          <w:lang w:val="en-US" w:eastAsia="en-US" w:bidi="ar-SA"/>
        </w:rPr>
        <w:cr/>
      </w:r>
    </w:p>
    <w:p>
      <w:pPr>
        <w:spacing w:after="240"/>
        <w:rPr>
          <w:lang w:val="en-US" w:eastAsia="en-US" w:bidi="ar-SA"/>
        </w:rPr>
      </w:pPr>
      <w:bookmarkStart w:id="152" w:name="Judgment_24"/>
      <w:bookmarkEnd w:id="152"/>
      <w:r>
        <w:pict>
          <v:line id="_x0000_s1139" style="position:absolute;z-index:2518261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3" w:name="BERNARD J."/>
            <w:bookmarkEnd w:id="153"/>
            <w:r>
              <w:rPr>
                <w:rFonts w:ascii="arial" w:eastAsia="arial" w:hAnsi="arial" w:cs="arial"/>
                <w:b/>
                <w:color w:val="000000"/>
                <w:sz w:val="30"/>
                <w:lang w:val="en-US" w:eastAsia="en-US" w:bidi="ar-SA"/>
              </w:rPr>
              <w:t>BERNARD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May 30, 2002, 55-year old Katherine Hemsworth slipped and fell inside Kitsilano High School. At the time of the fall, Ms. Hemsworth's evening class had just concluded and she was descending a flight of stairs with Linda Attin, a classmate, to her right. Ms. Hemsworth was not using the handrail. She lost her footing on the second step down from a landing and fell the remaining 5 to 6 steps. She fractured her wrist and sustained other injuries in the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Hemsworth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of Vancouver and the School Board. The School Board has applied, pursuant to Supreme Court Rule 18A, for dismissal of the action against it. There has been a notice of discontinuance filed in relation to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before the court is whether the School Board was negligent. The parties agree to a summary trial. I am satisfied that this is a suitable case for resolution under Rule 18A. If the School Board is found liable, then the parties anticipate resolving the quantum of damages by agreement.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Synopsis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Hemsworth does not know what caused her to lose her footing on the stair in question. No one observed a foreign substance on the stair immediately before or after her fall. Her shoes were backless slip-ons with a low heel and a rubber sole. They were in good condition. She neither had ingested anything that might affect her balance or gait, nor had she any medical condition that might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descended towards the middle of the stair span rather than close to the railing. The treads of the stairs were completely covered in a rubberized material with a pattern of grooves. Shortly after the fall, the stair in question was inspected by a "floor maintenance worker" who says that he observed two flaws in the tread (a crack without displacement and a looseness towards the riser) but both were within 12-14 inches of the right side. The custodian, who had swept the stairs at 8:00 p.m., noticed the same crack in the tread towards the right side of the same stair when he examined the stairs after the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tread was replaced immediately because of the flaws found; accordingly, it was not available for inspection when Ms. Hemsworth returned in early July 2002 to examine and photograph the stairs. The photographs she and others took show that, on the adjacent stairs, in the middle of each tread the groove pattern has been worn down through usage. The treads are in tact but appear smoother in the worn areas. Ms. Hemsworth says that the adjacent treads were "quite worn and showed visible dipping and the treads were worn away to baldness in certain spots."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rubber tread in question was discarded before any testing of its slipperiness could be performed. No tests were performed on the adjacent stair treads.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her fall was caused by the worn tread; that there is no other reasonable explanation for her fall; that this is the only reasonable inference that may be drawn from the evidence; and, that the School Board's failure to properly inspect and maintain the stairs was the proximate cause of her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that the defendant is responsible for the destruction of the tread - a key piece of evidence - and that an inference adverse to the defendant ought to be drawn.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says that the plaintiff has failed to prove her case. In particular, the defendant says that the plaintiff's failure to tender expert evidence regarding the "slip resistance" of the tread and her shoes is fatal to her case. The defendant says that the plaintiff admits that she does not know what caused her fall. She asks the court to find that she probably slipped on the worn tread. The defendant says that, without any evidence that the tread was slippery, the court would have to speculate to make such a finding.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 and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facts are not contentious, but I find that the following has been proven on a balance of probabilities. The plaintiff lost her footing, on the second stair of a short flight, as she descended near the middle of the stair span. The stair in question had a worn tread in its middle similar to the wear shown in the adjacent stair treads. There was no foreign substance on the stair. The tread, where the plaintiff stepped, was in good repair except for the described wear. The soles of the plaintiff's shoes were rubber and in good repair.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the court can infer from these facts that the worn tread was the probable cause of her fall. The defendant says that there is no evidentiary foundation for such an inference. I agree with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evidence from which I could reasonably find, without engaging in speculation, that the tread was slippery because it was worn and that it was, therefore, likely the cause of the Ms. Hemsworth's fall. The onus of proof is on the plaintiff, and her failure to tender expert evidence in this regard is fatal to her claim, in the circumstances of this case. I could not reasonably conclude that there could be no other explanation for the fall other than the condition of the stairs. There are many other reasons why one might fall while descending stairs - inattention and loose footwear are but two. Also, absent evidence indicating otherwise, it would seem contrary to common sense that a rubber tread (albeit worn) would be slippery against a rubber-soled shoe.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the tread in question was unavailable to the plaintiff for examination and testing, the adjacent treads were made of the same material and were in a similar worn condition. These treads were accessible; in fact, the plaintiff relied on their condition in her case. I find that the plaintiff was not precluded, by the actions of the defendant, from gathering the necessary evidence to prove her case.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has not proved, on a balance of probabilities, that the cause of her fall was the worn stair tread. As the failure to replace the worn tread was the defendant's alleged breach of the duty of care, the case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is entitled to its costs,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BERNARD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Hub Excavating Ltd. v. Orca Estates Ltd., [2007] B.C.J. No. 2209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10-14 and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S42023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64 C.L.R. (3d) 215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C.C.L.T. (3d) 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Hub Excavating Ltd., Plaintiff, and Orca Estates Ltd., McColl Investments Co. Ltd., Christopher Estates Limited doing business as Rocky Point Joint Venture, Leslie Allan Morris and Morris Engineering Ltd., Defendants, and Leslie Allan Morris and Morris Engineering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January 18, 2008. See </w:t>
      </w:r>
      <w:hyperlink r:id="rId518" w:history="1">
        <w:r>
          <w:rPr>
            <w:rFonts w:ascii="arial" w:eastAsia="arial" w:hAnsi="arial" w:cs="arial"/>
            <w:i/>
            <w:color w:val="0077CC"/>
            <w:sz w:val="18"/>
            <w:u w:val="single"/>
            <w:shd w:val="clear" w:color="auto" w:fill="FFFFFF"/>
            <w:lang w:val="en-US" w:eastAsia="en-US" w:bidi="ar-SA"/>
          </w:rPr>
          <w:t>[2008] B.C.J. No. 88</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15"/>
      <w:bookmarkEnd w:id="154"/>
      <w:r>
        <w:rPr>
          <w:rFonts w:ascii="arial" w:eastAsia="arial" w:hAnsi="arial" w:cs="arial"/>
          <w:b/>
          <w:color w:val="000000"/>
          <w:sz w:val="20"/>
          <w:lang w:val="en-US" w:eastAsia="en-US" w:bidi="ar-SA"/>
        </w:rPr>
        <w:t>Construction law — Bidding process — Good faith requirement — Misrepresentation — Defendants liable for plaintiff's damages as a result of negligent misrepresentation concerning tender call and bidding process — Plaintiff was low bidder respecting work required for Joint Venture Defendants' proposed subdivision — Plaintiff was told that it was the low bidder and was advised so — Project did not go ahead — Plaintiff was entitled to damages in the amount of $300,000 being an amount it would have earned as profit if it had tendered a bid on another project.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Owner — Actions against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Defendants liable for plaintiff's damages as a result of negligent misrepresentation concerning tender call and bidding process — Plaintiff was low bidder respecting work required for Joint Venture Defendants' proposed subdivision — Plaintiff was told that it was the low bidder and was advised so — Project did not go ahead — Plaintiff was entitled to damages in the amount of $300,000 being an amount it would have earned as profit if it had tendered a bid on another project.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15"/>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commenced by Hub Excavating for damages against the defendants for breach of contract and negligent misstatement -- Action related to a bid made by the plaintiff for clearing, excavating, and construction of services, sidewalks and roads for a proposed subdivision -- Defendants, Orca Estates, McColl Investments, and Christopher Estates were developers of the subdivision, and carried on business as Rocky Point Joint Venture (collectively the "Joint Venture Defendants") -- Remaining defendants, Morris and Morris Engineering, provided the engineering services for the subdivision, including preparing the tender documents and reviewing the bids -- In April 2004, the Joint Venture Defendants, through the offices of Morris, invited a limited number of contractors, including the plaintiff, to bid on work -- Plaintiff submitted the low bid -- However, none of the bids was accepted, and the project did not proceed -- Plaintiff claimed that the Joint Venture Defendants were not acting in good faith in calling for tenders on the project, and used the competitive bidding process to obtain market information on the costs of building the project without a bona fide intention to proceed with the project -- HELD: Action allowed -- Damages were assessed in the amount of $300,000 -- There was a special relationship between both the Joint Venture Defendants and Morris on the one hand, and Hub on the other -- The duty of fairness between the Joint Venture Defendants and Hub arose even before the contractors submitted bids -- There was a duty to provide accurate information, and to provide the information necessary to the contractors to enable them to make an accurate bid -- Negligent misrepresentations found by the court included those of Morris that the plaintiff's bid was close to his estimate, and that he would advise the owner and get back Webber as soon as he got the "go ahead" -- Plaintiff relied on those representations -- Defendants' allegation of non-compliance with the bidding process was without merit -- In sum, the Joint Venture Defendants treated all the bidders, and in particular, the plaintiff, with callous indifference throughout the process, in breach of their duty of fairness to the bidders -- Plaintiff was entitled to be put in position in which it would have been had the statement not been made -- It was accepted that if there had been no negligent misrepresentation, the plaintiff would have submitted a bid on another specific project; that it would have been the low bidder; that it would have received the work; and that it would have made a profit -- In the circumstances, the plaintiff was entitled to damages in the amount of $300,000.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6" w:name="Counsel_25"/>
      <w:bookmarkEnd w:id="1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P.C.P. Behie.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Orca Estates Ltd., McColl Investments Co. Ltd. &amp; Christopher Estates Limited doing business as Rocky Point Joint Venture: C.E. Beveridge.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Leslie Allan Morris and Morris Engineering Ltd.: G.S.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7" w:name="Judgment_25"/>
      <w:bookmarkEnd w:id="157"/>
      <w:r>
        <w:pict>
          <v:line id="_x0000_s1143" style="position:absolute;z-index:2517872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INTRODUCTION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PROVISIONS OF "CONTRACT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CREDIBILITY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IV</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FINDINGS OF FACT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to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Fairness in Bidding Process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Hub Bid in Compliance?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Privilege Clause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Good Faith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VII</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THIRD-PARTY CLAIM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VIII</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8" w:name="A.F. WILSON J."/>
            <w:bookmarkEnd w:id="158"/>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 bid made by the plaintiff, Hub Excavating Ltd. ("Hub"), for clearing, excavating, and construction of services, sidewalks and roads for what was referred to as Phase 12 of the Rocky Point subdivision. The defendants, Orca Estates Ltd., McColl Investments Co. Ltd., and Christopher Estates Limited were the developers of the Rocky Point subdivision, and carried on business as Rocky Point Joint Venture (collectively referred to as "the Joint Venture Defendants"). The other defendants, Leslie Allan Morris and Morris Engineering Ltd., provided the engineering services for the subdivision, including preparing the tender documents and reviewing the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April, 2004, the Joint Venture Defendants, through the offices of Mr. Morris, invited a limited number of contractors, including Hub, to bid on work to be done on Phase 12. Hub submitted the low bid. However, none of the bids was accepted, and the project did not proceed. Ultimately, the Joint Venture Defendants sold the property to another party, which did develop a comparable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Hub claims damages against the Joint Venture Defendants for breach of contract and for negligent misstatement. It claims damages against Mr. Morris and Morris Engineering Ltd. for negligent misstatement. Hub submits that the Joint Venture Defendants were not acting in good faith in calling for tenders on the project, and used the competitive bidding process to obtain market information on the costs of building the project without any bona fide intention to proceed with the project: Further Amended Statement of Claim, paragraph 25. Hub thus submits that the Joint Venture Defendants breached their duty of good faith to it in the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respect to misrepresentations, paragraph 14 of the Further Amended Statement of Claim alleges: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Joint Venture Defendants</w:t>
      </w:r>
      <w:r>
        <w:rPr>
          <w:rFonts w:ascii="arial" w:eastAsia="arial" w:hAnsi="arial" w:cs="arial"/>
          <w:color w:val="000000"/>
          <w:sz w:val="20"/>
          <w:lang w:val="en-US" w:eastAsia="en-US" w:bidi="ar-SA"/>
        </w:rPr>
        <w:t xml:space="preserve">, through the </w:t>
      </w:r>
      <w:r>
        <w:rPr>
          <w:rFonts w:ascii="arial" w:eastAsia="arial" w:hAnsi="arial" w:cs="arial"/>
          <w:color w:val="000000"/>
          <w:sz w:val="20"/>
          <w:u w:val="single"/>
          <w:lang w:val="en-US" w:eastAsia="en-US" w:bidi="ar-SA"/>
        </w:rPr>
        <w:t>Defendant Engineer</w:t>
      </w:r>
      <w:r>
        <w:rPr>
          <w:rFonts w:ascii="arial" w:eastAsia="arial" w:hAnsi="arial" w:cs="arial"/>
          <w:color w:val="000000"/>
          <w:sz w:val="20"/>
          <w:lang w:val="en-US" w:eastAsia="en-US" w:bidi="ar-SA"/>
        </w:rPr>
        <w:t>, represented to the Plaintiff, expressly or implicitly, that: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Joint Venture Defendants</w:t>
      </w:r>
      <w:r>
        <w:rPr>
          <w:rFonts w:ascii="arial" w:eastAsia="arial" w:hAnsi="arial" w:cs="arial"/>
          <w:color w:val="000000"/>
          <w:sz w:val="20"/>
          <w:lang w:val="en-US" w:eastAsia="en-US" w:bidi="ar-SA"/>
        </w:rPr>
        <w:t xml:space="preserve"> had the financial ability and desire to carry out the Project;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budget had been prepared by the </w:t>
      </w:r>
      <w:r>
        <w:rPr>
          <w:rFonts w:ascii="arial" w:eastAsia="arial" w:hAnsi="arial" w:cs="arial"/>
          <w:color w:val="000000"/>
          <w:sz w:val="20"/>
          <w:u w:val="single"/>
          <w:lang w:val="en-US" w:eastAsia="en-US" w:bidi="ar-SA"/>
        </w:rPr>
        <w:t>Defendant Engineer</w:t>
      </w:r>
      <w:r>
        <w:rPr>
          <w:rFonts w:ascii="arial" w:eastAsia="arial" w:hAnsi="arial" w:cs="arial"/>
          <w:color w:val="000000"/>
          <w:sz w:val="20"/>
          <w:lang w:val="en-US" w:eastAsia="en-US" w:bidi="ar-SA"/>
        </w:rPr>
        <w:t xml:space="preserve"> and had been accepted by the </w:t>
      </w:r>
      <w:r>
        <w:rPr>
          <w:rFonts w:ascii="arial" w:eastAsia="arial" w:hAnsi="arial" w:cs="arial"/>
          <w:color w:val="000000"/>
          <w:sz w:val="20"/>
          <w:u w:val="single"/>
          <w:lang w:val="en-US" w:eastAsia="en-US" w:bidi="ar-SA"/>
        </w:rPr>
        <w:t>Joint Venture Defendants</w:t>
      </w:r>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Joint Venture Defendants</w:t>
      </w:r>
      <w:r>
        <w:rPr>
          <w:rFonts w:ascii="arial" w:eastAsia="arial" w:hAnsi="arial" w:cs="arial"/>
          <w:color w:val="000000"/>
          <w:sz w:val="20"/>
          <w:lang w:val="en-US" w:eastAsia="en-US" w:bidi="ar-SA"/>
        </w:rPr>
        <w:t xml:space="preserve"> would proceed with the Project if the bids were within the range of the </w:t>
      </w:r>
      <w:r>
        <w:rPr>
          <w:rFonts w:ascii="arial" w:eastAsia="arial" w:hAnsi="arial" w:cs="arial"/>
          <w:color w:val="000000"/>
          <w:sz w:val="20"/>
          <w:u w:val="single"/>
          <w:lang w:val="en-US" w:eastAsia="en-US" w:bidi="ar-SA"/>
        </w:rPr>
        <w:t>Defendant Engineer's</w:t>
      </w:r>
      <w:r>
        <w:rPr>
          <w:rFonts w:ascii="arial" w:eastAsia="arial" w:hAnsi="arial" w:cs="arial"/>
          <w:color w:val="000000"/>
          <w:sz w:val="20"/>
          <w:lang w:val="en-US" w:eastAsia="en-US" w:bidi="ar-SA"/>
        </w:rPr>
        <w:t xml:space="preserve"> budget based on industry standards;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Joint Venture Defendants</w:t>
      </w:r>
      <w:r>
        <w:rPr>
          <w:rFonts w:ascii="arial" w:eastAsia="arial" w:hAnsi="arial" w:cs="arial"/>
          <w:color w:val="000000"/>
          <w:sz w:val="20"/>
          <w:lang w:val="en-US" w:eastAsia="en-US" w:bidi="ar-SA"/>
        </w:rPr>
        <w:t xml:space="preserve"> would promptly advise any bidders if a </w:t>
      </w:r>
      <w:r>
        <w:rPr>
          <w:rFonts w:ascii="arial" w:eastAsia="arial" w:hAnsi="arial" w:cs="arial"/>
          <w:color w:val="000000"/>
          <w:sz w:val="20"/>
          <w:u w:val="single"/>
          <w:lang w:val="en-US" w:eastAsia="en-US" w:bidi="ar-SA"/>
        </w:rPr>
        <w:t>tender was determined to be not compliant</w:t>
      </w:r>
      <w:r>
        <w:rPr>
          <w:rFonts w:ascii="arial" w:eastAsia="arial" w:hAnsi="arial" w:cs="arial"/>
          <w:color w:val="000000"/>
          <w:sz w:val="20"/>
          <w:lang w:val="en-US" w:eastAsia="en-US" w:bidi="ar-SA"/>
        </w:rPr>
        <w:t xml:space="preserve"> with the Tender Documents;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Joint Venture Defendants</w:t>
      </w:r>
      <w:r>
        <w:rPr>
          <w:rFonts w:ascii="arial" w:eastAsia="arial" w:hAnsi="arial" w:cs="arial"/>
          <w:color w:val="000000"/>
          <w:sz w:val="20"/>
          <w:lang w:val="en-US" w:eastAsia="en-US" w:bidi="ar-SA"/>
        </w:rPr>
        <w:t xml:space="preserve"> would promptly award the contract or the Project to the lowest compliant bidder.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 19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to May 27, 2004, (the deadline for submissions on the Competing Project) and after the Plaintiff submitted its tender in the Project, the Defendants, through the </w:t>
      </w:r>
      <w:r>
        <w:rPr>
          <w:rFonts w:ascii="arial" w:eastAsia="arial" w:hAnsi="arial" w:cs="arial"/>
          <w:color w:val="000000"/>
          <w:sz w:val="20"/>
          <w:u w:val="single"/>
          <w:lang w:val="en-US" w:eastAsia="en-US" w:bidi="ar-SA"/>
        </w:rPr>
        <w:t>Defendant Engineer</w:t>
      </w:r>
      <w:r>
        <w:rPr>
          <w:rFonts w:ascii="arial" w:eastAsia="arial" w:hAnsi="arial" w:cs="arial"/>
          <w:color w:val="000000"/>
          <w:sz w:val="20"/>
          <w:lang w:val="en-US" w:eastAsia="en-US" w:bidi="ar-SA"/>
        </w:rPr>
        <w:t>, made the following representations: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bid was the lowest of the three submitted bids on the Project;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Plaintiff's bid was "very close" to the </w:t>
      </w:r>
      <w:r>
        <w:rPr>
          <w:rFonts w:ascii="arial" w:eastAsia="arial" w:hAnsi="arial" w:cs="arial"/>
          <w:color w:val="000000"/>
          <w:sz w:val="20"/>
          <w:u w:val="single"/>
          <w:lang w:val="en-US" w:eastAsia="en-US" w:bidi="ar-SA"/>
        </w:rPr>
        <w:t>Defendant Engineer's</w:t>
      </w:r>
      <w:r>
        <w:rPr>
          <w:rFonts w:ascii="arial" w:eastAsia="arial" w:hAnsi="arial" w:cs="arial"/>
          <w:color w:val="000000"/>
          <w:sz w:val="20"/>
          <w:lang w:val="en-US" w:eastAsia="en-US" w:bidi="ar-SA"/>
        </w:rPr>
        <w:t xml:space="preserve"> budget for the Project;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bid was "in order,"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color w:val="000000"/>
          <w:sz w:val="20"/>
          <w:u w:val="single"/>
          <w:lang w:val="en-US" w:eastAsia="en-US" w:bidi="ar-SA"/>
        </w:rPr>
        <w:t>Joint Venture Defendants</w:t>
      </w:r>
      <w:r>
        <w:rPr>
          <w:rFonts w:ascii="arial" w:eastAsia="arial" w:hAnsi="arial" w:cs="arial"/>
          <w:color w:val="000000"/>
          <w:sz w:val="20"/>
          <w:lang w:val="en-US" w:eastAsia="en-US" w:bidi="ar-SA"/>
        </w:rPr>
        <w:t xml:space="preserve"> would award the contract in respect to the Project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Hub alleges that those representations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 21 of the Further Amended Statement of Claim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Engineer was negligent in making the representations set out in paragraph 14 and 19 above the particulars of which are that he failed to: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whether the Joint Venture Defendants had the financial ability and desire to carry out the Project;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with the Joint Venture Defendants that they had accepted the budget which he had prepared;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whether the Joint Venture Defendants were prepared to promptly advise any bidders if a tender was not compliant with the Tender Documents;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whether the Joint Venture Defendants would promptly award the contract for the Project;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Joint Venture Defendants of the Competing Project and its reliance on the representations made to it by the Defendant Engineer;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Joint Venture Defendants that the Defendant Engineer had told the Plaintiff that its bid was 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Hub says that it relied on those representations, and, on the basis of that reliance did not submit a bid on another job, referred to as the "Comox C" project. As a result, Hub alleges it sustained a loss of profits of between $200,000 and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their Amended Statement of Defence, the Joint Venture Defendants deny that they breached their duty to treat the bidders, including Hub, fairly. They allege that the bid submitted by Hub was non-compliant. They also rely on the privilege clause, and say the decision not to proceed was made in good faith and for valid economic reasons. They deny any misrepresentations, as does Mr. Morris and Morris Engineering Ltd. in their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event they are found to be liable, the Joint Venture Defendants' claim against Mr. Morris and Morris Engineering Ltd., as third parties, on the basis that any representations by Mr. Morris were outside the scope of his authority as their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Provisions of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contract documents for the Rocky Point Phase 12 subdivision work were prepared by Morris Engineering Ltd. They consist of the tender documents and a series of drawings. The Instructions to Tenderers stated that tenders would be accepted by the Rocky Point Joint Venture up to 2 p.m. on May 14, 2004. Other relevant provisions of the Instructions to Tenderers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w:t>
      </w:r>
      <w:r>
        <w:rPr>
          <w:rFonts w:ascii="arial" w:eastAsia="arial" w:hAnsi="arial" w:cs="arial"/>
          <w:color w:val="000000"/>
          <w:sz w:val="20"/>
          <w:u w:val="single"/>
          <w:lang w:val="en-US" w:eastAsia="en-US" w:bidi="ar-SA"/>
        </w:rPr>
        <w:t>Tender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tender price for this section shall be "LUMP SUM." The tender break down as shown in the Tender Form is to assist in the preparation of progress draws, if any, and is NOT intended as a complete description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Commencement of the work, as per this tender price shall be carried out immediately upon a "Notice of Award" provided by the Owner's within the 60 day period the tender is valid. The "Notice to Proceed" shall be issued immediately upon the Contractor providing the necessary Documentation as outlined elsewhere in this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price tendered shall include the supply of all materials except those specified to be supplied by others, all supervision, labour and equipment, and a provision for overhead and profit, and shall represent the entire cost to the Owner for the completed works as specified and/or as shown on the drawings.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"Total Tender" price shall be the price for all work to be completed under this contract, as shown on the approved plan or as required by the City of Nanaimo in accordance with current City of Nanaimo "Manual of Engineering Standards and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Under the heading "MEASUREMENT AND PAYMENT" the contract documents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is intended as a guide to the work and materials required under this contract and is NOT intended as a definitive description of the work required. This contract is a Lump Sum Contract and all work covered by the plans and specifications shall be included.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02100 CLEARING AND GRUBBING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02100-1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Clearing and Grubbing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work shall include supply of materials, clearing, grubbing, off-site disposal and all work incidental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specified elsewhere, road works shall be cleared to property line plus sufficient additional clearing to facilitate installation of service connections. The area to be cleared within easements shall only be sufficient for the expedient progress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2200 SUB-GRADE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02200-1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Common Excavation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work shall include excavation, hauling on or off site, stockpiling of topsoil and/or suitable road fill material, disposal and levelling, if necessary, of waste or surplus excavated material, proof rolling, maintenance during the guarantee period and all work incidental thereto.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02200-3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Rock Excavation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Payment for rock excavation will be made at the Lump Sum shown in the Tender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work shall include drilling and blasting, excavation, hauling, disposal of waste excavated material, over break, and all work incidental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additional payment will be made to repair damage as a result of rock excavation.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17000 MISCELLANEOUS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17000-5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Engineered Fill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work shall include clearing and grubbing, excavation to suitable base, supply and placement of suitable fill materials, compaction, Geotechnical Inspection and certification, maintenance during the guarantee period and all work incidental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the heading "TENDER FORM," the contract documents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also agrees: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Owner is in no way obligated to accept this or any other tender or specific parts of this tender.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should the Tender Form be improperly completed or be incomplete, the Owner shall have the right to disqualify and/or reject this tender.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tender is irrevocable for sixty (60) days after the closing date for the receipt of tenders and that the Owner may at any time within such period accept this tender whether or not Notice or award to another tenderer has been given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paragraph 7 of the Tender Form provided for a period within which the work was to be completed, the number of days was left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Under the heading "SUPPLEMENTARY GENERAL CONDITIONS" was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waste and excess material within the proposed right-of-way for the subdivision shall be removed from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Notwithstanding Supplementary General Condition 9, stating that, "all waste and excess material" was to be removed from the site, one of the notes on the Site and Location Plan, which formed part of the contract documents, stated "NOTE: LOTS 25-27 REQUIRE ENGINEERED FILL." On cross-examination, Mr. Morris thus agreed that paragraph 9 of the Supplementary General Conditions should properly have been amended to read "All waste and material excess </w:t>
      </w:r>
      <w:r>
        <w:rPr>
          <w:rFonts w:ascii="arial" w:eastAsia="arial" w:hAnsi="arial" w:cs="arial"/>
          <w:color w:val="000000"/>
          <w:sz w:val="20"/>
          <w:u w:val="single"/>
          <w:lang w:val="en-US" w:eastAsia="en-US" w:bidi="ar-SA"/>
        </w:rPr>
        <w:t>to the job requirement</w:t>
      </w:r>
      <w:r>
        <w:rPr>
          <w:rFonts w:ascii="arial" w:eastAsia="arial" w:hAnsi="arial" w:cs="arial"/>
          <w:color w:val="000000"/>
          <w:sz w:val="20"/>
          <w:lang w:val="en-US" w:eastAsia="en-US" w:bidi="ar-SA"/>
        </w:rPr>
        <w:t xml:space="preserve"> ... shall be removed from the site." It was anticipated that the "engineered fill" required for lots 25 to 27 would come from the rock excavated for the road rights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Article 9 of the General Conditions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Engineer's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Engineer will be the Owner's representative during the construction period and until completion of any correction of defects under the provision of Article 31, </w:t>
      </w:r>
      <w:r>
        <w:rPr>
          <w:rFonts w:ascii="arial" w:eastAsia="arial" w:hAnsi="arial" w:cs="arial"/>
          <w:color w:val="000000"/>
          <w:sz w:val="20"/>
          <w:u w:val="single"/>
          <w:lang w:val="en-US" w:eastAsia="en-US" w:bidi="ar-SA"/>
        </w:rPr>
        <w:t>Guarantee Period</w:t>
      </w:r>
      <w:r>
        <w:rPr>
          <w:rFonts w:ascii="arial" w:eastAsia="arial" w:hAnsi="arial" w:cs="arial"/>
          <w:color w:val="000000"/>
          <w:sz w:val="20"/>
          <w:lang w:val="en-US" w:eastAsia="en-US" w:bidi="ar-SA"/>
        </w:rPr>
        <w:t>, or until the issuance of the Notice of Acceptance, whichever is later. He will have authority to act on behalf of the Owner only to the extent expressly provided in the Contract Documents or otherwise in writing. The engineer will have the authority to stop the work whenever such stoppage may be necessary, in his opinion, to ensure the proper execution of the work in accordance with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were six addenda issued to the contract documents in the period from April 29th to May 19th. The ones relevant to this action are addendum 1 and addendum 3. Addendum 1 provided: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Reference Item 6 of the Tender Form. The Owner has elected to reduce the "irrevocable period from sixty (60) days to thirty (30) days.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Reference Item 9 of the "Supplementary General Conditions." As an alternative, and at the Owner's discretion, excess rock may be stockpiled at the South end of McColl Way. This alternative will ONLY be for material suitable for engineered fill. All UN-suitable material shall be removed from the site. As part of the tendered package, the Contractor is requested to provide a qualifying letter indicating a Lump Sum reduction to the bid price if suitable material is stockpiled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Addendum 3, in paragraph 7, provided:</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Lots 28, 29 and 30 are to be stripped of existing organics and the existing material stockpile shown on the plans to be evenly distributed over the lots as engineered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Mr. Morris said his practise was to issue addenda to clarify questions raised by tenders, he said that the Addendum 1 was issued at the specific request of the owners. No explanation was given why the owners wished to reduce the irrevocable period from 60 days to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Generally I preferred the evidence on behalf of Hub to that on behalf of the defendants. I found the witnesses for Hub, particularly Mr. Webber, to be precise and forthright in his evidence, which was generally supported by documents. The only area in which he was shaken in cross-examination related to his conversation with Mr. Morris on May 21, 2004. In his direct examination, he said that Mr. Morris phoned him, was congratulatory in tone, told him that they were low, that he had gone through the tenders and that they were all in order, and that the Hub was "close to his estimate." That wording is reflected in his notes of the telephone conversation, made contemporaneously. However, in cross-examination, he said Mr. Morris used the words "on budget" and that Mr. Morris said "the estimates were right on his budget." He agreed that was different from what he wrote in his notes, although said "being close to the engineer's estimate" and "close to the budget" were the same to him. Later in cross-examination, in giving evidence about his telephone discussion with Mr. Morris after addendum no. 1 was provided, he agreed that he did not remember precisely what was said, and that his notes do jog his memory about what was discussed. He agreed with evidence given on his examination for discovery that he does not recall the specific words used, apart from what is in his notes. Although that evidence does indicate some difficulty in remembering events precisely, I consider it, in fact, supports his credibility, in that he is not asserting facts which he can no longer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witnesses called on behalf of the Joint Venture, Defendants, on the other hand, were often vague, and their evidence was often unsupported by documents. In particular, their evidence was sadly lacking with respect to two particular events: the process they went through in deciding to put the job out for tender, and how, and when, they decided not proceed with the project. I will comment further on both of those matters. At this point, I note only that although all representatives of the Joint Venture Defendants who gave evidence denied that a decision not to proceed was made at the May 28th meeting (although Mr. McColl had said in his examination for discovery that the decision was made at that meeting), none gave evidence of when or how the final decision not to proceed was made, apart from Mr. McColl saying it was made in the third week of June. He said he "probably" told Mr. Morris of the decision on June 21st. Mr. McColl was also extremely vague about delivery of Mr. Morris' revised estimate of May 3rd, 2004, to the other members of the Joint Venture. He said, according to my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have sent any significant documents to all the partners. I would have faxed, and done a telephone follow up. I can't remember who 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does not accord with the evidence of the other members of the Joint Venture, who do not recall receiving the revised estimate, much less a follow up to discuss it,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thus generally prefer the evidence of the witnesses for the plaintiff to those of the witnesses for the Joint Venture Defendants. In fact, I consider much of their evidence to be unreliable. I did, however, consider the evidence of Mr. Morris generally to be reliable. He was certainly willing to make admissions against interest, including that he "must have been brain dead" when he gave the oral estimate. Mr. Morris did not recall all of the significant events. However, when he did not, he was not reluctant to say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Hub is based in Nanaimo, and was formed in 1980. It is in the business of supplying and installing underground utilities, excavations and road works. Mr. Webber is its president, and Mr. Janzen its senior estimator and project manager. In 2004, it had a staff of about seven, and an outside crew which varied from between 12 and 35 people. In that year it completed eight projects, with total revenue of approximately 4.5 million dollars. Its income had increased from 3.5 million dollars in 2003, and Mr. Webber hoped that it was heading toward its previous peak revenue of from 6 to 7 million dollars. Its work is approximately 80% public, and 20% private. It had previously bid on seven other projects in the Rocky Point subdivision, but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Rocky Point Joint Venture is a joint venture of Orca Estates Ltd., which holds a 50% interest; McColl Investments Co Ltd., which holds a 25% interest; and Christopher Estates Ltd., which holds a 25% interest. The Joint Venture Defendants were the developers of a multi-phase bare land subdivision development in Nanaimo known as Rocky Point. The development was started in about 1998, and more than 12 phases had been carried out by 2004. Until 2000, construction of the various phases was supervised by representatives of Orca, and, in particular, Mr. Gerald Hartwig as project manager, and Mr. George Banning as its representative on site. Mr. Leslie Morris was the engineer throughout, through Webber Engineering until 1997, then through his own company, Morris Engineering Ltd., since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about 2000, there was a dispute involving Mr. Banning, as a result of which he ceased his involvement with Rocky Point, although still maintaining an interest in Orca. At that time, the Joint Venture members agreed to each take turns assuming responsibility for project management of a phase. Mr. Hartwig acted as project manager for the next phase, then Christopher Estates took over as the project manager for the next phase, ultimately known as Phase 13 (which proceeded before Phase 12). The principals of Christopher Estates were Mr. Gordon Denford and his son, Mr. Christopher Denford. They managed the next phase through a related company, Denford Construction Management Ltd., also involving their construction manager, Mr. Bill Bomhof.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it took responsibility for the next phase, Christopher Estates, and in particular Mr. Christopher Denford, considered a number of options. In the course of that process, Mr. Christopher Denford obtained a number of estimates from Mr. Morris. Included was an estimate dated June 27, 2002, for the remaining seven lots in phase 9, with an estimated cost of approximately $30,000 per lot. An estimate was also provided for 17 lots in Phase 12, at an approximate cost of $20,000 per lot. In that estimate, Mr. Morris noted that he had increased his unit prices after the last tender in phase 9, but that the estimates were still approximate. By November 8, 2002, he had a preliminary layout approval plan for Phase 12. At that time, he gave an estimate for the cost of construction for 29 lots in Phase 12 of $825,000 (or approximately $28,500 per lot). In that facsimile, he noted that the original estimate for the 17 lots in Phase 12 was "probably low," and that he did "not have a very good handle" on the amount of rock involved. By further telefax dated November 19, 2002, he noted again, that "rock quantities are the big problem," but reiterated his estimate for 29 lots of $823,900, which should not change substantially if only 28 lots or 18 lots were developed. He also provided an estimate for Phase 13, for 24 lots, of $576,000 (or $24,000 per lot). He indicated that he was fairly confident that Phase 13 would be more economical to build than Phase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decision was thus made by the Joint Venture to proceed with Phase 13, and defer Phase 12. As had been the practise in the past, the work was put out for tender by invitation, rather than public tender call. The low bid was Hazelwood Construction Services Inc., at $469,797, approximately $19,600 per lot, and slightly more than $100,000 less than Mr. Morris' estimate of November 19, 2002. Tenders closed on February 21st, 2003, and the contract was awarded to Hazelwood on February 25th. Hub also bid on that job, but was the third lowest of the six bidders. The ultimate cost of construction for Phase 13, including an extra which was disputed by Mr. Hartwig and Mr. McColl, but ultimately paid by Christopher Estates, was $488,640, or approximately $20,000 per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McColl Investments then took over the management of the next phase, through its representative Mr. McColl. The evidence on behalf of the Joint Venture Defendants became very vague at this point as to how the decision was made to put Phase 12 out for tenders. What was established is that Mr. Morris did given Mr. McColl an oral estimate of the cost of construction of a 30 lot subdivision in the amount of either $600,000 or $650,000. As noted above, Mr. Morris conceded in cross-examination that he "must have been brain dead" when he gave that estimate. He said that he was obviously off considerably, that there was no way that it could be done for $600,000, that that was "not even in the realm." As sophisticated and experienced developers, that should have been known to the Joint Venture Defendants, if they had used reasonable diligence, particularly in light of the previous estimates for Phase 12 provided to them. Mr. Morris said that he was "probably asked to give an estimate, and said that it was around that," and then worked it out, and came up with the estimate of $950,000. He said, "I knew I should never have given a guess cost ..., and that giving the Joint Venture an oral estimate was wrong." It also seems to be inconsistent with his previous practice of providing written "Opinions of Cost." He considered that the written estimate of $950,000, sent by facsimile on May 3rd, 2004, "superceded" the oral estimate. However, by that time the job had already gone out to tender to the six invited bidders. They picked up the tender package some time in the later part of April. In fact, by the time of the written estimate, Addendum 1 had already been issued, according to Mr. Morris on specific instructions from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Why the Joint Venture Defendants went to tender on the job, based on an oral estimate, is unclear. That is particularly so when the Joint Venture Defendants had been provided an Opinion of Costs in writing in June, 2002, estimating the cost for a 29 lot Phase 12 to be $850,000. Even that estimate had significant qualifications: the trench rock excavation is stated to be an estimate only, with no field investigation, and the covering telefax expresses concern about the quantity of the rock involved. Those costs and uncertainties appear to be the primary reason the Joint Venture Defendants proceeded with Phase 13 before Phase 12. I do not accept that Mr. McColl, as the project manager on Phase 12, would have been unaware of that. The evidence of all of the members of the Joint Venture is that decisions were made jointly, so Mr. McColl would have been involved in the discussions leading to the decision to proceed with Phase 13 first. Mr. McColl stated that before 2004 any plans were "very rough, without a complete package, and thus nothing to have confidence in." However, that is not correct. As stated in Mr. Morris' telefax of November 8, 2002, it was based on a plan dated October 30, 2002, which had received preliminary layout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evidence, Mr. McColl indicated no discussion with the other members of the Joint Venture with respect to the decision to go to tenders on Phase 12. He said only that he told the Joint Venture partners that it was worth going to tender, and moving along with the process; that they had a package ready for tender; that the partners approved the layout; that they had preliminary approval from the City, apart from some fine tuning; and that they had an oral estimate from Mr. Morris of $650,000. He said that in preparing Phase 12, he did not use the documents from the previous phases because they were "quite old, in a different market." However, to suggest that the cost may have significantly dropped over that period is not credible. Mr. McColl did not even know when Phase 12 was sent to tender, saying that it was "probably some time in April," although could have been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decision to proceed to tender is particularly surprising in light of the evidence of Mr. Gerald Denford and Mr. Christopher Denford. Mr. Gerald Denford also suggested that the estimate for Phase 12 was conceptual "in absence of detailed drawings," which is not correct. However, he was aware that there was more rock involved in Phase 12 than in Phase 13. He said the amount of rock did make him apprehensive about proceeding with Phase 12 when they were considering the issue in 2002. However, he said that when it came around again in 2004, he was not apprehensive, based on Mr. Morris' estimate of $650,000. That makes absolutely no sense, in light of the $825,000 estimate in 2002 and the uncertainty as to the quantity of rock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Christopher Denford added nothing to how the decision to go to tenders was made. He said that after Phase 13 he stepped back, Mr. McColl dealt with the consultants, and that, although he was "informed occasionally," the next meeting took place at Mr. Hartwig's office about one week after the tenders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of Mr. Hartwig also added nothing to how the decision was made to proceed to tender. He said that he had little involvement in Phase 12, that Phase 12 was for Mr. McColl to run, to get bids and to make recommendations to the partners. He said that he was "pretty sure" that all of the partners had the oral estimate and that they decided to proceed. However, he did not know if the estimate was for $600,000 or $650,000. He did know that it was oral, and not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those circumstances, I do not accept that Phase 12 was put out for tenders based on any bona fide belief on the part of the Joint Venture Defendants that the bids would come in at, or less than, the amount of the oral estimate provided by Mr. Morris. I base that conclusion on Mr. Morris' statement that the estimate was "not even in the realm" of the realistic cost; the fact that the Joint Venture Defendants had a written estimate for developing 29 lots in that subdivision in November, 2002, of $825,000, and the fact, known to all members of the Joint Venture, that there was considerably more rock, and thus more expense, in Phase 12 than there had been in Phase 13. I thus conclude that in putting Phase 12 out to tenders, the Joint Venture Defendants were "bid shopping," seeking to determine what the costs of construction would be without having a realistic expectation that the price would be one which would make the project economically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any event, when Mr. Morris provided his written opinion of costs on May 3, 2004, that should have indicated to the Joint Venture Defendants, if any analysis was done, that the project was likely not economically feasible. However, it is very unclear what happened with that written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McColl did recall receiving it, although said he did not request it. He said he went through it, but that the project was out to tender, and there "could be a wide range of prices from the tenderers." He said he was "pretty sure" that he talked to Mr. Morris about it, but Mr. Morris has no recollection of that, nor is there any record of it. He said, "I would have sent any significant documents to all the partners ... I would have faxed it out, with a telephone follow up." However, he could not remember who he sent it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his examination for discovery, Mr. Gordon Denford said that he did not recall seeing the May 3, 2004, estimate, that he vaguely recalled being told about it. He said that after his examination for discovery, he discussed it with his son and Mr. Bomhof, and it was likely after the tenders closed that he became 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Christopher Denford said that he did not think he saw the letter from Mr. Morris of May 3, 2004, until the litigation had been commenced, although he said that he was aware that Mr. Morris had revised his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Hartwig also did not acknowledge receipt of Mr. Morris' revised estimate. He said that he did not talk to Mr. Morris about it, that Mr. McColl, as the project manager, "would likely talk to Mr.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approach of the Joint Venture Defendants to the revised estimate appears to be as expressed by Mr. McColl: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made no difference to the tender; we still hoped to get good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Morris said he did not hear back from any of the Joint Venture Defendants after he sent the revised budget. He was not told at any time before the close of the tenders that the Joint Venture Defendants had no appetite to proceed at a cost of $950,000, or that they were waiting for the bid results in the hope that the oral estimate was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people who were experienced and sophisticated land developers, that approach appears incredibly naive. My conclusion about the decision to continue with the tendering process is consistent with my conclusion about the decision to put it out for tender in the first place: that it was done in the "hope" that there would be a low price, but without any realistic expectation that there would be a bid such as to make the project economically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fact, the tendering process did proceed, with further addenda issued on May 4, May 6, May 10, May 17, and May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bids closed on May 21, 2004. Of the six contractors invited to submit tenders, three did so,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Hub Excavating Ltd., $1,080,914, with a 150-day construction period;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Knappett Industries Ltd., $1,141,058, with 155 days to complete;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Fournier Excavating Ltd., $1,327,175, with 150 days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Morris was not at his office at the time set for closing, 2:00 p.m., but did open the three bids some time later that afternoon. He phoned Mr. Webber to apologize about not being at his office at the time for closing. Mr. Morris had no recollection of that telephone discussion, although confirmed that he did probably contact Mr. Webber to make that apology. He did not recall any other part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accept that the notes made by Mr. Webber at the time do reflect the substance of that discussion. In particular, I accept that Mr. Morris told Mr. Webber that "all tenders (are) in order"; that the Hub bid was "close to the engineer's estimate," and that he would contact and advise the owner, and would get back to Mr. Webber "as soon as he got the go ahead." In his direct examination, with respect to being "close to the engineer's estimate," Mr. Morris said his opinion of the likely cost was $950,000, the Hub bid was $1,080,000, and that he thought he did "pretty good" to come that close, considering the amount of rock. That may particularly be so when he did his estimate based on 3,465 cubic metres of rock to be excavated, whereas the actual quantity of rock was something in excess of 12,000 cubic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bid submitted by the plaintiff included a covering letter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point 2 of Addendum 1, we are unaware of quantity volumes of "UN-suitable" materials other than clearing debris and as a result have not allowed for removal from the site of any materials other than the clearing debris.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of the opinion that, if the owner is willing, the "excess" materials to the construction of the works can be used for engineered fill, lot grading, and stockpiling for the future development of McColl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owner requires any materials other than clearing debris to be removed from the site it would have to be done on a cost plus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Webber says that was provided following a discussion with Mr. Morris during the tender period about using the rock, which was to be excavated, on site as fill on some of the lots, rather than removing it from site. As noted, the plan did provide for the use of engineered fill on Lots 25 to 27 and also for fill to be used on Lots 28 to 30. Mr. Webber did calculations on the amount of rock to be excavated, and also discussed the quantity with the blaster. Both concluded the total quantity was approximately 13,000 cubic metres, of which 1,000 cubic metres could used to backfill trenches, leaving 12,000 cubic metres on site as surplus materials. However, he proposed, rather than hauling that material off site, that he would raise the level of the building sites higher than the minimum provided, and thus use that excess rock. He concluded that if he could avoid the cost of removing the rock from the site that would also benefit the owner, in that he would be able to provide a lower price. Mr. Webber said that, after discussing this with the head of the inspection department of the City, he discussed it with Mr. Morris. Although he did not know the date that conversation took place, he said it was after Addendum No.1 was issued. He said that Mr. Morris agreed with that approach. Mr. Morris also agreed that, based on that approach, there would not be a cost for removing the material from site. The owner would therefore not be entitled to a credit under paragraph 2 of Addendum 1, in the event suitable material was stockpiled on site. Mr. Webber said that he and Mr. Morris did not discuss the quantities of rock involved at that time. Although Mr. Morris does not recall this discussion, he does not deny it. I accept that it occurred, substantially in the terms set out by Mr. Webber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Morris did report to the Joint Venture Defendants by telefaxed letter dated May 21, 2004, regarding the results of the tenders. As well as setting out the contract amounts and construction periods, as set out above,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contractor provided a qualifying letter regarding the savings if selected suitable materials were stock piled on site. These letters are attached. Any savings noted in the letters are to be deducted from the above contract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Hub Excavating Ltd.</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$1,080,914.00 - NIL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$1,080,914.00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Knappett Industries Ltd.</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$1,141,058.70 - ($30,000 to $39,000) = $1,141,058.70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4183"/>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Fournier Excavating</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$1,327,174.97 - $200,000.00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Ltd.</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$1,127,174.97</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estimate was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$950,000.00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draft "Notice of Award" is included for your convenience. Please type on your letterhead and forward to the Contractor of your choice with a copy to this office. Please remember that the irrevocable period was reduced to 30 days from tender close.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Hub Excavating's letter, I can understand where a considerable amount of suitable and UN-suitable material can be utilized in dressing up lots and otherwise improving the property, but I am not sure it is feasible to use ALL the "excess" material. I would recommend that prior to issuing Award that this matter be further discussed with Dave Webber, to determine their exact plans.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require any clarification regarding the above, please call to discuss.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did not hear anything further from the Joint Venture partners, nor were there any further discussions with Mr. Webber, as recommended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next area in which the evidence on behalf of the Joint Venture Defendants is unsatisfactory is when the decision was made not to proceed with Phase 12, and how that decision was arrived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Mr. Morris sent his reporting letter of May 21, 2004, with the review of the bids, Mr. McColl says he went through that letter and the attached letter from each of the contractors who submitted a bid. He said the letter was "disappointing" in terms of the numbers. He said he discussed it briefly with the other members of the Joint Venture, and all were "unhappy" about the price. He arranged a meeting for May 28, in Mr. Hartwig's office, as he expressed it, "to decide if to proceed, and what we were going to do with the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Gordon Denford said that he was informed of the bidders and the amounts, but did not recall if his office had received Mr. Morris' letter of May 21. With respect to the attached letter from Hub, he said he saw that only some time after the tenders had closed. He said he did discuss the bids with Mr. McColl on the phone after the tenders were received, but that "it wasn't a top focus as the financial viability made it almost academic." He said he discussed the matter with his son and Mr. Bomhof, and, although no decision was made at that time, concluded that it was imprudent from a business standpoint to proceed. Mr. Denford said that he did not do a written analysis of the profitability of Phase 12, but that he could do it in his head. He said he did do such an analysis himself, which was noted on pieces of paper (which were not produced). As he did not attend the meeting on May 28, that was presumably done before that meeting. His conclusion, based on that analysis, was that Phase 12 was not economically viable with the bids provided for the cost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Christopher Denford said that he was "surprised" that the prices were significantly over what he thought they would be - but said that he had not received the revised estimate from Mr. Morris, of May 3, 2004,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Hartwig also did not recall, but said that he could have received a copy of the May 21 letter from Mr. Morris. Mr. Hartwig said that the results of the bidding, as set out in the May 21 letter, were "even worse than I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time between the closing of tenders on May 21, and the meeting of the Joint Venture partners on May 28, there were a number of other developments. First, on May 25, the tenders closed on another job on which the plaintiff had bid, referred to as "Comox B." As it was the low bidder, there was every expectation that it would be awarded that job (as it was on June 4, 2004). That was the first of two phases on a road reconstruction job in Comox. Tenders closed on the second phase on May 28, 2004. The plaintiff had planned to bid on that phase as well, and, as the low bidder on "Comox B" had a high expectation that it would be the low bidder on "Comox C." However, its work force was such that it could properly handle only two of the three jobs. It was thus on the horns of a dilemma: if it put in a bid on "Comox C", and was successful, it would have more work than it could effectively carry out; if it did not do so, and was not awarded Rocky Point Phase 12, it would only have the "Comox B" job and would be working at considerably less than capacity. It was thus anxious to determine if it would be awarded the work on Phase 12, as the low bidder. If so, then it would not submit a bid on "Comox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a result of this, on May 26, Mr. Janzen phoned Mr. Morris. I accept as his evidence that the telephone discussion was substantially as he related. He said that he told Mr. Morris of the urgency for Hub to know what was happening to Phase 12, so they would know what to do with respect to the bid on "Comox C." He told Mr. Morris that Hub was not likely to be able to complete all three of the jobs on time. Mr. Morris told him that the Hub bid seemed to be in order, so he could see no reason why it would not proceed. However, he said that he had not heard from the owners and that he had not been able to contact them. He thus provided the telephone numbers for Mr. Hartwig and Mr. McColl to Mr. Janzen and suggested that Mr. Janzen contact them directly. In fact, Mr. Morris gave no evidence of attempting to contact any of the members of the Joint Venture after providing his letter of May 21, nor of receiving any communication from them before the May 28th meeting. He did say that he telephoned and left a message for Mr. Hartwig that Hub had another bid pending, "around May 26th." That was presumably the result of the telephone call from Mr. Janzen. Mr. Morris said that he believed that he had left a message with Mr. Hartwig that Hub had a competing bid on "Comox C," that it would have to forgo that, and was thus anxious to hear back about the bid. He did not believe that he heard back from Mr. Hartwig. Mr. Hartwig does not acknowledge receiving that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Janzen also attempted to contact both Mr. Hartwig and Mr. McColl on May 26, after talking to Mr. Morris, but without success. However, he tried again on May 27, and was successful in contacting Mr. Hartwig. Mr. Janzen made a note of that conversation. Mr. Janzen said it was unusual to speak directly to the owner where the owner was represented by an engineer, but he did so as a "last resort," as a result of the urgency of knowing what was going to happen with the Phase 12 development. He said his purpose in phoning was to try to determine if the Joint Venture Defendants would award the contract, so Hub could determine what to do with the other work. He thus says that he explained Hub's predicament to Mr. Hartwig, and asked what the intention of the owners was. Mr. Janzen says that Mr. Hartwig told him he was not able to provide any answers, that the owners would be meeting next week to decide. On his note of the conversation Mr. Janzen said Mr. Hartwig was "non-committal." The note indicates that Mr. Hartwig then asked about taking peat out of the back of the lots on the low side of Ney, to create space for surplus rock, but that Mr. Janzen indicated their price was to leave the rock on the site. In his evidence, Mr. Janzen said that Mr. Hartwig asked the specifics of the project with respect to the surplus rock and overburden, and the intentions of Hub with respect to it. Mr. Janzen said that he told him that it was summarized in the letter, that the rock could be dealt with onsite, and there was no provision to take it away. He said Mr. Hartwig had no comment on that, and, in particular, did not express any concerns as to whether the Hub bid was qualified. He said if Mr. Hartwig expressed such a concern, "that would have turned on alarm bells" to the effect that Phase 12 might not go ahead, and he would have pursued the matter further both in discussions with Mr. Hartwig and with Mr. Morris. In fact, Mr. Janzen said there was no discussion of the Hub letter with the tender, or the amount of the bids. Mr. Janzen said that if Mr. Hartwig had told him that he felt the bids were too high, that was some doubt about whether Phase 12 was going to proceed, that Hub would then have bid on "Comox C." He said after his telephone discussion with Mr. Hartwig, there was no change in his understanding of the likelihood of Hub getting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Hartwig acknowledged the telephone discussion with Mr. Janzen, and said that he had read Mr. Janzen's note of that discussion. Although he said that he had a recollection of the discussion independent of the note, his evidence appears to be responsive to the note. He said that Mr. Janzen asked him if they were going to be awarding the contract, that he was clear that it had not been awarded and was "non-committal." He said that he asked Mr. Janzen about the peat and that Mr. Janzen then started to talk about the rock. He agreed that was as reflected in Mr. Janzen's notes: that Hub had quantified it, that they would keep it on site, and had provided a letter with respect to that. Mr. Hartwig said that the fact that Hub had sent a letter with its tender set alarm bells off with him. However, there is no evidence that he requested a copy of the Hub letter. In fact, in his direct evidence, Mr. Hartwig said that he did not recall reviewing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reference to the peat is of significance. The lots with the peat were not included in Phase 12, but were in a subsequent attempt to repackage the work. The mention of the peat on May 27 is thus a strong indication that, even on that date, before the May 28th meeting, Mr. Hartwig was looking forward to other ways to develop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May 28th was both the day of the meeting of the members of the Joint Venture, and the day the bids closed on the "Comox C" project. I accept the evidence of Mr. Webber and Mr. Janzen that they had made a decision not to submit a bid on "Comox C" based on their expectations that they would be awarded the Phase 12 work. I also accept that, if they had put in a bid on "Comox C" that it would have been in the amount of $1,262,653, which would have been the low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a question raised, in that in the bid package prepared by the plaintiff, the bid total as of May 27, 2004, is in the amount of $1,325,734, which would not have been the low bid. This is one area in which the evidence of Mr. Webber was not precise. He said that, in the process of preparing the bid, numbers are put in, and changed from time to time as further quotes come in from subcontractors and material suppliers. He suggested that the reduction in the amount of the bid, from May 27 to May 28, may have been the result of a lower quote coming in. However, he was not able to give any particulars of such a quote. Further, the reduction appears to run throughout the various aspects of the bid, in an amount of approximately 4.8 percent of each portion, rather than being a reduction in a particular area. It would thus appear more likely to be a reduction in the mark-up, rather than based on a change of a quote by a subcontractor or a material supplier. Notwithstanding that, I accept that the mark-up is flexible, and that, even if reduced, the mark-up on "Comox C," at 20 percent, is higher than that on the Phase 12 bid. I thus accept the evidence of Mr. Webber and Mr. Janzen that, if Hub had submitted a tender on "Comox C," it would have been in the lower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also accept the evidence of Mr. Hampshire, the project manager for the Comox projects, that if Hub had submitted that bid, he would have recommended to the Town of Comox that Hub get the work. He said that in his experience, the Town has always followed their recommendations. Hub had also been awarded the contract on "Comox B," and there were advantages to the Town of having one contractor do both phases. I thus find that if Hub had put in a bid on "Comox C," it would have been the low bidder and would have been awarded the contract. Mr. Hampshire also said that Hub did complete "Comox B," that it went well, and was completed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meeting on May 28 of the Joint Venture Defendants to discuss the bids involved Mr. Christopher Denford, Mr. Bomhof, Mr. Hartwig and Mr. McColl. All but Mr. Bomhof gave evidence. All said that it was concluded at that meeting that the project was not economically feasible but that no decision was made not to proceed. I accept that the Joint Venture Defendants concluded at that time that the project was not economically feasible, with the bids they had received. I do not, however, accept that no decision was made at that time not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noted, Mr. Gordon Denford, who was not at the meeting, had already concluded that Phase 12 was not financially viable, such that whether or not the bids were qualified was "almost academic." He had discussed it with Mr. Bomhof and Mr. Christopher Denford, and it was their recommendation that it was "imprudent from a business standpoint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Christopher Denford stated that, at the meeting, a number of items were talked about, but the primary issue was how economically viable the project was. He said they talked about "cost plus due to the rock," but not a lot of the time, most of the time was spent on "the economics." In fact, he did not recall having seen the letter from Hub to Mr. Morris dated May 21, 2004, accompanying Hub's bid, at that time. He said they did do a financial analysis, which they went through carefully. However, no documentation has been provided with respect to that. He said they went through the costs, adding them up, including the development cost charges, the real estate commission, the possible need to discount some of the prices to sell properties to contractors, the cost to financing the construction, the cost for hydro and telephone connections, and the low bid for the construction of $1,080,000. He said they did not know if there would be anything extra for the rock, but even without that, "it made no economic sense." He said that, after taking into account those costs, the anticipated revenue came down to about $15,000 per lot, which could be less if there was any downturn from what the realtors expected the properties to sell for. They thus "decided the project made no sense." Notwithstanding that, he says that they did not decide definitely not to go ahead, that they decided to think about it, as they did have time to decide during the period of 30 days during which the bids were irrevocable.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Hartwig also said they went over the prices, and the economics of the project at the meeting. He said that he brought up his discussion with Mr. Janzen, and his concern that it sounded as if the Hub bid was qualified. However, even then, he did not give evidence of reviewing the letter from Hub provided with its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McColl said that the purpose of the meeting was to decide if to proceed, and what they were going to do with the bids. He said they were all disappointed with the price. They discussed the "overhang" of lots still unsold in Phase 13 (not mentioned by either Mr. Christopher Denford or Mr. Hartwig). He said they figured out what the Phase 12 lots would sell for, and their costs. He said he did an analysis, jotting his own notes (which have not been produced). He said they did have a realtor's estimate of the value (which has also not been produced), which indicated an average price for the lots in the low to mid 80s. He said they used "maybe $82,000 per lot." He said they came up with a figure for revenue of from $400,000 to $500,000. That must be a net amount, as 30 lots at $82,000 per lot would generate revenue of $2,460,000. However, it is consistent with Mr. Christopher Denford's evidence that the anticipated revenue was about $15,000 per lot. He said they went through the costs, including those noted by Mr. Denford, but also the costs for engineering, legal fees and surveying. They thus concluded that it was "economically not a good phase to do." However, he said there was nothing to compel them to make a decision on May 28, that they had 30 days from the May 21 closing to accept or reject the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McColl said that, at the meeting, they all felt they still had time to make a decision. Although they had the legal right to accept a bid up to the expiry of the 30 day irrevocability period, I do not accept that no decision was made at the May 28th meeting. There are a number of reasons for that conclusion. First, all of the members of the Joint Venture had concluded that, with the amounts in the bids, Phase 12 was not economically feasible. I accept that to be the case, as confirmed by the subsequent decision to sell the raw land. However, as of May 28, to make it economically feasible, either the revenue would have to be higher than anticipated, or the costs reduced. There is no satisfactory evidence of any attempts to either increase the revenue or reduce the costs. Mr. McColl says that he did talk to a lot of realtors, but he gave no evidence of the substance of those discussions. His main focus appears to have been completing the sales in Phase 13. Although completion of those sales might have affected the marketability of the Phase 12 lots, it would not have increased the revenue generated from them. There is no evidence of any efforts to reduce the costs. In particular, there were no discussions with either Mr. Morris or the representatives of Hub, as the low bidder. Second, as noted earlier, on the day before the meeting, Mr. Hartwig was already considering a scheme which would require peat removal, which was not provided for in Phase 12. Third, there is no satisfactory evidence of any subsequent meeting or discussions when it was concluded not to proceed with Phase 12. Mr. McColl did say there was a conference call to discuss it. He did not give evidence of the contents of that conference call. None of the others gave evidence of such a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that the decision to advise the bidders that Phase 12 would not proceed (as distinct from the decision not to proceed itself) only came about after the irrevocability period expired on June 21, when Hub sent a letter to Mr. Morris offering to extend the period for acceptance of its bid by a further week. By that time, Hub was relying on the Joint Venture Defendants to provide it with sufficient work for its workforce, as it had not put in the bid on "Comox C." During that period, there had been no communication between the Joint Venture Defendants and Mr. Morris, apart from a discussion with Mr. McColl and Mr. Hartwig on the day after the meeting, on Saturday, May 29, about considering a 17-lot project. There is no evidence of any discussion at that time about whether the 30-lot Phase 12 was to proceed, but it surely must have been discussed. I conclude that, by May 29, the Joint Venture Defendants had already moved on to considering alternative ways to develop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Morris' did telefax Mr. McColl on June 2, 2004, advising that he had received design-stage approval for the 30 lots, noting that Hub was anxious for some direction, and asking if there was anything he could tell them. There is no evidence of any reply. On June 4, the day Hub was awarded the "Comox B" job, Mr. Webber phoned and left a message for Mr. Morris. That was returned on June 7. Mr. Webber told him that Hub had not bid on "Comox C." Mr. Morris said he did not know where they were with respect to Phase 12. It was only on June 22 that Mr. Morris was advised that Phase 12 was not going to proceed, due to the economics, as the construction cost was too high. Mr. Morris also advised Mr. Webber at that time that his budget for the job was $950,000. On June 25, Mr. Morris did send a letter to Hub advising that he had been directed by the Joint Venture "to inform all bidders that the project will not proceed at this time due to current economics, particularly the cost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Hub did proceed with the "Comox B project," successfully completing it. In fact, its profit on that job was $398,386, well in excess of the markup of $181,960 included in its bid of $1,081,968. Mr. Janzen said that was due to better management of the crew, and job efficiencies.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Joint Venture Defendants did continue to consider proposals for development of the property, through the services of Mr. Morris. In April, 2005, it put a further project out for tender, for 13 lots. That included the lower portion of what was Phase 12, as well as the additional lots from which peat would have to be removed. Two bids were received, with the low bid from Fournier Excavating Ltd. in the amount of $893,600 ($68,738 per lot). That bid contained a qualification with respect to the maximum depth of peat to be removed. That project was also not considered to be economically feasible and did not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in May, 2005, the remaining raw land was sold, for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$1,200,000 (compared to the profit from proceeding with</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Phase 12, estimated at the May 28 meeting to be approximately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$450,000). That sale closed on July 4, 2005. Subsequently,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purchaser did develop the property using the excavated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rock as additional fill on the lots, as originally proposed by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Webber. That was for the entire Phase 12 project,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one additional lot. The contract was awarded to Fournier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Excavating Ltd. for approximately 1.3 million dollars.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contract provided for the rock to be stockpiled on site,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used as engineered fill on more than the original lots as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shown on the Phase 12 plans. Mr. Fournier gave evidence that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about 95 percent of the rock was used on site; that the owner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did take a "few loads" to another site; but that the rest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could also have been used on site by filling the lots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leading decision with respect to the tort of misrepresentation is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The court set out five general requirements for a successful claim:</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representation;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misrepresentation;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held that an action for negligent misrepresentation may lie even though the parties to the action are in a contractual relationship. The fact that the negligent misrepresentations are made in a pre-contractual setting does not bar an action in tort for damages caused by the misrepresentations, even if the parties subsequently enter into a contract. It is not necessary to establish that the representor did not believe in what he was representing. The standard of care is an objective one: there is a duty to exercise such reasonable care as the circumstances require to ensure that representations made are accurate and not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(C.A.), the majority of the court, in dealing with the issue of reliance, said that the plaintiffs were required to prove only that the misrepresentation was one factor which induced them to act to their detriment, and that, where the representation was one calculated to induce the plaintiff to act on it, reliance may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An issue was raised as to whether representation as to future occurrence can found a claim for negligent misstatement. In </w:t>
      </w:r>
      <w:r>
        <w:rPr>
          <w:rFonts w:ascii="arial" w:eastAsia="arial" w:hAnsi="arial" w:cs="arial"/>
          <w:b/>
          <w:i/>
          <w:color w:val="000000"/>
          <w:sz w:val="20"/>
          <w:lang w:val="en-US" w:eastAsia="en-US" w:bidi="ar-SA"/>
        </w:rPr>
        <w:t>Golden Hill Ventures Ltd. v. Kemess</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2002 BCSC 1460</w:t>
        </w:r>
      </w:hyperlink>
      <w:r>
        <w:rPr>
          <w:rFonts w:ascii="arial" w:eastAsia="arial" w:hAnsi="arial" w:cs="arial"/>
          <w:color w:val="000000"/>
          <w:sz w:val="20"/>
          <w:lang w:val="en-US" w:eastAsia="en-US" w:bidi="ar-SA"/>
        </w:rPr>
        <w:t>, at paragraph 313, Burnyeat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[313] In the context of a tendering scenario, many of the representations made by an owner in a tender document or in the documents which later constitute the contract between the parties amount to representations of future behaviour or intent. It would be inappropriate for an owner to invite tenderers to submit their tenders on certain assumptions and representations of future happenings, to obtain the benefit of the tender and the work flowing from the contract and then claim that the representations of future behaviour are not binding because they were merely representations of future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with that comment. He also held that statements of opinion by a person who is in a better position to know the facts, or has greater means of knowledge, can constitute misrepresentation: paragraph 374.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Regarding damages for negligent misrepresentation, as stated by Burnyeat J. at paragraph 400 in </w:t>
      </w:r>
      <w:r>
        <w:rPr>
          <w:rFonts w:ascii="arial" w:eastAsia="arial" w:hAnsi="arial" w:cs="arial"/>
          <w:b/>
          <w:i/>
          <w:color w:val="000000"/>
          <w:sz w:val="20"/>
          <w:lang w:val="en-US" w:eastAsia="en-US" w:bidi="ar-SA"/>
        </w:rPr>
        <w:t>Golden Hill Ventures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[400] A plaintiff who seeks damages for negligent misrepresentation is entitled to be put in the position in which he or she would have been had the statement not been made not in the position he or she would have been had the statement been true: </w:t>
      </w:r>
      <w:r>
        <w:rPr>
          <w:rFonts w:ascii="arial" w:eastAsia="arial" w:hAnsi="arial" w:cs="arial"/>
          <w:b/>
          <w:i/>
          <w:color w:val="000000"/>
          <w:sz w:val="20"/>
          <w:lang w:val="en-US" w:eastAsia="en-US" w:bidi="ar-SA"/>
        </w:rPr>
        <w:t>Rainbow Industrial Caterers v. Canadian National Railway Co.</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(1991), 84 D.L.R. (4th) 291</w:t>
        </w:r>
      </w:hyperlink>
      <w:r>
        <w:rPr>
          <w:rFonts w:ascii="arial" w:eastAsia="arial" w:hAnsi="arial" w:cs="arial"/>
          <w:color w:val="000000"/>
          <w:sz w:val="20"/>
          <w:lang w:val="en-US" w:eastAsia="en-US" w:bidi="ar-SA"/>
        </w:rPr>
        <w:t xml:space="preserve"> (S.C.C.) at pp. 296-7.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the Supreme Court of Canada considered the issue of when a duty of care should be owed in a claim of negligent misrepresentation, in that case in dealing with auditors' duty to individual shareholders. At paragraph 19, La Forest J. noted that the existence of a duty of care is to be determined through the application of the two-part test set out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at pages 751 to 752. As set out by La Forest J. in paragraph 20, that was restated by Wilson J. in </w:t>
      </w:r>
      <w:r>
        <w:rPr>
          <w:rFonts w:ascii="arial" w:eastAsia="arial" w:hAnsi="arial" w:cs="arial"/>
          <w:b/>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pages 10 to 11 as follows:</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this case, there is not an issue that there is a sufficiently proximate relationship between Mr. Morris and the representatives of Hub to give rise to a duty of care. However, counsel for Mr. Morris does submit that there are policy limitations which should negate such a duty. At paragraph 30, La Forest J. noted that the use to which the statements are put may be considered in determining whether policy considerations ought to negate or limit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that has been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Counsel for Mr. Morris submits that his situation is analogous to that of the insurance broker in </w:t>
      </w:r>
      <w:r>
        <w:rPr>
          <w:rFonts w:ascii="arial" w:eastAsia="arial" w:hAnsi="arial" w:cs="arial"/>
          <w:b/>
          <w:i/>
          <w:color w:val="000000"/>
          <w:sz w:val="20"/>
          <w:lang w:val="en-US" w:eastAsia="en-US" w:bidi="ar-SA"/>
        </w:rPr>
        <w:t>Adams-Eden Furniture Ltd. v. Kansa General Insurance Inc.</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[1996] M.J. No. 555</w:t>
        </w:r>
      </w:hyperlink>
      <w:r>
        <w:rPr>
          <w:rFonts w:ascii="arial" w:eastAsia="arial" w:hAnsi="arial" w:cs="arial"/>
          <w:color w:val="000000"/>
          <w:sz w:val="20"/>
          <w:lang w:val="en-US" w:eastAsia="en-US" w:bidi="ar-SA"/>
        </w:rPr>
        <w:t xml:space="preserve"> (Man. C.A.), in which the court found that an insurance broker was not liable to the insurer for failure to disclose material information and for misrepresentation. The court said that the broker acted merely as a "conduit" between the insurer and the insured, and that to find that he had a duty of care to the insurer would put him in a position of having conflicting obligations. Counsel for Mr. Morris submitted this is analogous to the comments of the Supreme Court of Canada in </w:t>
      </w:r>
      <w:r>
        <w:rPr>
          <w:rFonts w:ascii="arial" w:eastAsia="arial" w:hAnsi="arial" w:cs="arial"/>
          <w:b/>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that to extend a duty of care to the conduct of negotiations would defeat the essence of negotiation. However, as pointed out by Ballance J. in </w:t>
      </w:r>
      <w:r>
        <w:rPr>
          <w:rFonts w:ascii="arial" w:eastAsia="arial" w:hAnsi="arial" w:cs="arial"/>
          <w:b/>
          <w:i/>
          <w:color w:val="000000"/>
          <w:sz w:val="20"/>
          <w:lang w:val="en-US" w:eastAsia="en-US" w:bidi="ar-SA"/>
        </w:rPr>
        <w:t>Stanco Projects Ltd. v. H.M.T.Q. &amp; Aplin &amp; Martin Consultants Ltd</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2004 BCSC 1038</w:t>
        </w:r>
      </w:hyperlink>
      <w:r>
        <w:rPr>
          <w:rFonts w:ascii="arial" w:eastAsia="arial" w:hAnsi="arial" w:cs="arial"/>
          <w:color w:val="000000"/>
          <w:sz w:val="20"/>
          <w:lang w:val="en-US" w:eastAsia="en-US" w:bidi="ar-SA"/>
        </w:rPr>
        <w:t>, at paragraph 83, the purpose of the Contract A/Contract B formulation was to replace negotiation with competition. The agent for the owner is thus placed in a different position than if the matter was a pure negotiation. In complying with the duty to treat all bids fairly and equally, I consider he has some obligation to tenderers not to provide them with inaccurate information. I do not consider that to be in conflict with his duty to the owners, but rather to be in accordance with that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Duty to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law with respect to the duty of owners to person bidding on a contract was considered by the Supreme Court of Canada in three cases: </w:t>
      </w:r>
      <w:r>
        <w:rPr>
          <w:rFonts w:ascii="arial" w:eastAsia="arial" w:hAnsi="arial" w:cs="arial"/>
          <w:b/>
          <w:i/>
          <w:color w:val="000000"/>
          <w:sz w:val="20"/>
          <w:lang w:val="en-US" w:eastAsia="en-US" w:bidi="ar-SA"/>
        </w:rPr>
        <w:t>The Queen in Right of Canada v. Ron Engineering and Construction (Eastern) Ltd.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[1981] 1 S.C.R. 111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A helpful review of that law, and the policy reasons behind it, was provided by Ballance J., in </w:t>
      </w:r>
      <w:r>
        <w:rPr>
          <w:rFonts w:ascii="arial" w:eastAsia="arial" w:hAnsi="arial" w:cs="arial"/>
          <w:b/>
          <w:i/>
          <w:color w:val="000000"/>
          <w:sz w:val="20"/>
          <w:lang w:val="en-US" w:eastAsia="en-US" w:bidi="ar-SA"/>
        </w:rPr>
        <w:t>Stanco Products Ltd. v. H.M.T.Q. &amp; Aplin &amp; Martin Consultants Ltd.</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2004 BCSC 1038</w:t>
        </w:r>
      </w:hyperlink>
      <w:r>
        <w:rPr>
          <w:rFonts w:ascii="arial" w:eastAsia="arial" w:hAnsi="arial" w:cs="arial"/>
          <w:color w:val="000000"/>
          <w:sz w:val="20"/>
          <w:lang w:val="en-US" w:eastAsia="en-US" w:bidi="ar-SA"/>
        </w:rPr>
        <w:t xml:space="preserve"> (reversed in part, with respect to the liability of the consultant, but not the owner, at </w:t>
      </w:r>
      <w:hyperlink r:id="rId526" w:history="1">
        <w:r>
          <w:rPr>
            <w:rFonts w:ascii="arial" w:eastAsia="arial" w:hAnsi="arial" w:cs="arial"/>
            <w:i/>
            <w:color w:val="0077CC"/>
            <w:sz w:val="20"/>
            <w:u w:val="single"/>
            <w:shd w:val="clear" w:color="auto" w:fill="FFFFFF"/>
            <w:lang w:val="en-US" w:eastAsia="en-US" w:bidi="ar-SA"/>
          </w:rPr>
          <w:t>2006 BCCA 246</w:t>
        </w:r>
      </w:hyperlink>
      <w:r>
        <w:rPr>
          <w:rFonts w:ascii="arial" w:eastAsia="arial" w:hAnsi="arial" w:cs="arial"/>
          <w:color w:val="000000"/>
          <w:sz w:val="20"/>
          <w:lang w:val="en-US" w:eastAsia="en-US" w:bidi="ar-SA"/>
        </w:rPr>
        <w:t>). As stated by Ballance J. at paragraphs 75 to 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The tendering process in Canada is governed by the law of contract. The current law has largely developed in the years following the landmark decision of the Supreme Court of Canada in </w:t>
      </w:r>
      <w:r>
        <w:rPr>
          <w:rFonts w:ascii="arial" w:eastAsia="arial" w:hAnsi="arial" w:cs="arial"/>
          <w:b/>
          <w:i/>
          <w:color w:val="000000"/>
          <w:sz w:val="20"/>
          <w:lang w:val="en-US" w:eastAsia="en-US" w:bidi="ar-SA"/>
        </w:rPr>
        <w:t>The Queen in Right of Ontario v. Ron Engineering and Construction (Eastern) Ltd.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[1981] 1 S.C.R. 111</w:t>
        </w:r>
      </w:hyperlink>
      <w:r>
        <w:rPr>
          <w:rFonts w:ascii="arial" w:eastAsia="arial" w:hAnsi="arial" w:cs="arial"/>
          <w:color w:val="000000"/>
          <w:sz w:val="20"/>
          <w:lang w:val="en-US" w:eastAsia="en-US" w:bidi="ar-SA"/>
        </w:rPr>
        <w:t>. The Ron Engineering case introduced what is now known as the Contract A/Contract B paradigm to address perceived deficiencies in the application of traditional contract principles to the law of tendering. In so doing, it significantly altered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Prior to the introduction of the Contract A/Contract B structure, an owner's request for tenders from contractors was viewed in contract law as an invitation to treat. When a contractor responded to the invitation, its tender was considered to be an offer to complete the work for the price set out in the tender. Because the tender was merely an offer, an owner was under no particular obligation to assess the tender in accordance with any defined or predictable criteria or even accept it. A contractor could therefore incur significant expense in preparing its quote without any assurance that it had a genuine chance of obtaining the construction contract or that its tender would be treated fairly. Nor did the contractor have any assurance that its tender would not simply be used as a starting point for negotiations between the owner and the contractor and/or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Conventional contract law principles were also poorly equipped to respond to the business needs of owners. Because a contractor's tender was a mere offer, the owner was not assured that it would be able to hold a contractor to the submitted price. There was nothing to prevent the contractor from withdrawing its offer at any point up to the time of acceptance.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In general terms, contractors desired a system which assured them that if they assumed the risks inherent in the tendering process their bids would be dealt with fairly. For their part, owners wanted a process which would encourage competitive prices at the outset which could be made binding. The development of a unique set of contract law principles better capable of protecting the reasonable expectations of the parties and imposing a degree of certainty and, ultimately fairness, was required. That was in large measure achieved by the Supreme Court of Canada in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In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xml:space="preserve">, the contractor, Ron Engineering, was the low tenderer on a general construction contract. The contractor discovered immediately after the tenders were opened that it had mistakenly neglected to include a significant component of $750,058 in its bid. The error was invisible in the sense that it was not apparent on the face of the bid documents. Ron Engineering notified the owner of its mistake. The owner would not allow Ron Engineering to revoke its tender and forwarded it a construction contract for signature. Not surprisingly, Ron Engineering refused to sign the contract and demanded the return of its $150,000 bid deposit. The owner entered into a construction contract with the next lowest bidder and refused to return Ron Engineering's bid bond. Ron Engineering claimed that because it had notified the owner about the mistake before the tender had been accepted, the tender was incapable of acceptance and, accordingly, it was entitled to the return of its bid bond. Until the decision in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xml:space="preserve">, a contractor finding itself in such circumstances would have generally been permitted to withdraw its tender without forfeiture of its bid bond at any time before communication of the owner's acceptance.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xml:space="preserve"> changed all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Justice Estey, writing for the Court, described the tendering process as consisting of the formation of two separate contracts: Contract A and Contract B. Contract A governs the manner in which the tender process is to be conducted. Contract B is the substantive construction contract to perform the work that has been bid. According to Justice Estey's analysis, an owner's invitation to tender amounted to an offer to enter into Contract A. At the moment the tenderer submitted its bid, the owner's offer has been accepted triggering the formation of Contract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Once the tenderer submitted its bid, the existence of and obligations under Contract A crystallized, and the tenderer became contractually bound to enter into the construction contract, Contract B, if the owner accepted its tender. Contract A comes to an end when: a tendering authority enters into the construction contract with one of the bidders; the tendering authority rejects all of the bids; or when the irrevocability period of the tenders (if applicable) expires.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At pages 122 and 123 Justice Estey described the main elements of Contract A as follows: The principal term of contract A is the irrevocability of the bid, and the corollary term is the obligation in both parties to enter into a contract (contract B) upon the acceptance of the tender. Other terms include the qualified obligations of the owner to accept the lowest tender, and the degree of this obligation is controlled by the terms and conditions established in the call for tenders.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Contract A/Contract B formulation was seen to provide the level of certainty which parties in a tendering process expected and desired. Competition had replaced individualized negotiation.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Another core theme recognized in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xml:space="preserve"> and repeatedly emphasized in the jurisprudence thereafter, is the need to maintain the integrity of the tendering process and thereby preserve the reasonable expectations of the parties who engage in it. This important policy objective is at play in many of the cases that followed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xml:space="preserve"> and is an underpinning of the importation into Contract A of the implied duty of an owner (and, in appropriate cases, a subcontractor) to act fairly in relation to the bidders.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The Supreme Court of Canada revisited the Contract A/Contract B paradigm in </w:t>
      </w:r>
      <w:r>
        <w:rPr>
          <w:rFonts w:ascii="arial" w:eastAsia="arial" w:hAnsi="arial" w:cs="arial"/>
          <w:b/>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M.J.B.</w:t>
      </w:r>
      <w:r>
        <w:rPr>
          <w:rFonts w:ascii="arial" w:eastAsia="arial" w:hAnsi="arial" w:cs="arial"/>
          <w:color w:val="000000"/>
          <w:sz w:val="20"/>
          <w:lang w:val="en-US" w:eastAsia="en-US" w:bidi="ar-SA"/>
        </w:rPr>
        <w:t>, the second lowest bidder claimed that the owner had breached Contract A when it accepted the lowest bid, which, although being the lowest price for the work, did not fully comply with the conditions set out in the tender package. The Court focused on whether Contract A had come into being and on the effect of a particular privilege clause. A good portion of the unanimous decision delivered by Justice Iacobucci looks at whether there was an implied term in Contract A that the owner would accept only compliant bids.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A careful reading of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xml:space="preserve"> makes it clear that it did not hold that a Contract A was automatically formed every time a bid was submitted. That point was confirmed by the Court in </w:t>
      </w:r>
      <w:r>
        <w:rPr>
          <w:rFonts w:ascii="arial" w:eastAsia="arial" w:hAnsi="arial" w:cs="arial"/>
          <w:b/>
          <w:i/>
          <w:color w:val="000000"/>
          <w:sz w:val="20"/>
          <w:lang w:val="en-US" w:eastAsia="en-US" w:bidi="ar-SA"/>
        </w:rPr>
        <w:t>M.J.B.</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M.J.B.</w:t>
      </w:r>
      <w:r>
        <w:rPr>
          <w:rFonts w:ascii="arial" w:eastAsia="arial" w:hAnsi="arial" w:cs="arial"/>
          <w:color w:val="000000"/>
          <w:sz w:val="20"/>
          <w:lang w:val="en-US" w:eastAsia="en-US" w:bidi="ar-SA"/>
        </w:rPr>
        <w:t xml:space="preserve"> Justice Iacobucci explained that the question of whether a Contract A has arisen depends "on whether the parties intend to initiate contractual relations by the submission of a bid" in response to the invitation to tender (at para. 19). The Court clarified further that the terms of Contract A "are governed by the terms and conditions of the tender call." (also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At paragraph 41, Justice Iacobucci remarks: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rationale for the tendering process, as can be seen from these documents, is to replace negotiation with competition. This competition entails certain risks for the appellant. The appellant must expend effort and incur expense in preparing its tender in accordance with strict specifications and may nonetheless not be awarded Contract B. It must submit its bid security which, although it is returned if the tender is not accepted, is a significant amount of money to raise and have tied up for the period of time between the submission of the tender and the decision regarding Contract B. As Bingham L.J. stated in </w:t>
      </w:r>
      <w:r>
        <w:rPr>
          <w:rFonts w:ascii="arial" w:eastAsia="arial" w:hAnsi="arial" w:cs="arial"/>
          <w:b/>
          <w:i/>
          <w:color w:val="000000"/>
          <w:sz w:val="20"/>
          <w:lang w:val="en-US" w:eastAsia="en-US" w:bidi="ar-SA"/>
        </w:rPr>
        <w:t>Blackpool and Fylde Aero Club Ltd.</w:t>
      </w:r>
      <w:r>
        <w:rPr>
          <w:rFonts w:ascii="arial" w:eastAsia="arial" w:hAnsi="arial" w:cs="arial"/>
          <w:color w:val="000000"/>
          <w:sz w:val="20"/>
          <w:lang w:val="en-US" w:eastAsia="en-US" w:bidi="ar-SA"/>
        </w:rPr>
        <w:t>, ([1990] 3 All E.R. 25) at p. 30, with respect to a similar tendering process, this procedure is heavily weighted in favour of the invitor. It appears obvious to me that exposing oneself to such risks makes little sense if the respondent is allowed, in effect, to circumscribe this process and accept a non-compliant bid.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This passage is of interest in at least two respects. First, the Court highlights the mutual exclusivity of negotiation and tendering as methods for soliciting prices. Second, the Court acknowledges the business risk and expense associated with preparing a bid and the "obvious" point that tenderers would have little motivation to engage in the process if an owner could circumvent it by accepting a non-compliant bid. The Court held that an implied term to accept only compliant bids was incorporated into Contract A and concluded that the owner had breached that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As mentioned above, in </w:t>
      </w:r>
      <w:r>
        <w:rPr>
          <w:rFonts w:ascii="arial" w:eastAsia="arial" w:hAnsi="arial" w:cs="arial"/>
          <w:b/>
          <w:i/>
          <w:color w:val="000000"/>
          <w:sz w:val="20"/>
          <w:lang w:val="en-US" w:eastAsia="en-US" w:bidi="ar-SA"/>
        </w:rPr>
        <w:t>M.J.B.</w:t>
      </w:r>
      <w:r>
        <w:rPr>
          <w:rFonts w:ascii="arial" w:eastAsia="arial" w:hAnsi="arial" w:cs="arial"/>
          <w:color w:val="000000"/>
          <w:sz w:val="20"/>
          <w:lang w:val="en-US" w:eastAsia="en-US" w:bidi="ar-SA"/>
        </w:rPr>
        <w:t xml:space="preserve"> the effect of the inclusion of a "privilege clause" in a Contract A was also considered. A clause of that kind is typically included to provide the tendering authority with additional discretion in relation to its acceptance or rejection of tenders. In </w:t>
      </w:r>
      <w:r>
        <w:rPr>
          <w:rFonts w:ascii="arial" w:eastAsia="arial" w:hAnsi="arial" w:cs="arial"/>
          <w:b/>
          <w:i/>
          <w:color w:val="000000"/>
          <w:sz w:val="20"/>
          <w:lang w:val="en-US" w:eastAsia="en-US" w:bidi="ar-SA"/>
        </w:rPr>
        <w:t>M.J.B.</w:t>
      </w:r>
      <w:r>
        <w:rPr>
          <w:rFonts w:ascii="arial" w:eastAsia="arial" w:hAnsi="arial" w:cs="arial"/>
          <w:color w:val="000000"/>
          <w:sz w:val="20"/>
          <w:lang w:val="en-US" w:eastAsia="en-US" w:bidi="ar-SA"/>
        </w:rPr>
        <w:t xml:space="preserve"> Justice Iacobucci noted at paragraph 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privilege clause is only one term of Contract A and must be read in harmony with the rest of the tender documents. To do otherwise would undermine the rest of the agreement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paragraph 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privilege clause has been held not to allow bid shopping or procedures akin to bid shopping.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w:t>
      </w:r>
      <w:r>
        <w:rPr>
          <w:rFonts w:ascii="arial" w:eastAsia="arial" w:hAnsi="arial" w:cs="arial"/>
          <w:b/>
          <w:i/>
          <w:color w:val="000000"/>
          <w:sz w:val="20"/>
          <w:lang w:val="en-US" w:eastAsia="en-US" w:bidi="ar-SA"/>
        </w:rPr>
        <w:t>In Martel Building Ltd. v. Canada</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the Supreme Court of Canada dealt squarely with the duty of fairness in the tendering system. At paragraph 88, the Court, in a unanimous decision, underscored the importance of maintaining the integrity of the bidding system and the companion existence of an implied duty of fairness in a Contract 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of this case, we believe that implying a term to be fair and consistent in the assessment of the tender bids is justified based on the presumed intentions of the parties. Such implication is necessary to give business efficacy to the tendering process. As discussed above, this Court agreed to imply a term in </w:t>
      </w:r>
      <w:r>
        <w:rPr>
          <w:rFonts w:ascii="arial" w:eastAsia="arial" w:hAnsi="arial" w:cs="arial"/>
          <w:b/>
          <w:i/>
          <w:color w:val="000000"/>
          <w:sz w:val="20"/>
          <w:lang w:val="en-US" w:eastAsia="en-US" w:bidi="ar-SA"/>
        </w:rPr>
        <w:t>M.J.B. Enterprises</w:t>
      </w:r>
      <w:r>
        <w:rPr>
          <w:rFonts w:ascii="arial" w:eastAsia="arial" w:hAnsi="arial" w:cs="arial"/>
          <w:color w:val="000000"/>
          <w:sz w:val="20"/>
          <w:lang w:val="en-US" w:eastAsia="en-US" w:bidi="ar-SA"/>
        </w:rPr>
        <w:t xml:space="preserve"> that only compliant bids would be accepted since it believed that it would make little sense to expose oneself to the risks associated with the tendering process if the tender-calling authority was allowed, in effect, to circumscribe this process and accept a non-compliant bid (para. 41). Similarly, in light of the costs and effort associated with preparing and submitting a bid, we find it difficult to believe that the respondent in this case, or any of the other three tenderers, would have submitted a bid unless it was understood by those involved that all bidders would be treated fairly and equally. This implication has a certain degree of obviousness to it to the extent that the parties, if questioned, would clearly agree that this obligation had been assumed. Implying an obligation to treat all bidders fairly and equally is consistent with the goal of protecting and promoting the integrity of the bidding process, and benefits all participants involved. Without this implied term, tenderers, whose fate could be predetermined by some undisclosed standards, would either incur significant expenses in preparing futile bids or ultimately avoid participating in the tender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Continuing at paragraph 89, the Court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privilege clause reserving the right not to accept the lowest or any bids does not exclude the obligation to treat all bidders fairly.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In </w:t>
      </w:r>
      <w:r>
        <w:rPr>
          <w:rFonts w:ascii="arial" w:eastAsia="arial" w:hAnsi="arial" w:cs="arial"/>
          <w:b/>
          <w:i/>
          <w:color w:val="000000"/>
          <w:sz w:val="20"/>
          <w:lang w:val="en-US" w:eastAsia="en-US" w:bidi="ar-SA"/>
        </w:rPr>
        <w:t>Martel</w:t>
      </w:r>
      <w:r>
        <w:rPr>
          <w:rFonts w:ascii="arial" w:eastAsia="arial" w:hAnsi="arial" w:cs="arial"/>
          <w:color w:val="000000"/>
          <w:sz w:val="20"/>
          <w:lang w:val="en-US" w:eastAsia="en-US" w:bidi="ar-SA"/>
        </w:rPr>
        <w:t>, the Court made the important point that the tender documents must be examined closely to determine the full extent of an owner's obligation of fair and equal treatment among tenderers. In order to respect the parties' intentions and reasonable expectations, such a duty must be defined with due consideration to the express contractual terms of the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result, Ballance J. found that the engineers who had prepared the tender package and evaluated the submitted bids had engaged in "bid manipulation." She concluded that conduct breached the implied duty of fair and equal treatment to bidders. That was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M.J.B</w:t>
      </w:r>
      <w:r>
        <w:rPr>
          <w:rFonts w:ascii="arial" w:eastAsia="arial" w:hAnsi="arial" w:cs="arial"/>
          <w:color w:val="000000"/>
          <w:sz w:val="20"/>
          <w:lang w:val="en-US" w:eastAsia="en-US" w:bidi="ar-SA"/>
        </w:rPr>
        <w:t xml:space="preserve">., at paragraph 46, Iacobucci J. noted that the privilege clause does allow the owner "to take a more nuanced view of "cost" than the prices quoted in the tenders," and thus not necessarily to accept the lowest bid. That point was considered by the British Columbia Court of Appeal in </w:t>
      </w:r>
      <w:r>
        <w:rPr>
          <w:rFonts w:ascii="arial" w:eastAsia="arial" w:hAnsi="arial" w:cs="arial"/>
          <w:b/>
          <w:i/>
          <w:color w:val="000000"/>
          <w:sz w:val="20"/>
          <w:lang w:val="en-US" w:eastAsia="en-US" w:bidi="ar-SA"/>
        </w:rPr>
        <w:t>Sound Contracting Ltd. v. City of Nanaimo</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2000 BCCA 312</w:t>
        </w:r>
      </w:hyperlink>
      <w:r>
        <w:rPr>
          <w:rFonts w:ascii="arial" w:eastAsia="arial" w:hAnsi="arial" w:cs="arial"/>
          <w:color w:val="000000"/>
          <w:sz w:val="20"/>
          <w:lang w:val="en-US" w:eastAsia="en-US" w:bidi="ar-SA"/>
        </w:rPr>
        <w:t>. In that case, the City of Nanaimo, relying on a privilege clause, rejected the bid of the lowest bidder, and accepted the second tender. The reason for that was a previous disagreement the City had with the low bidder. At para 18, McEachern C.J. noted that the discretion to be exercised under the privilege clause must "be exercised fairly and objectively." However, he stated that when it had not been shown that the City had "acted unfairly or other than in good faith" the court could not substitute its own analysis for that of the owner. He thus held that sufficiently good reason had been shown to sustain the decision of the City to award the contract to the second lowest bidder.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Graham Industrial Services Ltd. v. Greater Vancouver Water District</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(2004), 40 B.L.R. (3d) 168</w:t>
        </w:r>
      </w:hyperlink>
      <w:r>
        <w:rPr>
          <w:rFonts w:ascii="arial" w:eastAsia="arial" w:hAnsi="arial" w:cs="arial"/>
          <w:color w:val="000000"/>
          <w:sz w:val="20"/>
          <w:lang w:val="en-US" w:eastAsia="en-US" w:bidi="ar-SA"/>
        </w:rPr>
        <w:t xml:space="preserve"> (C.A.), the Court of Appeal determined that the discretion clause does not permit an owner to accept a materially non-compliant bid. The court accepted the analysis of Preston J. in </w:t>
      </w:r>
      <w:r>
        <w:rPr>
          <w:rFonts w:ascii="arial" w:eastAsia="arial" w:hAnsi="arial" w:cs="arial"/>
          <w:b/>
          <w:i/>
          <w:color w:val="000000"/>
          <w:sz w:val="20"/>
          <w:lang w:val="en-US" w:eastAsia="en-US" w:bidi="ar-SA"/>
        </w:rPr>
        <w:t>Kinetic Construction Ltd. v. Comox Strathcona (Regional District)</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2003 BCSC 1673</w:t>
        </w:r>
      </w:hyperlink>
      <w:r>
        <w:rPr>
          <w:rFonts w:ascii="arial" w:eastAsia="arial" w:hAnsi="arial" w:cs="arial"/>
          <w:color w:val="000000"/>
          <w:sz w:val="20"/>
          <w:lang w:val="en-US" w:eastAsia="en-US" w:bidi="ar-SA"/>
        </w:rPr>
        <w:t xml:space="preserve">, and the previous decision of the Court of Appeal in </w:t>
      </w:r>
      <w:r>
        <w:rPr>
          <w:rFonts w:ascii="arial" w:eastAsia="arial" w:hAnsi="arial" w:cs="arial"/>
          <w:b/>
          <w:i/>
          <w:color w:val="000000"/>
          <w:sz w:val="20"/>
          <w:lang w:val="en-US" w:eastAsia="en-US" w:bidi="ar-SA"/>
        </w:rPr>
        <w:t>Midwest Management (1987) Ltd. v. B.C. Gas Facility Ltd.</w:t>
      </w:r>
      <w:hyperlink r:id="rId530" w:history="1">
        <w:r>
          <w:rPr>
            <w:rFonts w:ascii="arial" w:eastAsia="arial" w:hAnsi="arial" w:cs="arial"/>
            <w:i/>
            <w:color w:val="0077CC"/>
            <w:sz w:val="20"/>
            <w:u w:val="single"/>
            <w:shd w:val="clear" w:color="auto" w:fill="FFFFFF"/>
            <w:lang w:val="en-US" w:eastAsia="en-US" w:bidi="ar-SA"/>
          </w:rPr>
          <w:t>(2000), 82 B.C.L.R. (3d) 79</w:t>
        </w:r>
      </w:hyperlink>
      <w:r>
        <w:rPr>
          <w:rFonts w:ascii="arial" w:eastAsia="arial" w:hAnsi="arial" w:cs="arial"/>
          <w:color w:val="000000"/>
          <w:sz w:val="20"/>
          <w:lang w:val="en-US" w:eastAsia="en-US" w:bidi="ar-SA"/>
        </w:rPr>
        <w:t xml:space="preserve"> at paragraphs 7 to 9, that a materially non-compliant bid is, in essence, merely a counter offer, the submission of which did not give rise to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the recent Supreme Court of Canada decision of </w:t>
      </w:r>
      <w:r>
        <w:rPr>
          <w:rFonts w:ascii="arial" w:eastAsia="arial" w:hAnsi="arial" w:cs="arial"/>
          <w:b/>
          <w:i/>
          <w:color w:val="000000"/>
          <w:sz w:val="20"/>
          <w:lang w:val="en-US" w:eastAsia="en-US" w:bidi="ar-SA"/>
        </w:rPr>
        <w:t>Double N Earthmovers Ltd. v. City of Edmonton and Sureway Construction of Alberta Ltd.</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[2007] 1 S.C.R. 116</w:t>
        </w:r>
      </w:hyperlink>
      <w:r>
        <w:rPr>
          <w:rFonts w:ascii="arial" w:eastAsia="arial" w:hAnsi="arial" w:cs="arial"/>
          <w:color w:val="000000"/>
          <w:sz w:val="20"/>
          <w:lang w:val="en-US" w:eastAsia="en-US" w:bidi="ar-SA"/>
        </w:rPr>
        <w:t>, the Court considered the issue of whether an owner may be required to investigate whether a bidder will comply with its bid, in that case when a rival bidder made allegations that the subsequently successful bid was non-compliant.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paragraph 30, Abella and Rothstein JJ., for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Implied terms can be based on the existence of any of: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incidents of a particular class or kind of contract; or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presumed intentions of the parties, where the term is necessary to give business efficacy to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the court noted that in order to imply a term, it must have a certain degree of "obviousness" to it: paragraphs 31-32. The majority were not prepared to imply a duty of an owner to investigate whether a bidder would comply with the terms of its bid, holding that to do so would frustrate the tender process by creating unwelcome uncertainties: paragraph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At paragraph 52, the court noted the duty of "fairness and equality" recognized in </w:t>
      </w:r>
      <w:r>
        <w:rPr>
          <w:rFonts w:ascii="arial" w:eastAsia="arial" w:hAnsi="arial" w:cs="arial"/>
          <w:b/>
          <w:i/>
          <w:color w:val="000000"/>
          <w:sz w:val="20"/>
          <w:lang w:val="en-US" w:eastAsia="en-US" w:bidi="ar-SA"/>
        </w:rPr>
        <w:t>Martel</w:t>
      </w:r>
      <w:r>
        <w:rPr>
          <w:rFonts w:ascii="arial" w:eastAsia="arial" w:hAnsi="arial" w:cs="arial"/>
          <w:color w:val="000000"/>
          <w:sz w:val="20"/>
          <w:lang w:val="en-US" w:eastAsia="en-US" w:bidi="ar-SA"/>
        </w:rPr>
        <w: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best way to make sure that all bids receive the same treatment is for an owner to weigh bids on the basis of what is actually in the bid, not to weigh them on the basis of subsequently discovered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most recent decision of the British Columbia Court of Appeal dealing with the duty of fairness is </w:t>
      </w:r>
      <w:r>
        <w:rPr>
          <w:rFonts w:ascii="arial" w:eastAsia="arial" w:hAnsi="arial" w:cs="arial"/>
          <w:b/>
          <w:i/>
          <w:color w:val="000000"/>
          <w:sz w:val="20"/>
          <w:lang w:val="en-US" w:eastAsia="en-US" w:bidi="ar-SA"/>
        </w:rPr>
        <w:t>Continental Steel Ltd. v. Mierau Contractors Ltd.</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2007 BCCA 292</w:t>
        </w:r>
      </w:hyperlink>
      <w:r>
        <w:rPr>
          <w:rFonts w:ascii="arial" w:eastAsia="arial" w:hAnsi="arial" w:cs="arial"/>
          <w:color w:val="000000"/>
          <w:sz w:val="20"/>
          <w:lang w:val="en-US" w:eastAsia="en-US" w:bidi="ar-SA"/>
        </w:rPr>
        <w:t xml:space="preserve">. At paragraph 28, relying on </w:t>
      </w:r>
      <w:r>
        <w:rPr>
          <w:rFonts w:ascii="arial" w:eastAsia="arial" w:hAnsi="arial" w:cs="arial"/>
          <w:b/>
          <w:i/>
          <w:color w:val="000000"/>
          <w:sz w:val="20"/>
          <w:lang w:val="en-US" w:eastAsia="en-US" w:bidi="ar-SA"/>
        </w:rPr>
        <w:t>Sound Contracting</w:t>
      </w:r>
      <w:r>
        <w:rPr>
          <w:rFonts w:ascii="arial" w:eastAsia="arial" w:hAnsi="arial" w:cs="arial"/>
          <w:color w:val="000000"/>
          <w:sz w:val="20"/>
          <w:lang w:val="en-US" w:eastAsia="en-US" w:bidi="ar-SA"/>
        </w:rPr>
        <w:t xml:space="preserve">, Low J.A. noted that the privilege clause relieves an owner from an obligation to award a contract to the low bidder if there are valid objective reasons that better value may be obtained by accepting a higher bid. He noted that the discretion is in the owner and that the trial judge cannot substitute his own analysis for that of the owner, provided that discretion is fairly and objectively exercised. In paragraph 31, he noted that the duty, as stated in </w:t>
      </w:r>
      <w:r>
        <w:rPr>
          <w:rFonts w:ascii="arial" w:eastAsia="arial" w:hAnsi="arial" w:cs="arial"/>
          <w:b/>
          <w:i/>
          <w:color w:val="000000"/>
          <w:sz w:val="20"/>
          <w:lang w:val="en-US" w:eastAsia="en-US" w:bidi="ar-SA"/>
        </w:rPr>
        <w:t>Martel</w:t>
      </w:r>
      <w:r>
        <w:rPr>
          <w:rFonts w:ascii="arial" w:eastAsia="arial" w:hAnsi="arial" w:cs="arial"/>
          <w:color w:val="000000"/>
          <w:sz w:val="20"/>
          <w:lang w:val="en-US" w:eastAsia="en-US" w:bidi="ar-SA"/>
        </w:rPr>
        <w:t xml:space="preserve">, and confirmed in </w:t>
      </w:r>
      <w:r>
        <w:rPr>
          <w:rFonts w:ascii="arial" w:eastAsia="arial" w:hAnsi="arial" w:cs="arial"/>
          <w:b/>
          <w:i/>
          <w:color w:val="000000"/>
          <w:sz w:val="20"/>
          <w:lang w:val="en-US" w:eastAsia="en-US" w:bidi="ar-SA"/>
        </w:rPr>
        <w:t>Double N</w:t>
      </w:r>
      <w:r>
        <w:rPr>
          <w:rFonts w:ascii="arial" w:eastAsia="arial" w:hAnsi="arial" w:cs="arial"/>
          <w:color w:val="000000"/>
          <w:sz w:val="20"/>
          <w:lang w:val="en-US" w:eastAsia="en-US" w:bidi="ar-SA"/>
        </w:rPr>
        <w:t>, is to treat all bids "fairly and equally," rather than to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Silex Restorations Ltd. v. Strata Plan VR2096</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2004 BCCA 376</w:t>
        </w:r>
      </w:hyperlink>
      <w:r>
        <w:rPr>
          <w:rFonts w:ascii="arial" w:eastAsia="arial" w:hAnsi="arial" w:cs="arial"/>
          <w:color w:val="000000"/>
          <w:sz w:val="20"/>
          <w:lang w:val="en-US" w:eastAsia="en-US" w:bidi="ar-SA"/>
        </w:rPr>
        <w:t xml:space="preserve">, one of the issues was whether one of the bids submitted by </w:t>
      </w:r>
      <w:r>
        <w:rPr>
          <w:rFonts w:ascii="arial" w:eastAsia="arial" w:hAnsi="arial" w:cs="arial"/>
          <w:b/>
          <w:i/>
          <w:color w:val="000000"/>
          <w:sz w:val="20"/>
          <w:lang w:val="en-US" w:eastAsia="en-US" w:bidi="ar-SA"/>
        </w:rPr>
        <w:t>Silex</w:t>
      </w:r>
      <w:r>
        <w:rPr>
          <w:rFonts w:ascii="arial" w:eastAsia="arial" w:hAnsi="arial" w:cs="arial"/>
          <w:color w:val="000000"/>
          <w:sz w:val="20"/>
          <w:lang w:val="en-US" w:eastAsia="en-US" w:bidi="ar-SA"/>
        </w:rPr>
        <w:t xml:space="preserve"> was compliant. Saunders J.A. referred to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xml:space="preserve"> and stated at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After reviewing </w:t>
      </w:r>
      <w:r>
        <w:rPr>
          <w:rFonts w:ascii="arial" w:eastAsia="arial" w:hAnsi="arial" w:cs="arial"/>
          <w:b/>
          <w:i/>
          <w:color w:val="000000"/>
          <w:sz w:val="20"/>
          <w:lang w:val="en-US" w:eastAsia="en-US" w:bidi="ar-SA"/>
        </w:rPr>
        <w:t>Ron Engineering</w:t>
      </w:r>
      <w:r>
        <w:rPr>
          <w:rFonts w:ascii="arial" w:eastAsia="arial" w:hAnsi="arial" w:cs="arial"/>
          <w:color w:val="000000"/>
          <w:sz w:val="20"/>
          <w:lang w:val="en-US" w:eastAsia="en-US" w:bidi="ar-SA"/>
        </w:rPr>
        <w:t>, and subsequent jurisprudence on the law of tender which need not be replicated here, this Court held: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non-compliant bid does not, by its mere submission, create Contract A;</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 of non-compliance where there is a "discretion clause" is substantial compliance, not strict compliance. In other words, the question is whether there is material non-compliance;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non-compliance must be assessed on an objective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will consider the alleged misrepresentations in the order as set out in paragraphs 14 and 19 of the Further Amended Statement of Claim, set out in paragraphs 4 and 5 of these Reasons for Judgment, to determine if the representation in question were untrue, inaccurate or misleading, and if the representor acted negligently in making the misrepresentation. However, the other requirements can be considered globally.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satisfied that there was a special relationship between both the Joint Venture Defendants and Mr. Morris on the one hand, and Hub on the other. The duty between the Joint Venture Defendants and Hub is based on the duty of fairness which arises when the Contract A is entered into. However, I consider that the duty extends beyond that, and arises even before the contractors submitted bids. In particular, I consider that there is a duty to provide accurate information, and to provide the information necessary to the contractors to enable them to make an accurate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no issue that Mr. Morris acted as the agent for the Joint Venture Defendants in his dealings with the contractors. However, I also find that there was a special relationship between Mr. Morris and the contractors, because of his position as the job engineer. As such, he was the one who prepared the contract documents, the drawings, and the specifications; he was the one who provided estimates for the costs to do the job; he was the one who normally acted as the conduit between the owner and the contractors, both before and after bids were entered; and he was the one who reviewed the bids, and at least initially, determined if they were compliant. As noted in paragraph 80, I do not consider that puts him in a conflict of duties, in that his duty to both the owners and contractors was the same, in particular to provide accurate information which would not be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will also consider whether Hub relied, in a reasonable manner, on any negligent misrepresentations, and if that reliance was detrimental to Hub, in the sense that damages resulted, on a global basis. It is not necessary for Hub to show that it relied on each individual representation, which resulted in damages, if there was reliance on all of the representations, taken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first alleged misrepresentation is that "the Joint Venture Defendants have the financial ability and desire to carry out the project." I consider that statement to be true. They had been able to finance the previous phases of the project, and there is no evidence to show that they would not have been able to finance Phase 12. They did have a desire to carry out Phase 12, as indicated by the fact that it was put out to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next alleged misrepresentation is that "a budget had been prepared by the defendant engineer and had been accepted by the Joint Venture Defendants." The difficulty with this allegation is that there were in fact two budgets prepared by Mr. Morris, the initial oral one for $600,000 or $650,000, and the subsequent written one in the amount of $950,000. However, the only one which was relevant when the bids were put out to tender was the oral one, as the written one was provided after that date. As noted in paragraph 29, Mr. Morris admitted that the oral estimate was "out of the realm" and that he must have been "brain dead" when he gave it. I find that he was negligent in providing that oral estimate to the Joint Venture Defendants. However,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result in misrepresentations to Hub. It is not raised as a claim even in the Third Party Notice. However, as noted in paragraph 35, I am not satisfied that the Joint Venture Defendants accepted that oral estimate as a valid one, in light of the information which they had previously, and the uncertainty as to the quantity of rock. I have found that they should have been aware that that estimate was not an accurate one, if they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next alleged misrepresentation is that "the Joint Venture Defendants would proceed with the project if the bids were within the range of the defendant engineer's budget based on industry standards." This allegation again relies on statements made by Mr. Morris at the time of closing, to the effect that he would advise the owner of the bids, and get back to Mr. Webber "as soon as he gets the go-ahead." Again, that was done without any communications with the Joint Venture Defendants, who should have advised him that there was a significant possibility they were not going to proceed, if he had made inquiries. I thus find that Mr. Morris did act negligently in making that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also relies on the discussion between Mr. Janzen and Mr. Hartwig on May 27. However, both Mr. Janzen and Mr. Hartwig said Mr. Hartwig was "non-committal" as to whether the project would proceed. There was thus not any representation by Mr. Hartwig that the job would proceed. I do not consider that being non-committal can be considered as a representation. The fact that Mr. Hartwig raised the issue of removal of peat, which was not part of the Phase 12 contract, should have alerted Mr. Janzen to the possibility that the Joint Venture Defendants were considering other options. While the discussion between Mr. Janzen and Mr. Hartwig may be relevant to the duty of fairness under contract A, I find that it was not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next alleged misrepresentation is that "the Joint Venture Defendants would promptly advise any bidders if a tender was determined to be not compliant with the tender documents." I am not satisfied that there was any representation to that effect. Again, that may be relevant to the duty of fairness under Contract A, but was not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next alleged misrepresentation is that "the Joint Venture Defendants would promptly award the contract for the project to compliant bidder." Again, there was no specific statement to that effect. That was Mr. Webber's understanding based on the practice of the Joint Venture Defendants in previous phases. However, even that understanding was not accurate, in that at least one of the previous phases, phase 9C, did not proceed. I thus do not find any misrepresentation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other allegations relate to the period between the closing of tenders on Phase 12, May 21, 2004, and the closing of tenders on "Comox C," May 28,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first allegation is that prior to the deadline for submissions on "Comox C," the defendants represented "that the plaintiff's bid was the lowest of the three submitted bids on the project." As that is true, it was not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Next, Hub alleges a misrepresentation that its bid was "very close" to the defendant's budget for the project. As noted above, Mr. Morris did advise Mr. Webber on May 21 that the Hub bid was "close to the engineer's estimate." In fact, it was more than 10 percent over that budget and almost 40 percent over the oral estimate provided before the project was put out to tender, even accepting $650,000 as the amount of that estimate. I consider that representation to be untrue and misleading, and to be negligent on the part of Mr.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next allegation is a misrepresentation "that the plaintiff's bid was "in order." In light of my subsequent findings, in paragraph 114 that its bid was, in fact, compliant, that was not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Finally, Hub alleges that the defendants misrepresented "that the Joint Venture Defendants would award the contract in respect to the project promptly." That belief was based on Mr. Webber's somewhat mistaken impression of the practice of the Joint Venture Defendants of promptly awarding contracts to low bidders on other phases of the project. However, the statement of Mr. Morris that he would advise the owner of the bids and would get back to Mr. Webber "as soon as he gets the go-ahead" was misleading and reasonably gave rise to the expectation of Mr. Webber that the contract would be promptly awarded to Hub, the low bidder.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summary, then, the only misrepresentations I find are those of Mr. Morris that the bid of Hub was close to his estimate, and that he would advise the owner and get back to Mr. Webber as soon as he got the "go ahead." I find that Mr. Morris, as the agent of the Joint Venture Defendants, was acting negligently in making those representations. I am satisfied that Hub did rely on those representations in its decision not to submit a tender for the "Comox C" job. Even though there were no misrepresentations by Mr. Hartwig in his telephone discussion with Mr. Janzen on May 27, there was also nothing to disabuse Hub of the impression it had that it would receive the contract after the Joint Venture Defendants had their meeting on May 28. I find the reliance on those statements was reasonable, and was detrimental to Hub, as it did not submit a tender for the "Comox C" project, relying on those misrepresentations. If it had submitted a tender, it would have been the low bidder, would have received the job, and would have earned a profit which it did not otherwise earn.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Duty of Fairness in Bidding Process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Was Hub Bid in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paragraph 5 of their Amended Statement of Defence, the Joint Venture Defendants allege:</w:t>
      </w:r>
      <w:r>
        <w:rPr>
          <w:rFonts w:ascii="arial" w:eastAsia="arial" w:hAnsi="arial" w:cs="arial"/>
          <w:sz w:val="20"/>
          <w:lang w:val="en-US" w:eastAsia="en-US" w:bidi="ar-SA"/>
        </w:rPr>
        <w:cr/>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the whole of the Plaintiff's Amended Statement of Claim, the Defendants state, and the fact of the matter is, that the Plaintiff's Tender, which forms the basis of its claim in these proceedings was Non Compliant in that it breached fundamental terms of the Tender Documents and that as a result thereof the said Defendants were obliged, at law, to reject the said Plaintiff's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nature of the alleged non-compliance, and the effect of it, are set out in paragraphs 13 to 15 of the Amended Statement of Defence, as follows:</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admit that the Plaintiff submitted a tender on or around May 21, 2004, (the "Hub Tender") but states that the said Tender was in breach of the Tender Documents, as follows:</w:t>
      </w:r>
    </w:p>
    <w:p>
      <w:pPr>
        <w:numPr>
          <w:numId w:val="2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providing that it would not remove the "UN-suitable" materials other than clearing debris contrary to the requirements of the Fill Removal Condition; and</w:t>
      </w:r>
    </w:p>
    <w:p>
      <w:pPr>
        <w:numPr>
          <w:numId w:val="2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providing that the removal of materials other than clearing materials from the site would be charged to the Defendants on a cost plus basis contrary to the requirements of the Fixed Price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("Hub's Qualifications").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submit that as a result of Hub's Qualifications that Hub's Tender was a Qualified Bid and that the Defendants had the right to reject the same pursuant to the Privilege Clause and, in fact, were obligated at law to reject the same as a Qualified Bid.</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to paragraph 14 above, the Defendants owed a duty to KIL (Knappett Industries Ltd.) and FEL (Fournier Excavating Ltd.) to treat all bidders fairly and accordingly were obligated to and did reject the Hub Tender (the "Rejection").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It is not in issue that if the Hub bid was non-compliant, the Joint Venture Defendants not only had a right, but a duty to compliant bidders, to reject its bid: </w:t>
      </w:r>
      <w:r>
        <w:rPr>
          <w:rFonts w:ascii="arial" w:eastAsia="arial" w:hAnsi="arial" w:cs="arial"/>
          <w:b/>
          <w:i/>
          <w:color w:val="000000"/>
          <w:sz w:val="20"/>
          <w:lang w:val="en-US" w:eastAsia="en-US" w:bidi="ar-SA"/>
        </w:rPr>
        <w:t>M.J.B.</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supra</w:t>
      </w:r>
      <w:r>
        <w:rPr>
          <w:rFonts w:ascii="arial" w:eastAsia="arial" w:hAnsi="arial" w:cs="arial"/>
          <w:color w:val="000000"/>
          <w:sz w:val="20"/>
          <w:lang w:val="en-US" w:eastAsia="en-US" w:bidi="ar-SA"/>
        </w:rPr>
        <w:t xml:space="preserve">, paragraph 48. Further, the Joint Venture Defendants had no obligation to make inquiries to determine if the bid was compliant: </w:t>
      </w:r>
      <w:r>
        <w:rPr>
          <w:rFonts w:ascii="arial" w:eastAsia="arial" w:hAnsi="arial" w:cs="arial"/>
          <w:b/>
          <w:i/>
          <w:color w:val="000000"/>
          <w:sz w:val="20"/>
          <w:lang w:val="en-US" w:eastAsia="en-US" w:bidi="ar-SA"/>
        </w:rPr>
        <w:t>Double N. Earthmovers, supra</w:t>
      </w:r>
      <w:r>
        <w:rPr>
          <w:rFonts w:ascii="arial" w:eastAsia="arial" w:hAnsi="arial" w:cs="arial"/>
          <w:color w:val="000000"/>
          <w:sz w:val="20"/>
          <w:lang w:val="en-US" w:eastAsia="en-US" w:bidi="ar-SA"/>
        </w:rPr>
        <w:t>, paragraph 50. On the other hand, they did have the right to do so. In fact, the Joint Venture Defendants did not advise the plaintiff that its bid was non-compliant at any time prior to the commencement of this lawsuit. As noted in paragraph 46, Mr. Morris told Mr. Webber, on May 21, that Hub's bid was "in order," which can only be taken to mean that it was compliant. Further, despite the recommendation in Mr. Morris' letter of May 21 that the question of whether all the "excess" material could be used on site should be discussed further with Mr. Webber prior to issuing an award, in order to determine his exact plans, neither he nor any member of the Joint Venture Defendants made such inquiries. Nor did any of the members of the Joint Venture Defendants make any inquiries of Mr.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question, then, is whether the bid of Hub, as submitted, was compliant. The alleged non-compliance relates to paragraph 2 of addendum 1, which stated as follows: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Reference Item 9 of the "Supplementary General Conditions." As an alternative, and at the Owner's discretion, excess rock may be stockpiled at the South end of McColl Way. This alternative will ONLY be for material suitable for engineered fill. All UN-suitable material shall be removed from the site. As part of the tendered package, the Contractor is requested to provide a qualifying letter indicating a Lump Sum reduction to the bid price if suitable material is stockpiled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referenced Item 9 of the "Supplementary General Conditions" was the requirement that, "All waste and excess material within the proposed right of way for the subdivision shall be removed from the site." As noted in paragraph 48, this issue was discussed between Mr. Morris and Mr. Webber before Hub submitted its tender. Mr. Morris agreed with Mr. Webber's proposal to use the "excess" rock as fill on the lots in the development. As a result, Mr. Morris agreed that there would be no need for a credit for material stockpiled on site, as there would be no charge for removal of that material against which to apply a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cross examination, Mr. Webber conceded that his covering letter of May 21 could have been clearer. However, I am satisfied that, particularly when taken together with the discussion with Mr. Morris, it is in compliance with Addendum 1. With respect to the "unsuitable material," the first paragraph of the letter indicates that Hub is not aware of any such material, and has thus not "allowed," or charged the Joint Venture Defendants, for the cost of removing any such materials from the site. The effect of that is that if there is were such materials which did have to be removed, the cost of doing so would be that of Hub. Similarly, with respect to other "excess" materials, Mr. Webber proposed using it, as discussed with Mr. Morris, for engineered fill, lot grading, and stockpiling for future development. Again, then, there would be no such materials to be removed. If there were such materials, again that would be at the risk of Hub, rather than the expense of the Joint Venture Defendants. It was only, "If the owner requires any materials other than clearing debris to be removed from the site ..." that it would be done on a cost-plus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interpret that to mean that Hub's proposal was that the excess materials be used on site. However, if the owners wanted to use that material, for example in another subdivision elsewhere, the cost of moving it would be an additional cost to the owners. However, that would occur only if the owners specifically requested removal off site of materials which could otherwise be used as fill on site. It was thus in the nature of a charge for an extra rather than any part of the tendered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thus find that the bid submitted by Hub was compliant with the contract documents, including paragraph 2 of Addendum 1. Further, as noted, that was also the view of Mr. Morris on reviewing the bids after opening them on May 21, when he advised Mr. Webber that the Hub bid was "in order."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Application of Privilege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Paragraph 1 of the Tender Form provided "That the Owner is in no way obligated to accept this or any other tender or specific parts of this tender." The Joint Venture Defendants submit that the privilege clause enables them not to accept any tender, and not to proceed with the project at all, for economic reasons. I accept that to be the case. I also accept that the decision of the Joint Venture Defendants not to proceed with Phase 12 was for valid economic reasons. However, it is not in issue that the privilege clause does not avoid the duty of fairness in the bidding process: </w:t>
      </w:r>
      <w:r>
        <w:rPr>
          <w:rFonts w:ascii="arial" w:eastAsia="arial" w:hAnsi="arial" w:cs="arial"/>
          <w:b/>
          <w:i/>
          <w:color w:val="000000"/>
          <w:sz w:val="20"/>
          <w:lang w:val="en-US" w:eastAsia="en-US" w:bidi="ar-SA"/>
        </w:rPr>
        <w:t>Martel</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paragraph 89.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As stated most recently by Low J.A. in </w:t>
      </w:r>
      <w:r>
        <w:rPr>
          <w:rFonts w:ascii="arial" w:eastAsia="arial" w:hAnsi="arial" w:cs="arial"/>
          <w:b/>
          <w:i/>
          <w:color w:val="000000"/>
          <w:sz w:val="20"/>
          <w:lang w:val="en-US" w:eastAsia="en-US" w:bidi="ar-SA"/>
        </w:rPr>
        <w:t>Continental Steel Ltd. v. Mierau Contractors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31, there is a duty to treat all bids "fairly and equally." In the course of his cross examination, Mr. Gordon Denford made some interesting, if not startling, admissions as to what is encompassed by that duty of fairness. He agreed that it would be misleading, and unfair, to tell a contractor that its bid was "on budget" if it was not. He agreed that if the bids came in at an amount that the owner considered too high, the owner should promptly tell the engineer, presumably so that the engineer could tell the bidders. He agreed that as soon as the owners decide not to proceed, there is a duty of fairness to advise the contractors. To that I would add that the owner has a duty to promptly advise a contractor if its position is that the contractor's bid is non-compliant.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in this case, the Joint Venture Defendants did not comply with the requirements of their duty of fairness. Specifically, I consider it was a breach of that duty for the Joint Venture Defendants to put the job out for tender based on an oral estimate which it knew, or ought to have known, was inaccurate, in the "hope" that a contractor would make a similar mistake, and submit a low bid. It was unfair to proceed with the bidding process when the Joint Venture Defendants were provided with Mr. Morris' written Opinion of Costs, in the "hope" that there would be a low bid, when the project would not have been economic at the revised estimated price. It was unfair for Mr. Morris to advise Mr. Webber on May 21 that the Hub bid, was "close to the engineer's estimate", when it was substantially higher, and to advise Mr. Webber that he would contact the owner and get back to Mr. Webber "as soon as he gets the go-ahead." Those statements, would, quite reasonably, lead Mr. Webber to believe that the job would be awarded to Hub.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Finally, it was unfair not to advise Mr. Morris, and through him, the contractors, when the Joint Venture Defendants decided not to proceed with any of the bids, which I find to have been at the meeting on May 28. In fact, the members of the Joint Venture did not even advise Mr. Morris that they were "surprised" or "disappointed" with the bids, which all say was the case. They also did not advise Mr. Morris, or Mr. Webber, about any concerns as to whether the Hub bid was non-compliant.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thus find that the Joint Venture Defendants treated the bidders, and in particular, Hub, with callous indifference throughout the process, in breach of their duty of fairness to the bidders.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As I have found that there was negligent misrepresentation on the part of the defendants, Hub is entitled to be put in the position in which it would have been had the statement not been made: </w:t>
      </w:r>
      <w:r>
        <w:rPr>
          <w:rFonts w:ascii="arial" w:eastAsia="arial" w:hAnsi="arial" w:cs="arial"/>
          <w:b/>
          <w:i/>
          <w:color w:val="000000"/>
          <w:sz w:val="20"/>
          <w:lang w:val="en-US" w:eastAsia="en-US" w:bidi="ar-SA"/>
        </w:rPr>
        <w:t>Rainbow Industrial Caterers v. Canadian National Radio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this case, I accept the submission on behalf of Hub that, if there had not been negligent misrepresentations, it would have submitted a bid on the "Comox C" project; that it would have been the low bidder; that it would have received the work; and that it would have made a profit, likely in an amount more than the markup in its bid of $210,442. In that regard, the amount of the markup in its bid on "Comox B," of $181,968, and its profit of $398,386, is good evidence of the profit which Hub could have anticipated earning on the "Comox C" job. It would have been able to continue the work on "Comox C" after completing "Comox B," presumably enjoying the same, if not more, efficiencies.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also accept that Hub did not obtain any other work to replace the loss of earnings of getting neither Phase 12 nor "Comox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While I accept that Hub would likely have earned more than the mark-up in its bid on "Comox C", I am not satisfied that I should merely apply the same proportion by which the actual profit exceeded the mark-up on the "Comox B" project. There are uncertainties. For example, while Hub might have achieved the same additional efficiencies which it did on the "Comox B" job, it may well be that all such efficiencies had already been earned in the profit on "Comox B." In those circumstances, I assess damages in the amount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Third-Party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Joint Venture Defendants claim indemnity from Mr. Morris and Morris Engineering Ltd. In sub-paragraph (f) of the facts on which the Joint Venture Defendants rely in the Third Party Notice they state:</w:t>
      </w:r>
      <w:r>
        <w:rPr>
          <w:rFonts w:ascii="arial" w:eastAsia="arial" w:hAnsi="arial" w:cs="arial"/>
          <w:sz w:val="20"/>
          <w:lang w:val="en-US" w:eastAsia="en-US" w:bidi="ar-SA"/>
        </w:rPr>
        <w:cr/>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Court should find the facts to be as alleged by the Plaintiff with respect to acts or omissions or breaches on the part of the Defendants, then the Defendants say:</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Parties acts, omissions and/or breaches were committed without the knowledge of the Defendants and/or were not authorized, condoned, approved, ratified or acquiesced in either expressly or impliedly, by them; and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Parties acts, omissions and/or breaches were committed in breach of the Third Parties' duties, contractual or otherwise, express or implied, to the Defendants or, alternatively, were committed outside the scope of the Third Parties'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found that Mr. Morris was negligent in advising Mr. Webber that his bid was "close to (the) engineer's estimate," and that he would advise Mr. Webber "as soon as he gets go-ahead." I do not find those statements were made outside the scope of his authority. They are the type of statements which an engineer might properly make if he was properly informed. The fundamental problem, however, is that the Joint Venture Defendants failed to keep Mr. Morris properly informed. If he was aware that they were proceeding with the tenders in the "hope" that they would get a bid in the range of his oral estimate, he would undoubtedly not have told Mr. Webber either that the Hub bid was close to his estimate, or that he would advise Mr. Webber when he got the go-ahead. I consider that the fundamental problem was the callous indifference of the Joint Venture Defendants, in failing to advise Mr. Morris, as well as the bidders, of their true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those circumstances, the claim for contribution and indemnity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VIII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Hub Excavating Ltd. has been successful in its claim. Unless there are Offers to Settle of which I am unaware, it will be entitled to its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Law Society of British Columbia v. Dempsey, [2005] B.C.J. No. 1985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4, 2005 (New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L050983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1985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1277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346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Law Society of British Columbia, petitioner, and John Ruiz Dempsey,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9" w:name="Keywords_16"/>
      <w:bookmarkEnd w:id="159"/>
      <w:r>
        <w:rPr>
          <w:rFonts w:ascii="arial" w:eastAsia="arial" w:hAnsi="arial" w:cs="arial"/>
          <w:b/>
          <w:color w:val="000000"/>
          <w:sz w:val="20"/>
          <w:lang w:val="en-US" w:eastAsia="en-US" w:bidi="ar-SA"/>
        </w:rPr>
        <w:t>Civil procedure — Parties — Vexatious litigant — Petition for injunction enjoining respondent from commencing proceedings without leave of court allowed — Respondent had pattern of commencing multiple unsuccessful proceedings, commencing proceedings that had no cause of action, attempting to re-litigate unsuccessful actions and lodging appeals without merit.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Practice by unauthorized persons — Injunctions against — Petition for injunction enjoining respondent from representing himself as a lawyer and from practicing law with an expectation of profit allowed — Respondent was not lawyer or member of Law Society but publicly represented himself as a lawyer and practiced law with an expectation of profit — Legal Profession Act, S.B.C. 1998, c. 9, s. 15.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0" w:name="Case Summary_16"/>
            <w:bookmarkEnd w:id="1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Respondent claimed to be a lawyer trained abroad -- Respondent was not a member of the bar -- Respondent represented others in proceedings and attempted to initiate legal proceedings in which he was representative plaintiff -- Courts commented that respondent was not competent or able to represent litigants -- Respondent unsuccessful in most proceedings -- Respondent appealed all unsuccessful results -- Respondent claimed that petitioner had no jurisdiction over him -- Respondent claimed he did not solicit fees for his services but that he accepted donations -- Petition for injunction prohibiting respondent from practicing law with expectation of profit, from holding himself out as a lawyer, from instituting proceedings on his own behalf, requiring him to inform the public of the limitations on his ability to practice and to inform the petitioner of all matters in which he acted in a representative capacity allowed in part -- Petitioner had jurisdiction over respondent under its jurisdiction to protect the public -- Freedom of contract did not allow respondent to contract with persons for the provision of legal services -- Evidence indicated that respondent represented himself as a lawyer on several occasions -- Evidence indicated that respondent offered legal services in expectation of profit on one occasion -- Deliberate obscurity surrounding respondent's treatment of fee issues constituted sound grounds for granting injunction -- Respondent improperly acted in representative actions on behalf of others on two occasions in contravention of the Legal Professions Act -- Respondent was vexatious litigant -- Respondent commenced multiple actions and appealed unsuccessful proceedings without providing reasonable grounds -- Unfavourable proceedings led respondent to attack personal integrity of decision maker -- Respondent demonstrated lack of ability to plead in court and lack of legal knowledge -- Respondent was not competent to represent litigants -- Not practicable to compel respondent to inform public about his limitations on practicing law, as such order was difficult to enforce -- Order compelling respondent to inform petitioner of proceedings in which respondent sought audience allowed the petitioner to intervene to protect the public.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1" w:name="Legislation Cited_9"/>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6"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Society Act,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Society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 Act, </w:t>
      </w:r>
      <w:hyperlink r:id="rId541" w:history="1">
        <w:r>
          <w:rPr>
            <w:rFonts w:ascii="arial" w:eastAsia="arial" w:hAnsi="arial" w:cs="arial"/>
            <w:i/>
            <w:color w:val="0077CC"/>
            <w:sz w:val="20"/>
            <w:u w:val="single"/>
            <w:shd w:val="clear" w:color="auto" w:fill="FFFFFF"/>
            <w:lang w:val="en-US" w:eastAsia="en-US" w:bidi="ar-SA"/>
          </w:rPr>
          <w:t>S.B.C. 1998, c. 9, s. 1</w:t>
        </w:r>
      </w:hyperlink>
      <w:r>
        <w:rPr>
          <w:rFonts w:ascii="arial" w:eastAsia="arial" w:hAnsi="arial" w:cs="arial"/>
          <w:color w:val="000000"/>
          <w:sz w:val="20"/>
          <w:lang w:val="en-US" w:eastAsia="en-US" w:bidi="ar-SA"/>
        </w:rPr>
        <w:t>(1), s. 1(1), s. 1(1), s. 15(1), s. 15(4), s. 15(5), s. 85(5), s. 85(6)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Power of Attorney Act, </w:t>
      </w:r>
      <w:r>
        <w:rPr>
          <w:rFonts w:ascii="arial" w:eastAsia="arial" w:hAnsi="arial" w:cs="arial"/>
          <w:i/>
          <w:color w:val="000000"/>
          <w:sz w:val="20"/>
          <w:lang w:val="en-US" w:eastAsia="en-US" w:bidi="ar-SA"/>
        </w:rPr>
        <w:t>R.S.B.C. 1996, c. 370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Act, R.S.B.C. c. 443, s. 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2" w:name="Counsel_26"/>
      <w:bookmarkEnd w:id="1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P.G. Voith, Q.C. J.L. MacAdam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Appearance in Person and Agent: J.R. Dempsey Lovey Cridge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26"/>
      <w:bookmarkEnd w:id="163"/>
      <w:r>
        <w:pict>
          <v:line id="_x0000_s1148"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J.W. WILLIAMS J."/>
            <w:bookmarkEnd w:id="164"/>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John Ruiz Dempsey is not a member of the Law Society of British Columbia (the "Law Society"). A self-styled "forensic litigation specialist", he has commenced and defended, both on his own behalf and as an agent for others, a great many legal proceedings in this province. The record before the Court indicates that he has been singularly unsuccessful in these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order to protect both the public and the integrity of the administration of justice from an individual whom it characterizes as legally incompetent and excessively litigious, the Law Society seeks the following relief:</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injunction pursuant to ss. 15 and 85 of the Legal Profession Act,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(the "Act") enjoining Mr. Dempsey from engaging in the unauthorized practice of law in expectation of a fee, from representing himself as a lawyer, and from commencing or defending proceedings on behalf of others regardless of the expectation of benefit;</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under s. 18 of the Supreme Court Act, R.S.B.C., c. 443 that Mr. Dempsey is a vexatious litigant and an order that he not commence or continue any proceeding in any court on his own behalf without leave of the court; and</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pursuant to the Court's inherent jurisdiction requiring Mr. Dempsey to advise all members of the public and members of the legal procession with whom he comes into contact in relation to legal matters of, inter alia, his lack of status with the Law Society, and an order requiring Mr. Dempsey to advise the Law Society of any matters that are or may be before the Court in which he has any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Dempsey responds that neither the Law Society nor this Court have jurisdiction with respect to this matter. He further submits that the Law Society has failed to demonstrate that he has engaged in the unauthorized practice of law, and he characterizes this petition as an illegal interference with his contractual relationships with those for whom he acts as agent pursuant to the common law right to contract and the Power of Attorney Act, </w:t>
      </w:r>
      <w:r>
        <w:rPr>
          <w:rFonts w:ascii="arial" w:eastAsia="arial" w:hAnsi="arial" w:cs="arial"/>
          <w:i/>
          <w:color w:val="000000"/>
          <w:sz w:val="20"/>
          <w:lang w:val="en-US" w:eastAsia="en-US" w:bidi="ar-SA"/>
        </w:rPr>
        <w:t>R.S.B.C. 1996, c. 370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provisions of the Legal Profession Act that govern this petition are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"practice of law" includes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as counsel or advocate,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petition, memorandum, notice of articles or articles under the Business Corporations Act, or an application, statement, affidavit, minute, resolution, bylaw or other document relating to the incorporation, registration, organization, reorganization, dissolution or winding up of a corporate body,</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for use in a proceeding, judicial or extrajudicial,</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will, deed of settlement, trust deed, power of attorney or a document relating to a probate or letters of administration or the estate of a deceased person,</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relating in any way to a proceeding under a statute of Canada or British Columbia, or</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instrument relating to real or personal estate that is intended, permitted or required to be registered, recorded or filed in a registry or other public office,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an act or negotiation in any way for the settlement of, or settling, a claim or demand for damages,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agreeing to place at the disposal of another person the services of a lawyer,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legal advice,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an offer to do anything referred to in paragraphs (a) to (e),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 representation by a person that he or she is qualified or entitled to do anything referred to in paragraphs (a) to (e),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of those acts if not performed for or in the expectation of a fee, gain or reward, direct or indirect, from the person for whom the acts are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15(1) No person, other than a practising lawyer,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permitted to engage in the practice of law, except</w:t>
      </w:r>
      <w:r>
        <w:rPr>
          <w:rFonts w:ascii="arial" w:eastAsia="arial" w:hAnsi="arial" w:cs="arial"/>
          <w:sz w:val="20"/>
          <w:lang w:val="en-US" w:eastAsia="en-US" w:bidi="ar-SA"/>
        </w:rPr>
        <w:cr/>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an individual party to a proceeding acting without counsel solely on his or her own behalf,</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permitted by the Court Agent Act,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articled student, to the extent permitted by the benchers,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 or articled student referred to in section 12 of the Legal Services Society Act, to the extent permitted under that Act,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lawyer of another jurisdiction permitted to practise law in British Columbia under section 16(2)(a), to the extent permitted under that section,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practioner of foreign law holding a permit under section 17(1)(a), to the extent permitted under that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A person must not falsely represent himself, herself or any other person as being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lawyer,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articled student, a student-at-law or a law clerk,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(1)(e) or (f).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Except as permitted in subsection (1), a person must not commence, prosecute or defend a proceeding in any court, in the person's own name or in the name of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Section 85(5) entitles the Law Society to apply to the Supreme Court for an injunction restraining a person from contravening the Act. Subsection (6) provides that the Court may grant that injunction if satisfied that there is reason to believe that there has been or will be a contravention of the Act or the Law Society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18 of the Supreme Court Act pursuant to which the Law Society also seeks relief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Vexatious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Procedural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Law Society filed a significant volume of affidavit material in support of its petition. That body of evidence will be reviewed in considerable detail below to provide necessary context for the determination of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Dempsey delivered a Response to the Law Society's petition that opposed all relief sought. He did not file any further material until the day of the hearing when he submitted an unusual document entitled "Constructive Notice of Child of God Status". In it, Mr. Dempsey claims the status of "Child of God" with the following purported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living or artificial who wishes to claim any authority over me must first prove they exist above God; they are God; they are between me and God; or they have a document upon the face of which can be found the verifiable signature of God.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first do one of the above mentioned things means all claims to authority is abandoned or is unlawful.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Attempting to exercise any authority over me without first fulfilling one of the four above mentioned requirements is an unlawful act of fraud and/or extortion.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document is signed, witnessed and sealed with Mr. Dempsey's thumbprint.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response to the Law Society's petition, however, Mr. Dempsey forwarded documents to the Law Society and its counsel, including an "Offer for Agreement and Peaceful Co-existence" and another entitled "Jurisdictional Challenge". The "Offer for Agreement and Peaceful Co-existence" advised that Mr. Dempsey was an "attorney-in-fact pursuant to common law and the Power of Attorney Act" and challenged the Law Society's jurisdiction. It suggested that the parties meet to discuss the matter, and went on to indicate that failure to accept the offer would constitute a "form of assault" on the part of the Law Society and would lead to the initiation of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"Jurisdictional Challenge" contained 11 requests for information, including, by way of example, the following: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provide legal authority or statute relied to by the LAW SOCIETY OF BRITISH COLUMBIA in its Petition, SCBC File # L050983 Vancouver Registry.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[sic] name of ministry and name and title of minister appointed or commissioned to administer or enforce the statute relied to by the LAW SOCIETY OF BRITISH COLUMBIA.</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provide verifiable evidence, such as contracts, agreements, undertakings, letters of patent confirming validity, lawfulness of appointment or commission.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provide authority or justification whether the LAW SOCIETY OF BRITISH COLUMBIA has the power or jurisdiction to annul, interfere or frustrate :John-Ruiz: Dempsey's lawful contracts with his principals, regarding his being attorney-in-fact on behalf of his principals.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provide any verifiable proof of any damage suffered by the LAW SOCIETY OF BRITISH COLUMBIA whether in tort or in contract resulting from any act(s) of :John-Ruiz: Dempsey and/or his principals.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concluded with the unilateral imposition of a deadline to respond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 (10) days have been allowed for the Petitioner, the LAW SOCIETY OF BRITISH COLUMBIA to respond to this Jurisdictional Challenge. Failure to comply with the above shall be deemed that the Petitioner does not have the jurisdiction or legal standing to file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the foregoing, a number of individuals forwarded correspondence and what appear to be form documents entitled "Notice of Acceptance to Contract" to the Law Society. Each indicated that the "secured party" had entered into a private contract with Mr. Dempsey appointing the latter as their attorney in accordance with the common law and the Power of Attorney Act, and alleged that the Law Society had filed its petition "for the purpose of directly interfering with the secured party's contractual relationship with his attorney". The documents purported to impose the following terms and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RESPONDENTS [the Law Society and its counsel] chooses to trespass on or interfere in any manner whatsoever, with the private contract between the secured party's contract with his attorney, the RESPONDENTS agree to compensate secured party for One Million Dollars ($1,000,000.00) within 10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RESPONDENTS does not deliver One Million Dollars ($1,000,000.00) within 10 days as agreed to in this contract, the RESPONDENTS agree to compensate secured party for triple damages or Three Million Dollars ($3,000,000.00) thereafter and may be subject to involuntary bankruptcy in their private and corporate capacities to settle the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RESPONDENTS withdraws their offer to contract within 10 days, then this contract shall become void and secured party will not proceed with enforcement of the above terms and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said, so it is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there is no evidence that these "Notices of Acceptance to Contract" were authored by Mr. Dempsey, he was copied with some of the correspondence that accompanied them. It therefore appears that they were sent, at a minimum, with his knowledge and assent.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outset of the hearing on August 4th, Mr. Dempsey challenged the Law Society's standing to bring this petition on the primary basis that it lacked jurisdiction since he was not a member. The jurisdictional issue was also res judicata, he submitted, since the Law Society's failure to respond to his Jurisdictional Challenge resulted in its lack of jurisdiction and legal standing being deemed in accordance with the stipulation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apparent protest to my ruling that there was no merit to his jurisdictional challenge, Mr. Dempsey absented himself from the courtroom for most of the Law Society's submissions. When he later returned, he endeavoured to question the Court and others in the courtroom as to whether anyone had a claim against him. He declared that he had never attorned to the jurisdiction of this Court and that "whatever you decide, I'm not going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Lovey Cridge subsequently spoke on Mr. Dempsey's behalf as his agent. Ms. Cridge is not a lawyer and indicated that she was a certified management accountant. She read a prepared statement on behalf of Mr. Dempsey that can only be characterized as a colourful attack on the Law Society and the legal profession. To the extent that aspects of those submissions are responsive to issues raised in this petition, they are referenced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Dempsey sought to file further material on or about August 10, 2005. I accepted that material and provided the Law Society with an opportunity to respond, though it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One of the documents submitted by Mr. Dempsey is entitled "Notice of Acceptance of Oath of Office". Its material portions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does hereby and herein accept the Oath of Office of James W. Williams d/b/a/ JUSTICE (JAMES W.) WILLIAMS/PUBLIC SERVANT and all heirs, assigns, and successors, as his open and binding offer of contract to form a firm and binding, private, bilateral contract between parties in which he agrees to perform all of his duties as a Public Servant and promises to uphold all of the Undersigned's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foregoing "Notice of Acceptance of Oath of Office" is an instrument in commerce CUSIP No. 718895600, and is made explicitly under reserve and without recourse and the foregoing has established your promise to uphold all of the Undersigned's rights and not allow any third-party agents to interfere in your duties to the Undersigned. Failure to respond to this offer of contract within three business days of receipt establishes your unconditional acceptance and will place you and your office in default, and the presumption will be taken upon the public record that you, and your office, fully agree to the points and authorities contained within this Notice of Acceptance of Oath of Office and that they are true, correct and certain.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signature block refers to Mr. Dempsey as "Third Party Interest Intervener, Secured Party Creditor, Authorized Agent", and indicates that the document was signed "without prejudice, under reserve, and without recourse". This document has been notarized.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Attached to this "Notice of Acceptance of Oath of Office" is a three page letter summarizing Mr. Dempsey's position on this petition, the submission read in court by Ms. Cridge and a copy of the "Jurisdictional Challenge" earlier forwarded to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Dempsey is not, and never has been, a member of the Law Society. He states that this is so as a matter of choice. Due to what he considers the Law Society's monopoly on the word "lawyer" and the negative regard with which lawyers are held, Mr. Dempsey has taken instead to referring to himself as a "forensic litigation specialist". He advised the Court that he has a law degree and a degree in criminology; he also uses the designations LL.B and BSCr. on his personal website and in correspondence. There is, however, no evidence before the Court that he has had any such education or training. Documents from the Supreme Court of the Philippines and the Integrated Bar of the Philippines indicate that Mr. Dempsey has never been qualified to practice law in that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regarding Mr. Dempsey's involvement in legal proceedings will be discussed under three categories: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commenced or defended by Mr. Dempsey on his own behalf;</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commenced or defended by Mr. Dempsey as an agent for others;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Most of the facts that follow in this section are drawn from filed court documents and from judgments and rulings rendered by this Court and the Court of Appeal.</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commenced or defended by Mr. Dempsey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Since 1996, Mr. Dempsey has initiated in excess of 10 proceedings in this Court on his own behalf. These include:</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Ruiz Dempsey and Ruthelma Calusin Dempsey v. Kuldip Kaur Virdi (C965121, Vancouver Registry), filed September 5, 1996;</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Ruiz Dempsey and Ruthelma Dempsey v. Metro Pointe Development Corp. (C965885, Vancouver Registry), filed October 17, 1996;</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Ruiz Dempsey v. Kandy Y.B. Ma and Seafair Realty Ltd. (S055431, New Westminster Registry), filed August 27, 1999;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 Dempsey v. Steve Berry, The Province, Canwest Global Communications and L.A.P. (S89255, New Westminster Registry) filed November 12,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Others are discussed in some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Many actions were discontinued or remain dormant. The dispositions of those that proceeded were not in Mr. Dempsey's favour, and costs were routinely assessed against him. Mr. Dempsey has also defended a number of actions for loan default, again with unfavourable results. The one area in which he has experienced a considerable measure of success has been in seeking indigent status, as a result of which he has been largely relieved of the obligation to pay court filing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Five proceedings arise from a dispute regarding a residential property in Surrey, British Columbia, formerly owned by Mr. Dempsey. I will briefly review these as they demonstrate Mr. Dempsey's approach to litigation.</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Regarding the Surrey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genesis of this saga was a lease/purchase agreement between the Dempseys, the owners of the Surrey property and their tenants, the Pearts. In the spring of 1999, a dispute regarding payment of rent led to various arbitration proceedings under the auspices of the Residential Tenancy Office. These were followed by a series of legal proceedings as follows:</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 No. L000320,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Dempsey filed a petition for judicial review of certain of the arbitration decisions. He applied for and was granted indigent status. There has been no activity on this file since an appearance was filed in November 2002.</w:t>
      </w:r>
      <w:r>
        <w:rPr>
          <w:rFonts w:ascii="arial" w:eastAsia="arial" w:hAnsi="arial" w:cs="arial"/>
          <w:sz w:val="20"/>
          <w:lang w:val="en-US" w:eastAsia="en-US" w:bidi="ar-SA"/>
        </w:rPr>
        <w:cr/>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No. S053423, New Westminster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Dempsey commenced this action against the Pearts, the Ministry of the Attorney General, the Residential Tenancy Office and the Arbitration Review Panel in May 1999. The province was subsequently substituted for the latter parties. The Pearts were represented by Lynda Casey of the firm, Nordman Casey &amp; Company. The statement of claim alleged breach of contract, unlawful interference with contractual relations,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statutory duty and obstruction of justice. Mr. Dempsey was again granted indigent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Dempsey was not successful on this action. Firstly, Bouck J. struck out the claim against the province as an abuse of process. Mr. Dempsey had initially applied to add the province as a defendant but when that application was dismissed, applied ex parte before a different Master to substitute the province for the Residential Tenancy Office and Arbitration Review Panel. This time the order was granted. That second application formed the basis of the abuse of process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Secondly, Bouck J. struck out the claims against the other defendants on the grounds that they fell within the jurisdiction of the Residential Tenancy Act. He made it a condition of the dismissal that certain funds held in trust by Nordman Casey &amp; Co. be paid out to the Dempseys, though he ordered that the Pearts were entitled to deduct their costs as taxed prior to the payment out of those funds. It appears that the Pearts' costs exceeded the funds held in trust and that no monies were paid out to Mr. Dempsey.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Dempsey subsequently appealed Bouck J.'s order but was not timely in filing the requisite materials (CA027093). He applied to the Court of Appeal for an extension of time but his application was dismissed for lack of merit in the appeal. Low J.A., in dispensing with the requirement that Mr. Dempsey approve the form of the order, commented "this is a simple order that should be entered promptly, and in view of the history of this litigation, I have no confidence that that can be accomplished."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Actions No. S013774, S013775 and L013285,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Dempsey subsequently brought three other actions in connection with the Surrey property:</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No. S013774 against the Pearts and their children, Ms. Casey and Nordman Casey &amp; Company, Brent Roberts and related realty companies, and Paul Makortoff and Bayfield Investments;</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No. S013775 against the Pearts and their two children; and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No. L013285 against Ms. Casey and Nordman Casey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pleadings are prolix and allege a broad range of misconduct on the part of these various parties that is similar across the three actions. The essence of the allegations was described by the Court of Appeal in a later proceeding, </w:t>
      </w:r>
      <w:hyperlink r:id="rId542" w:history="1">
        <w:r>
          <w:rPr>
            <w:rFonts w:ascii="arial" w:eastAsia="arial" w:hAnsi="arial" w:cs="arial"/>
            <w:i/>
            <w:color w:val="0077CC"/>
            <w:sz w:val="20"/>
            <w:u w:val="single"/>
            <w:shd w:val="clear" w:color="auto" w:fill="FFFFFF"/>
            <w:lang w:val="en-US" w:eastAsia="en-US" w:bidi="ar-SA"/>
          </w:rPr>
          <w:t>[2004] B.C.J. No. 1467</w:t>
        </w:r>
      </w:hyperlink>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2004 BCCA 395</w:t>
        </w:r>
      </w:hyperlink>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Dempsey's property was foreclosed as a result of the Pearts and Ms. Casey not paying him what he was owed;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Casey provided legal representation to the Pearts and in some manner was alleged to have fraudulently dealt with the trust funds referred to in Bouck J.'s order;</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Roberts, a real estate agent and former friend of Mr. Dempsey, sold property to the Pearts without Mr. Dempsey's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were successful on their applications to have the three actions dismissed. Loo J. held that Actions S013774 and S013775 were reiterations of the claims earlier dismissed by Bouck J. or were otherwise predicated upon proof of the claims raised in that action. She further concluded that the claims against Ms. Casey and the realtors disclosed no cause of action and were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Loo J. made a vexatious litigant order against Mr. Dempsey with respect to proceedings relating to the Surrey property pursuant to s. 18 of the Supreme Court Act. In so doing, she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Dempsey, although I sympathize with him, as he has tried as he might to seek what he considers to be an injustice [sic], is improperly using the various proceedings to advance claims that are not sustainable at law; and I would go so far as to say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also awarded costs to the defendants in all three actions with special costs to Ms. Casey in Action No. S013774.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When the defendants were required to resort to garnishing orders to realize on these costs, Mr. Dempsey applied to have the garnishing orders set aside. However, his application was inappropriately framed and was described by Harvey J. as "misconceived". He noted various procedural irregularities, including the fact that the matter was being spoken to ex parte, and dismissed the application, </w:t>
      </w:r>
      <w:hyperlink r:id="rId543" w:history="1">
        <w:r>
          <w:rPr>
            <w:rFonts w:ascii="arial" w:eastAsia="arial" w:hAnsi="arial" w:cs="arial"/>
            <w:i/>
            <w:color w:val="0077CC"/>
            <w:sz w:val="20"/>
            <w:u w:val="single"/>
            <w:shd w:val="clear" w:color="auto" w:fill="FFFFFF"/>
            <w:lang w:val="en-US" w:eastAsia="en-US" w:bidi="ar-SA"/>
          </w:rPr>
          <w:t>[2003] B.C.J. No. 2491</w:t>
        </w:r>
      </w:hyperlink>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2003 BCSC 1642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April 2002, Mr. Dempsey appealed from Loo J.'s order (CA029621). Although he was timely in bringing the appeal, it was later placed on the inactive list after necessary steps in the appeal were not taken within the required time. Mr. Dempsey applied to have his appeal removed from the inactive list but was not present in court when the motion came on for hearing. Thackray J.A. dismissed the application on the basis that the appeal was without merit and awarded costs against Mr. Dempsey. Mr. Dempsey then applied to have Thackray J.A.'s order reviewed by a panel of the Court of Appeal. It dismissed his application. The Court held as follows at </w:t>
      </w:r>
      <w:hyperlink r:id="rId542" w:history="1">
        <w:r>
          <w:rPr>
            <w:rFonts w:ascii="arial" w:eastAsia="arial" w:hAnsi="arial" w:cs="arial"/>
            <w:i/>
            <w:color w:val="0077CC"/>
            <w:sz w:val="20"/>
            <w:u w:val="single"/>
            <w:shd w:val="clear" w:color="auto" w:fill="FFFFFF"/>
            <w:lang w:val="en-US" w:eastAsia="en-US" w:bidi="ar-SA"/>
          </w:rPr>
          <w:t>[2004] B.C.J. No. 1467</w:t>
        </w:r>
      </w:hyperlink>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2004 BCCA 395</w:t>
        </w:r>
      </w:hyperlink>
      <w:r>
        <w:rPr>
          <w:rFonts w:ascii="arial" w:eastAsia="arial" w:hAnsi="arial" w:cs="arial"/>
          <w:color w:val="000000"/>
          <w:sz w:val="20"/>
          <w:lang w:val="en-US" w:eastAsia="en-US" w:bidi="ar-SA"/>
        </w:rPr>
        <w:t>, paras. 36 - 38: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examination of the pleadings in the three actions confirms that they are a repetition of allegations found in the earlier action dismissed by Mr. Justice Bouck with the addition of claims against other parties that do not have any foundation in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earlier, Mr. Dempsey has not proceeded with his judicial review application in relation to the arbitral proceedings and his appeal of Mr. Justice Bouck's order has been dismissed as abandoned.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hallmarks of vexatious litigation is the repetition of the same or similar claims in respect of the same subject matter in multiple proceedings against the same defendants or those associated with them. A review of the pleadings shows that to be the case with the three actions Mr. Dempsey has brought. In our view, Mr. Justice Thackray was correct in concluding that an appeal of Madam Justice Loo's order under s. 18 of the Supreme Court Act was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Dempsey appears to have applied for leave in accordance with the terms of Loo J.'s vexatious litigant order to re-open the four actions discussed above. He additionally sought to have Loo J. and certain of the defendants present for examination at the hearing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Clearly unhappy with the outcomes of these proceedings, Mr. Dempsey filed complaints impugning the professional integrity of those he considered responsible. He wrote a letter to the Canadian Judicial Council alleging that Loo J. had rendered her order dismissing his actions and declaring him a vexatious litigant without a proper hearing, thereby depriving him of his right of due process. In Mr. Dempsey's words, Loo J. "knew or should or have know, that she had conscientiously, arbitrarily, capriciously, deliberately, intentionally, and knowingly engaged in conduct in violation of the Supreme Law of the Land, in violation of her duty under the law, in fraud upon the court' and to aid and abet others in criminal activity, thus making herself a principal in the criminal activity". He copied the letter to a number of individuals, including a reporter for the Province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Dempsey also targeted Ms. Casey, filing complaints against her with the Law Society and the RCMP. He additionally submitted a claim to the Law Society's Special Compensation Fund on the basis of her alleged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Petition No. H990910,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June 1999, CIBC Mortgages Inc. commenced foreclosure proceedings with respect to the Surrey property. Mr. Dempsey filed a third party notice against the Pearts and the province (as having responsibility for the Ministry of the Attorney General, the Residential Tenancy Office, and the Arbitration Review Panel). The province was successful in having the third party notice set aside as against it with costs. Mr. Dempsey then filed a notice of appeal with respect to that order, though it does not appear that it was pursued. The property was ultimately sold by way of a vesting order.</w:t>
      </w:r>
      <w:r>
        <w:rPr>
          <w:rFonts w:ascii="arial" w:eastAsia="arial" w:hAnsi="arial" w:cs="arial"/>
          <w:sz w:val="20"/>
          <w:lang w:val="en-US" w:eastAsia="en-US" w:bidi="ar-SA"/>
        </w:rPr>
        <w:cr/>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Dempsey's litigious propensities are not limited to the proceedings regarding the Surrey property and are evident elsewhere. By way of example, a petition (No. S068661) brought by First Heritage Delta Credit Union against Mr. Dempsey for mortgage default spawned the following activity:</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Brine pronounced an Order Nisi and Order for Conduct of Sale on October 25, 2001. Costs were ordered against Mr. Dempsey;</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 appealed Master Brine's order. Holmes J. dismissed the appeal and awarded First Heritage Delta Credit Union costs on December 12, 2001;</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 applied for a stay pending appeal of Holmes J.'s order and for conversion of the petition to an action. Slade J. dismissed the application and awarded First Heritage Delta Credit Union costs. On January 29, 2002, he ordered the sale of the subject property to Jaspal Singh Nagra and Satwant Singh Nagra;</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 filed a writ and statement of claim on February 5, 2002 (Action No. S069832, New Westminster Registry) against First Heritage Delta Credit Union, its collection manager and the appraisal company that had prepared an appraisal of the property alleging, inter alia, conspiracy to procure a "bogus appraisal" to expedite the conduct of sale of the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filed statements of defence in March 2002.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Dempsey applied to amend the statement of claim in June 2004. He filed a Notice of Intention to Proceed shortly thereafter but has taken no further action.</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 filed another writ and statement of claim on February 15, 2002 (Action No. S71965, New Westminster Registry) against First Heritage Delta Credit Union, its collection manager, and the Nagras (the purchasers of the property) for unlawful interference with his contractual relations with a third party to purchase the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filed statements of defence but no further action has been taken on the matter.</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commenced or defended by Mr. Dempsey as agent for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Dempsey has been involved in over ten proceedings in the capacity of agent. Those in which his "clients" have been defendants consist largely of debt collection actions initiated by financial institutions. These include: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CIBC v. Darmantchev (Action No. S85767, New Westminster Registry);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CIBC v. Deglan (Action No. S88741, New Westminster Registry);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Diners Club International/Enroute v. Nevlud et al. (Petition No. L042078, Vancouver Registry);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 of Montreal v. Liong (Action No. S044649, Vancouver Registry);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CIBC v. Luinenburg (Action No. S87315, New Westminster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strategy in many of these cases has been similar: challenge the authenticity of the debt and the right of counsel for the creditor to attempt to collect on it. In CIBC v. Luinenburg, for example, the statement of defence asserts at paras. 11 and 12 that: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contracts entered into by the Defendant with the Plaintiff, if any, were rendered null and void from the start by the Plaintiff due to its own anticipated breach, fraudulent or negligent misrepresentation, failure or lack of legal consideration, unlawful or usurious interest rates based on nothing.</w:t>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law in Canada that empowers the Plaintiff to create money out of nothing and then charge interest on such monies being created where the Plaintiff never loaned any money of their own, neither risked any money of their own nor did they lose or stand to lose any money of their own at any time. Further, the Canada Bank Act forbids any banks and financial institutions from lending out their own asset and/or money or their depositors'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essence of the defence is that the loans and financing agreements between the plaintiff bank and the defendant were void for lack of, or unlawful, consideration. The counterclaim filed against the CIBC in this proceeding is similarly based on the notion of the unlawful creation of money by financial institutions, and seeks a wide range of declaratory relief. It also adds CIBC's counsel in the collection proceedings as parties and alleges deceit, malicious interference with contractual relations, and the wrongful institution of civil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Dempsey was denied privilege of audience in CIBC v. Deglan and Diners Club v. Nevlud . Privilege of audience applications are pending in CIBC v. Luinenburg and Bank of Montreal v. Liong.</w:t>
      </w:r>
      <w:r>
        <w:rPr>
          <w:rFonts w:ascii="arial" w:eastAsia="arial" w:hAnsi="arial" w:cs="arial"/>
          <w:sz w:val="20"/>
          <w:lang w:val="en-US" w:eastAsia="en-US" w:bidi="ar-SA"/>
        </w:rPr>
        <w:cr/>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Ancheta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Dempsey's representation of Andres Ancheta resulted in a cascade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Ancheta was dismissed by his employer, College Printers, in late 1999 for uttering threats against his co-workers. A criminal charge against him for knowingly uttering a threat was dismissed. Mr. Ancheta's union, Graphic Communications International, grieved his termination. Following a nine day hearing, the arbitrator, Vincent Ready, dismissed the grievance and upheld Mr. Ancheta's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Ancheta applied to the Labour Relations Board to have Mr. Ready's decision set aside on the grounds of bias. He also filed a complaint against the union alleging that it had failed to fairly represent him at the grievance hearing. The Labour Relations Board dismissed both his application and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Multiple judicial proceedings flowed from these circumstances.</w:t>
      </w:r>
      <w:r>
        <w:rPr>
          <w:rFonts w:ascii="arial" w:eastAsia="arial" w:hAnsi="arial" w:cs="arial"/>
          <w:sz w:val="20"/>
          <w:lang w:val="en-US" w:eastAsia="en-US" w:bidi="ar-SA"/>
        </w:rPr>
        <w:cr/>
      </w:r>
    </w:p>
    <w:p>
      <w:pPr>
        <w:numPr>
          <w:numId w:val="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No. S015784,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October 2001, Mr. Ancheta commenced this action against those he perceived responsible for his termination, totalling 14 defendants. These included: College Printers Ltd., its principals, and its counsel; the union and its president; the Globe &amp; Mail, which was printed by College Printers Ltd.; and various of his former co-workers. The claims largely pertained to the investigation of Mr. Ancheta's workplace conduct and the circumstances surrounding the laying of the criminal charge. The statement of claim alleged mental distress, false imprisonment, conspiracy to injure,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prosecution, abuse of process, negligent abuse of power, fraudulent misrepresentation, destruction of evidence, defamation of character, subornation of perjury and violation of his rights under the Canadian Charter of Rights and Freedoms. The allegations against the union were for breach of trust and fiduciary duty, and conspiracy to injure for failure to stop the perpetration of the unlawful conduct upon Mr. Ancheta.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Dempsey appeared as Mr. Ancheta's agent before Sigurdson J. on applications by certain of the defendants for dismissal of the action for want of jurisdiction and failure to disclose a reasonable claim. Sigurdson J. dismissed the claims in their entirety against ten of the defendants on jurisdictional grounds, </w:t>
      </w:r>
      <w:hyperlink r:id="rId544" w:history="1">
        <w:r>
          <w:rPr>
            <w:rFonts w:ascii="arial" w:eastAsia="arial" w:hAnsi="arial" w:cs="arial"/>
            <w:i/>
            <w:color w:val="0077CC"/>
            <w:sz w:val="20"/>
            <w:u w:val="single"/>
            <w:shd w:val="clear" w:color="auto" w:fill="FFFFFF"/>
            <w:lang w:val="en-US" w:eastAsia="en-US" w:bidi="ar-SA"/>
          </w:rPr>
          <w:t>[2003] B.C.J. No. 112</w:t>
        </w:r>
      </w:hyperlink>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2003 BCSC 93</w:t>
        </w:r>
      </w:hyperlink>
      <w:r>
        <w:rPr>
          <w:rFonts w:ascii="arial" w:eastAsia="arial" w:hAnsi="arial" w:cs="arial"/>
          <w:color w:val="000000"/>
          <w:sz w:val="20"/>
          <w:lang w:val="en-US" w:eastAsia="en-US" w:bidi="ar-SA"/>
        </w:rPr>
        <w:t>. He limited the claims against the employer and its lawyers to malicious prosecution and defamation. He also ordered that Mr. Ancheta amend the statement of claim within 30 days to delete all reference to the claims and parties that had been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Ancheta filed an amended statement of claim that did not delete all references to the claims and parties that had been struck out as ordered. Instead, it added new claims and parties, including the Vancouver Police Department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Dempsey again appeared as agent for Mr. Ancheta when the matter came back before Sigurdson J. for directions and to address the issue of costs, </w:t>
      </w:r>
      <w:hyperlink r:id="rId545" w:history="1">
        <w:r>
          <w:rPr>
            <w:rFonts w:ascii="arial" w:eastAsia="arial" w:hAnsi="arial" w:cs="arial"/>
            <w:i/>
            <w:color w:val="0077CC"/>
            <w:sz w:val="20"/>
            <w:u w:val="single"/>
            <w:shd w:val="clear" w:color="auto" w:fill="FFFFFF"/>
            <w:lang w:val="en-US" w:eastAsia="en-US" w:bidi="ar-SA"/>
          </w:rPr>
          <w:t>[2003] B.C.J. No. 2412</w:t>
        </w:r>
      </w:hyperlink>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2003 BCSC 1597</w:t>
        </w:r>
      </w:hyperlink>
      <w:r>
        <w:rPr>
          <w:rFonts w:ascii="arial" w:eastAsia="arial" w:hAnsi="arial" w:cs="arial"/>
          <w:color w:val="000000"/>
          <w:sz w:val="20"/>
          <w:lang w:val="en-US" w:eastAsia="en-US" w:bidi="ar-SA"/>
        </w:rPr>
        <w:t>. Ominously, one of the themes in his submissions filed on this application was that so long as the merits of Mr. Ancheta's dismissed claims were not adjudicated, he reserved the right to continue re-filing those claims. He wrote at para. 44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can dismiss the Plaintiff's claim a thousand times, but unless the defendants can prove that claims have no merits, the Plaintiff reserves the right to keep re-filing his claims. This is trite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Costs were awarded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Ancheta appealed Sigurdson J's order (CA031328). Mr. Dempsey appeared before Newbury J.A. on an application for an extension of time to file an appeal. She dismissed the application, stating as follows at para. 7 of her oral reasons of January 9,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Dempsey rightly observes that at bottom the question of an extension of time depends on the interests of justice in the particular case. With respect, I am not persuaded that the interests of justice weigh in favour of the plaintiff in this instance. This is a prolonged claim advanced by a misguided litigant who was terminated because of comments that were at least irresponsible and perhaps threatening. He has had a hearing before an arbitrator. He has been to the Board. He has had a judicial review in Supreme Court. He has another appeal pending in this court. But he does have to recognize that labour matters in B.C. are generally not for courts of law. Nothing would be accomplished, in my view, and much prejudice and expense would be involved, in trying to argue to the contrary in yet another appeal.</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 No. L021695,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June 2002, Mr. Ancheta filed a petition seeking judicial review of Mr. Ready's dismissal of his grievance on the basis that it had been "tainted with corruption and fraudulent conduct, bias, excess of powers, and failure to observe the rules of natural justice." He additionally sought the reinstatement of his employment and restitution for expenses incurred at the arbitration hearing. Many of the defendants in Action No. S015784 referenced above were included as respondents, as were the Labour Relations Board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Dempsey appeared as Mr. Ancheta's agent at the hearing of the petition. Lowry J. dismissed the petition as against most of the respondents on the basis that they were not proper parties to an application for judicial review, </w:t>
      </w:r>
      <w:hyperlink r:id="rId546" w:history="1">
        <w:r>
          <w:rPr>
            <w:rFonts w:ascii="arial" w:eastAsia="arial" w:hAnsi="arial" w:cs="arial"/>
            <w:i/>
            <w:color w:val="0077CC"/>
            <w:sz w:val="20"/>
            <w:u w:val="single"/>
            <w:shd w:val="clear" w:color="auto" w:fill="FFFFFF"/>
            <w:lang w:val="en-US" w:eastAsia="en-US" w:bidi="ar-SA"/>
          </w:rPr>
          <w:t>[2003] B.C.J. No. 784</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2003 BCSC 529</w:t>
        </w:r>
      </w:hyperlink>
      <w:r>
        <w:rPr>
          <w:rFonts w:ascii="arial" w:eastAsia="arial" w:hAnsi="arial" w:cs="arial"/>
          <w:color w:val="000000"/>
          <w:sz w:val="20"/>
          <w:lang w:val="en-US" w:eastAsia="en-US" w:bidi="ar-SA"/>
        </w:rPr>
        <w:t>. He then dismissed the petition against the remaining respondents, concluding that Mr. Ancheta had failed to make a case for judicial review. Costs were awarded to all of the respondents who sought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Reasons, Lowry J. described how the case put forward for Mr. Ancheta had largely ignored the administrative process and had made no attempt to address the earlier Labour Relations Board decision denying his application to have the arbitrator's decision set aside. Instead, much of what was argued was raised for the first time on the judicial review and sought to challenge the arbitrator's decision directly. Lowry J. also briefly addressed other contentions raised by Mr. Ancheta, referring to them variously as without merit, "non-starters" and as concepts with no applicability to the proceedings (for example, the doctrine of paramountcy).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Ancheta appealed Lowry J.'s decision (CA030769). He subsequently applied to amend his notice of appeal to significantly expand the grounds of appeal. Those grounds challenged the jurisdiction of Mr. Ready and the Labour Relations Board, and additionally alleged that their decisions or orders were constitutionally unsound. By way of example, paragraphs 5 and 9 sought the following:</w:t>
      </w:r>
      <w:r>
        <w:rPr>
          <w:rFonts w:ascii="arial" w:eastAsia="arial" w:hAnsi="arial" w:cs="arial"/>
          <w:sz w:val="20"/>
          <w:lang w:val="en-US" w:eastAsia="en-US" w:bidi="ar-SA"/>
        </w:rPr>
        <w:cr/>
      </w:r>
    </w:p>
    <w:p>
      <w:pPr>
        <w:numPr>
          <w:numId w:val="4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labour arbitrator and the British Columbia Labour Relations Board are not recognized by Constitution Acts, 1967 and 1982 as courts of competent jurisdiction nor are these quasi-judicial tribunals empowered by the Federal Parliament to make decisions which trenches or makes void and of no effect any order pronounced by a court whose exclusive powers were granted pursuant to ss. 91 and 92 of the Constitution Acts, 1967 and 1982;</w:t>
      </w:r>
    </w:p>
    <w:p>
      <w:pPr>
        <w:numPr>
          <w:numId w:val="4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review policy and the orders or decisions made by the arbitrator and the British Columbia Labour Relations Board violates and infringes on the Bill of Rights 1960 as well as the Implied Bill of Rights enshrined in the preamble to the Constitution Act, 1867; and II. ss. 1, 2, 6, 7, 12, 15, 26 and 31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Low J.A. dismissed the amendment application on the basis that it had no merit, and awarded the defendants costs (oral reasons for judgment on February 13, 2004). These costs have yet to be paid. Low J.A. also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whole matter is being over litigated by the appellant at substantial legal cost to the other parties along the way. The appellant should not have brought the present application, it was doomed to fail and ill-advised.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Ancheta then applied to vary Low J.A.'s order. There has been no disposition of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Since filing his appeal, Mr. Ancheta twice applied for indigent status in the Court of Appeal. Mr. Dempsey appeared on his behalf on both applications, neither of which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January 2005, College Printers Ltd. and the union brought an application for security for costs against Mr. Ancheta with respect to his appeal from the order of Lowry J. Ryan J.A. held that there was little merit to Mr. Ancheta's appeal and granted the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her Reasons, </w:t>
      </w:r>
      <w:hyperlink r:id="rId547" w:history="1">
        <w:r>
          <w:rPr>
            <w:rFonts w:ascii="arial" w:eastAsia="arial" w:hAnsi="arial" w:cs="arial"/>
            <w:i/>
            <w:color w:val="0077CC"/>
            <w:sz w:val="20"/>
            <w:u w:val="single"/>
            <w:shd w:val="clear" w:color="auto" w:fill="FFFFFF"/>
            <w:lang w:val="en-US" w:eastAsia="en-US" w:bidi="ar-SA"/>
          </w:rPr>
          <w:t>[2005] B.C.J. No. 851</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2005 BCCA 232</w:t>
        </w:r>
      </w:hyperlink>
      <w:r>
        <w:rPr>
          <w:rFonts w:ascii="arial" w:eastAsia="arial" w:hAnsi="arial" w:cs="arial"/>
          <w:color w:val="000000"/>
          <w:sz w:val="20"/>
          <w:lang w:val="en-US" w:eastAsia="en-US" w:bidi="ar-SA"/>
        </w:rPr>
        <w:t>, Ryan J.A. described the multiplicity of proceedings arising from Mr. Ancheta's dismissal from his employment, and commented that "[a]ll this activity suggests that Mr. Ancheta is determined to overcome unfavourable rulings by launching appeals and starting other actions." She also noted that costs awarded Mr. Ancheta for his many unsuccessful hearings had resulted in a "formidable list of judgments" being registered against his two properties. These included a certificate for judgment for the costs of the College Printers group of defendants in the amount of $10,196.39 and another in favour of the union and its president for $7,592.34. Counsel for College Printers had advised that the anticipated costs for the extant appeal would be in the neighbourhood of $12,000.00.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applicants before Ryan J.A. had additionally sought a direction that Mr. Ancheta appear in the proceedings either on his own behalf or through a member of the Law Society. Mr. Dempsey advised the Court that he was qualified as a lawyer in the Philippines but was not a practicing lawyer in British Columbia. Ryan J.A. declined to grant that order, stating that it would over-reach the problem sought to be addressed (namely, representation by Mr. Dempsey) and that no authority had been submitted to support the submission that she had jurisdiction to bar Mr. Dempsey from appearing in the Court of Appeal. Ryan J.A., nevertheless expressed concern that "it may be that Mr. Ancheta has turned over control of this appeal to Mr. Dempsey."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Ancheta filed an appeal of Ryan J.A.'s order. In a supporting affidavit, Mr. Dempsey deposed that it was his belief that she had based her decision on the interests of commerce, not justice, and had failed to consider the fact that Mr. Ancheta had registered a $3 million lien against Mr. Ready, the arbitrator who had originally found against him. That lien had been filed without notice to Mr. Ready who owed Mr. Ancheta no outstanding payments or obligations whatsoever.</w:t>
      </w:r>
      <w:r>
        <w:rPr>
          <w:rFonts w:ascii="arial" w:eastAsia="arial" w:hAnsi="arial" w:cs="arial"/>
          <w:sz w:val="20"/>
          <w:lang w:val="en-US" w:eastAsia="en-US" w:bidi="ar-SA"/>
        </w:rPr>
        <w:cr/>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Related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Concurrent with the foregoing proceedings, Mr. Ancheta commenced a number of other actions in connection with the events leading up to and surrounding his dismissal:</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June 2001, Mr. Ancheta commenced an action (No. S013084, Vancouver Registry) against a psychiatrist, a police officer and the City of Vancouver alleging wrongful arrest, malicious prosecution, abuse of process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statement of claim was prepared by a lawyer. Mr. Dempsey, however, appeared as Mr. Ancheta's agent at the hearing of an application to have the claims against the psychiatrist dismissed on a motion under Rule 18A. Allan J. summarized Mr. Dempsey's submissions at </w:t>
      </w:r>
      <w:hyperlink r:id="rId548" w:history="1">
        <w:r>
          <w:rPr>
            <w:rFonts w:ascii="arial" w:eastAsia="arial" w:hAnsi="arial" w:cs="arial"/>
            <w:i/>
            <w:color w:val="0077CC"/>
            <w:sz w:val="20"/>
            <w:u w:val="single"/>
            <w:shd w:val="clear" w:color="auto" w:fill="FFFFFF"/>
            <w:lang w:val="en-US" w:eastAsia="en-US" w:bidi="ar-SA"/>
          </w:rPr>
          <w:t>[2004] B.C.J. No. 59</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2004 BCSC 60</w:t>
        </w:r>
      </w:hyperlink>
      <w:r>
        <w:rPr>
          <w:rFonts w:ascii="arial" w:eastAsia="arial" w:hAnsi="arial" w:cs="arial"/>
          <w:color w:val="000000"/>
          <w:sz w:val="20"/>
          <w:lang w:val="en-US" w:eastAsia="en-US" w:bidi="ar-SA"/>
        </w:rPr>
        <w:t>, paras. 15 - 17: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essence of Mr. Dempsey's submissions appears to be that Mr. Ancheta's employer , "maliciously prosecuted the plaintiff by filing a bogus criminal complaint" of uttering threats and "fabricated false and defamatory evidence, namely purported transcripts of testimonies ostensibly deposed by persons ...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Mr. Dempsey concedes that Mr. Ancheta said words to the effect "If I go crazy, I might borrow a gun and shoot people and kill myself ... but I'm not crazy yet." Mr. Dempsey suggests those words do not constitute a threat and that a "witch hunt" ensued. Mr. Dempsey says that Dr. Kropp was "more than willing to aid LePard in this evil plot" to effect the wrongful arrest and incarceration of Mr. Ancheta. He accuses Dr. Kropp of producing a "bogus mental assessment" of the plaintiff "as requested" by Sergeant LePard and says that "bogus assessment" led to a "bogus warrant of arrest", the abduction of Mr. Ancheta, and his wrongful imprisonment.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is not a whit of evidence that would implicate Dr. Kropp in some conspiracy or nefarious plot to either wrongfully assist Sergeant LePard or to harm Mr. Ancheta. I reject completely the factual assertions of the plaintiff in this regard.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action was dismissed against Dr. Kropp with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Ancheta filed a notice of appeal in January 2004. In March 2004, while the appeal was still outstanding, he filed an amended writ in the same action adding claims for damages for defamation and remedies pursuant to the Charter against the same parties, including Dr. Kropp.</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April 2003, Mr. Ancheta commenced an action (No. S032112, Vancouver Registry) against counsel who had represented him at the grievance hearing and his firm, alleging malpractice,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Claims against these parties had been included in the petition that had been dismissed by Lowry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action has been taken on this file since the statement of defence was filed.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Action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Dempsey has initiated proceedings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L.P. v. The Queen (Action No. S88522, New Westminster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L.P. is the named plaintiff in this proposed class action alleging mental, physical, emotional and sexual abuse and neglect at the Willingdon School for Girls, a former government facility in Burnaby. The relief sought for Ms. L.P. and for each member of the proposed class includes: $50 million for being deprived of their children born while they were wards of the state; $25 million for unlawful confinement and various abuses; $35 million for failure to provide proper medical treatment; and, $15 million for failure to provide proper education. Punitive damages in the total amount of $500 million are also sought.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Gravlin and Darmantchev v. CIBC et al. (Action No. L050149), and Darmantchev et al. v. MBNA Canada Bank et al. (Action No. L050637),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first action alleges unlawful interference in contractual relationships, fraudulent debt collection, fraud and obstruction of justice on the part of the law firms and lawyers retained by CIBC in connection with debt collection proceedings against the named plaintiffs. It also proposes a class action against CIBC alleging, inter alia, contractual non-disclosure, unlawful creation of money, fraudulent transfer of funds, money laundering, conversion and usury on the part of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second action alleges a variety of misconduct on the part of the defendant against the named plaintiffs including fraudulent debt collection, the charging of criminal rates of interest and perpetrating frauds on the courts. It also proposes a class action on behalf of the named plaintiffs and "all persons who have been victimized by the defendant MBNA in similar situations involving unlawful creation of money, fraudulent transfer of funds, money laundering, conversion of moneys, usury, breach of contract, fraudulent or negligent misrepresentation, breach of trust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Garson J. denied Mr. Dempsey privilege of audience in these two actions and stayed both pending determination of the defendants' applications to strike the claims pursuant to Supreme Court Rule 19(24), </w:t>
      </w:r>
      <w:hyperlink r:id="rId549" w:history="1">
        <w:r>
          <w:rPr>
            <w:rFonts w:ascii="arial" w:eastAsia="arial" w:hAnsi="arial" w:cs="arial"/>
            <w:i/>
            <w:color w:val="0077CC"/>
            <w:sz w:val="20"/>
            <w:u w:val="single"/>
            <w:shd w:val="clear" w:color="auto" w:fill="FFFFFF"/>
            <w:lang w:val="en-US" w:eastAsia="en-US" w:bidi="ar-SA"/>
          </w:rPr>
          <w:t>[2005] B.C.J. No. 1334</w:t>
        </w:r>
      </w:hyperlink>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2005 BCSC 839</w:t>
        </w:r>
      </w:hyperlink>
      <w:r>
        <w:rPr>
          <w:rFonts w:ascii="arial" w:eastAsia="arial" w:hAnsi="arial" w:cs="arial"/>
          <w:color w:val="000000"/>
          <w:sz w:val="20"/>
          <w:lang w:val="en-US" w:eastAsia="en-US" w:bidi="ar-SA"/>
        </w:rPr>
        <w:t>. As her comments are germane to the issues on the present petition, I quote extensively from her Reasons commencing at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pleadings are prolix and repetitive. The first part of the pleadings appear to consist of collateral attacks on judgments already obtained against some of the named plaintiffs. Generally speaking, collateral attacks on a judgment are an abuse of process. (See Samos Investments Inc. v. Pattison </w:t>
      </w:r>
      <w:hyperlink r:id="rId550" w:history="1">
        <w:r>
          <w:rPr>
            <w:rFonts w:ascii="arial" w:eastAsia="arial" w:hAnsi="arial" w:cs="arial"/>
            <w:i/>
            <w:color w:val="0077CC"/>
            <w:sz w:val="20"/>
            <w:u w:val="single"/>
            <w:shd w:val="clear" w:color="auto" w:fill="FFFFFF"/>
            <w:lang w:val="en-US" w:eastAsia="en-US" w:bidi="ar-SA"/>
          </w:rPr>
          <w:t>(2004), 44 B.L.R. (3d) 25</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2004 BCSC 484</w:t>
        </w:r>
      </w:hyperlink>
      <w:r>
        <w:rPr>
          <w:rFonts w:ascii="arial" w:eastAsia="arial" w:hAnsi="arial" w:cs="arial"/>
          <w:color w:val="000000"/>
          <w:sz w:val="20"/>
          <w:lang w:val="en-US" w:eastAsia="en-US" w:bidi="ar-SA"/>
        </w:rPr>
        <w:t>.) Mr. Dempsey was criticized by this court in the proceedings before Loo J. for relitigating issues already determined by another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 Fenn v. Ontario, </w:t>
      </w:r>
      <w:hyperlink r:id="rId551" w:history="1">
        <w:r>
          <w:rPr>
            <w:rFonts w:ascii="arial" w:eastAsia="arial" w:hAnsi="arial" w:cs="arial"/>
            <w:i/>
            <w:color w:val="0077CC"/>
            <w:sz w:val="20"/>
            <w:u w:val="single"/>
            <w:shd w:val="clear" w:color="auto" w:fill="FFFFFF"/>
            <w:lang w:val="en-US" w:eastAsia="en-US" w:bidi="ar-SA"/>
          </w:rPr>
          <w:t>[2004] O.J. No. 2736</w:t>
        </w:r>
      </w:hyperlink>
      <w:r>
        <w:rPr>
          <w:rFonts w:ascii="arial" w:eastAsia="arial" w:hAnsi="arial" w:cs="arial"/>
          <w:color w:val="000000"/>
          <w:sz w:val="20"/>
          <w:lang w:val="en-US" w:eastAsia="en-US" w:bidi="ar-SA"/>
        </w:rPr>
        <w:t>, the plaintiffs' pleadings cry out for professional advice and guidance. The claims against the defendant banks are, as pled, unintelligible. The plaintiffs plead fraud but the essential ingredients of a successful fraud claim were not described. I will not, in these reasons, go so far as to say there is no cause of action as pled, because that application is not before me. But I shall say that the pleadings demonstrate the Mr. Dempsey is not capable of drawing proper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Before Issuance of the Writs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Dempsey claims that he did not prepare the unusual document sent by Mr. Gravlin, Mr. Darnantchev and Ms. Alden to some of the defendants, some of which I have described above. However, he did author the letters referred to above in [paragraph] 40 and he incorporates some references to those peculiar documents in the Statement of Claim. In doing so, Mr. Dempsey demonstrates a somewhat tenuous grasp of the principles of contract. These peculiar documents and letters, such as the claim to copyright one's name, demonstrate a lack of legal knowledge and skill.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in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Dempsey is courteous, co-operative, well-spoken and well-prepared in the court room. However, he has declared that he does not consider himself bound by the rule of law. He says he is bound by natural law or a higher law. I set out above his position in this regard, in quoting from his written submission. Mr. Dempsey is of course entitled to his societal, religious and political views, but a law suit is not a proper tool to advance political causes in the absence of a legal wrong. In my view, to grant him the privilege of acting as counsel before this court when he asserts that he will not adhere to statutory rules, laws or common law, is to invite chaos in this court and to risk bringing the administration of justice into disrepute. (See R. v. Dick, </w:t>
      </w:r>
      <w:hyperlink r:id="rId552" w:history="1">
        <w:r>
          <w:rPr>
            <w:rFonts w:ascii="arial" w:eastAsia="arial" w:hAnsi="arial" w:cs="arial"/>
            <w:i/>
            <w:color w:val="0077CC"/>
            <w:sz w:val="20"/>
            <w:u w:val="single"/>
            <w:shd w:val="clear" w:color="auto" w:fill="FFFFFF"/>
            <w:lang w:val="en-US" w:eastAsia="en-US" w:bidi="ar-SA"/>
          </w:rPr>
          <w:t>[2002] B.C.J. No. 59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Counsel Suitability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proposed action makes claims against entities that are not parties. There are alternative and numerous definitions of the class and the class as described seems almost incapable of definition. The responsibilities of legal counsel not to advance frivolous or vexatious claims are even more pronounced in class actions, in part because the claims may affect the rights of persons who have not explicitly chosen to be part of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have appealed Garson J.'s order, advancing the following as their grounds of appeal:</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lower court has no jurisdiction to frustrate private contracts between the Appellants (Plaintiffs) and their Attorney;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of the lower court violates the Plaintiffs' fundamental and natural rights pursuant to Canon Law, the Charter, Bill of Rights 1960, the implied Bill of Rights;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of the lower court violates international law such as the U.N. Declaration of Human Rights 1948;</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of the lower court is contrary to the Charter because it failed to recognize the supremacy of God and the rule of law;</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the Law and Equity Act and Power of Attorney Act makes judicial discretion inoperative.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have also filed applications to strike the Statement of Defence, to have Mr. Dempsey added as a plaintiff, and for certification under the Class Proceedings Act.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Dempsey on Behalf of the People of Canada v. Envision Credit Union et al. (Action No. S91786, New Westminster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proposed class action in Mr. Dempsey's own name similarly alleges that financial institutions are engaged in the illegal creation of money. There has been no activity with respect to this proceeding since statements of defence were filed in May 2005.</w:t>
      </w:r>
      <w:r>
        <w:rPr>
          <w:rFonts w:ascii="arial" w:eastAsia="arial" w:hAnsi="arial" w:cs="arial"/>
          <w:sz w:val="20"/>
          <w:lang w:val="en-US" w:eastAsia="en-US" w:bidi="ar-SA"/>
        </w:rPr>
        <w:cr/>
      </w:r>
    </w:p>
    <w:p>
      <w:pPr>
        <w:numPr>
          <w:numId w:val="4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Lovey Cridge and John Ruiz Dempsey on Behalf of the People of Canada v. Her Majesty The Queen in Right of Canada, et al. (Action No. L91905, New Westminster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action challenges the validity of the federal Income Tax Act and alleges that the defendants, in collecting taxes in reliance on this "non-existent and bogus federal statute", have engaged in illegal taxation, fraudulent misrepresentation, extortion, breach of trust, treason, enterprise corruption, slavery, conversion, misappropriation of funds and other crimes against the people of Canada. The proposed class comprises "all persons within or without Canada who have been the subject of a colossal national tax collection scheme wherewith the people of Canada, inter-alia were systematically robbed, defrauded, enslaved, imprisoned, arrested, fined, maliciously prosecuted, and tortured. The class is intended to include all persons who are tax payers' within the meaning of the impugned 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has been no activity with respect to this proceeding since the filing of the statement of claim.</w:t>
      </w:r>
      <w:r>
        <w:rPr>
          <w:rFonts w:ascii="arial" w:eastAsia="arial" w:hAnsi="arial" w:cs="arial"/>
          <w:sz w:val="20"/>
          <w:lang w:val="en-US" w:eastAsia="en-US" w:bidi="ar-SA"/>
        </w:rPr>
        <w:cr/>
      </w:r>
    </w:p>
    <w:p>
      <w:pPr>
        <w:numPr>
          <w:numId w:val="5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Dempsey also seeks privilege of audience in two further class actions in which he is involved, Gabric and Dosanjh v. The Queen (No. S87820, New Westminster Registry) and Larsen v. The Queen (Action No. L88408, New Westminster Registry). His applications in that regard were adjourned pending determination of the present petition.</w:t>
      </w:r>
      <w:r>
        <w:rPr>
          <w:rFonts w:ascii="arial" w:eastAsia="arial" w:hAnsi="arial" w:cs="arial"/>
          <w:sz w:val="20"/>
          <w:lang w:val="en-US" w:eastAsia="en-US" w:bidi="ar-SA"/>
        </w:rPr>
        <w:cr/>
      </w:r>
    </w:p>
    <w:p>
      <w:pPr>
        <w:numPr>
          <w:numId w:val="5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Law Society filed affidavits from a number of individuals who had interactions with Mr. Dempsey. Mr. Dempsey did not challenge this evidence, other than to indicate in his letter of August 10, 2005 that he purposely declined to reply to the Law Society's materials to preclude any argument that he had attorned to the jurisdiction of the Court. The fact remains that the affidavit evidence is before the Court unanswered and unchallenged, and I therefore accept the facts stated therein as true.</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September 2004, Ms. L.P. read an article in her local newspaper about a lawsuit that was about to be commenced against the province for abuse suffered at the Brannan Lake School for Boys. Ms. L.P. had been at the Willingdon School for Girls in the late 1960s and had for many years wished to speak to someone about the abuse she had suffered while there. The article had noted that a lawyer was acting for the plaintiff, Dan Larsen, so she contacted the newspaper to advise that she wished to contact either Mr. Larsen or his lawyer. She subsequently received a telephone message from Mr. Dempsey in which he indicated that he was "the lawyer that's looking after Dan Larsen on this" and that she should contact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During their first meeting, Mr. Dempsey told Ms. L.P. that he would act as her lawyer and would commence a class action that would "win us millions of dollars". With respect to the matter of remuneration, Ms. L.P. deposes as follows: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asked Mr. Dempsey during our September 24, 2004 meeting about how he would be paid for his services on my behalf. Initially, Mr. Dempsey told me that he wanted nothing for his efforts, and that he was doing this matter simply "as my friend". I told Mr. Dempsey at that time that he was not my friend, but rather that he was my lawyer and that I wanted to maintain a lawyer-client relationship with him. I told Mr. Dempsey that I expected a class action of this nature would be a time consuming and expensive matter. I offered him 50% of any proceeds he recovered on my behalf.</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 told me during our meeting of September 24, 2004, that he would charge only 25% of what was recovered on my behalf as a result of the proceedings he would bring in court, which he said was the same amount as he was charging Mr. Larsen for his services on the Brannan Lake case. Mr. Dempsey told me that he would prepare an agreement to that effect for me to sign at a later date. No written agreement concerning Mr. Dempsey's remuneration was given to me prior to my termination of my involvement with Mr. Dempsey.</w:t>
      </w:r>
    </w:p>
    <w:p>
      <w:pPr>
        <w:numPr>
          <w:numId w:val="5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times of the time that I had contact with Mr. Dempsey he spoke about our being on a far away beach drinking fancy drinks, with our suitcases spilling out the money that the government was going to pay us. By "our" I understood Mr. Dempsey to mean he and I and the other Willingdon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L.P. provided personal documents and correspondence to Mr. Dempsey for the purposes of the litigation in the belief that he was a lawyer. He prepared a writ and statement of claim and forwarded them to her for her review. She advised him that her name had been misspelled and that the pleadings contained an allegation that was inaccurate and based on rumour. Mr. Dempsey replied that she should not worry if she wished to file the documents in court the following day and that he could not correct the errors since he was out of printer ink and paper. The documents were filed in the Supreme Court on October 1, 2004. Ms. L.P. deposes that Mr. Dempsey later accepted printer paper from her and an offer of an old laptop computer. Their dealings with each other ceased before he took receipt of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Dempsey successfully applied for indigent status on behalf of Ms. L.P.. In response to a query from the presiding Master, he indicating that he was a "non-practicing lawyer". This was the first Ms. L.P. had heard that Mr. Dempsey was anything other than a lawyer, and it was a matter of concern for her. When she questioned him, he advised that he was not a member of the Law Society but could still appear in court for her. Ms. L.P. paid Mr. Dempsey's travel and other expenses in connection with the court proceedings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L.P. became increasingly concerned with Mr. Dempsey's conduct in relation to the case. He asked seemingly irrelevant personal questions and became increasingly militant in his approach, expressing a strong anti-government bias. He also told her that he hated the Law Society and judges. In approximately the middle of October 2004, Mr. Dempsey informed her that he was considering transferring the case to the United States, citing international law and crimes against humanity. He became hostile towards her when she indicated that she did not wish him to do so. When she subsequently advised him that she was considering seeing another lawyer, he became insulting and said he should consider withdrawing her claim. Ms. L.P. filed a Notice of Intention to Act in Person and has ceased contact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November 2004, Mr. Dempsey filed an action against Ms. L.P., Steve Berry, the Province newspaper and Canwest Global Communications alleging defamation and unjust enrichment arising from the publication of an article prepared by Mr. Berry regarding Ms. L.P.'s situation. The article was entitled "Client discovers man representing her is not a lawyer'". Mr. Dempsey identified himself in the statement of claim as a "non-practicing lawyer, criminologist and electronics technologist". He described Ms. L.P. as "a self-admitted neurotic', a welfare recipient and long time ward of the state". In the statement of claim, Mr. Dempsey asserts that he explained to Ms. L.P. that he was not a licensed legal practitioner, that he could not charge her for legal services and that he was "only doing it as a friend as an agent, not as her lawyer". He states that he agreed to assist Ms. L.P. with her case on the condition that he do so for free. He denies ever having received any money or compensation for his out of pocket expenses.</w:t>
      </w:r>
      <w:r>
        <w:rPr>
          <w:rFonts w:ascii="arial" w:eastAsia="arial" w:hAnsi="arial" w:cs="arial"/>
          <w:sz w:val="20"/>
          <w:lang w:val="en-US" w:eastAsia="en-US" w:bidi="ar-SA"/>
        </w:rPr>
        <w:cr/>
      </w:r>
    </w:p>
    <w:p>
      <w:pPr>
        <w:numPr>
          <w:numId w:val="5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Cara Sheppard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Cara Sheppard read an article in the Province newspaper about Ms. L.P.'s action with respect to abuses at the Willingdon School for Girls in early October 2004. Since Ms. Sheppard's mother had attended the same facility, she sought to contact Ms. L.P. to have her mother included in the class action. She obtained Mr. Dempsey's name and telephone number from Ms. L.P. and left him a message. He returned her call the same evening and left a message indicating that he was the lawyer on the L.P. file and that he wished to speak with her. Ms. Sheppard's research had suggested that Mr. Dempsey was not a member of the Law Society, a fact which he confirmed. He informed her that he was a lawyer from the Philippines and could become a member of the Law Society but chose not to do so since he did not wish to be involved in Canada's corrupt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Sheppard and Mr. Dempsey corresponded by email. He indicated that they would discuss remuneration when they met in person. However, they never met. Ms. Sheppard eventually heard of Ms. L.P.'s concerns regarding Mr. Dempsey and advised her to file a Notice of Intention to Act in Person in the proceedings. Mr. Dempsey later sent Ms. Sheppard an email copied to Ms. L.P. advising her that he would be sending a bill of costs in due course. She took this to mean that he would be preparing and sending an account for his services. Ms. Sheppard relied to the effect that he was not entitled to anything. She has had no further contact with Mr. Dempsey.</w:t>
      </w:r>
      <w:r>
        <w:rPr>
          <w:rFonts w:ascii="arial" w:eastAsia="arial" w:hAnsi="arial" w:cs="arial"/>
          <w:sz w:val="20"/>
          <w:lang w:val="en-US" w:eastAsia="en-US" w:bidi="ar-SA"/>
        </w:rPr>
        <w:cr/>
      </w:r>
    </w:p>
    <w:p>
      <w:pPr>
        <w:numPr>
          <w:numId w:val="5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Berry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Steve Berry, a reporter for the Province newspaper, prepared an article about Ms. L.P.'s situation entitled "Client discovers man representing her is not a lawyer'" which was published in late October 2004. In preparing the article, Mr. Berry interviewed Mr. Dempsey by telephone. Mr. Dempsey's statements to Mr. Berry were set forth in the article: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asked by The Province if he is a lawyer, Dempsey answered: "I am a lawyer, but I'm not a member. I get in trouble with the law society, but what can they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Dempsey claims he has a law degree from his native Philippines, which he said he fled in 1976.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said he applied to the Law Society to practise law here, but was turned down because he was not a Canadian citizen.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asked if he accepted money from his "clients", he admitted he does. "If they give me something, why not?" he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can they say I'm not a lawyer? I have the degree. I can't call myself a plumber."</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Canning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Law Society retained David Canning, a private investigator, to conduct an investigation into whether Mr. Dempsey was holding himself out as a lawyer and providing legal services for or in expectation of a fee, gain or reward.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Following an exchange of voicemail messages, Mr. Canning met with Mr. Dempsey and an individual introduced to him as Dan Larsen in the lobby of the New Westminster Courthouse in October 2004. Mr. Canning told Mr. Dempsey that he had attended the Brannan Lake School but that since his life had recently improved, he was not certain that he wished to be involved in the action that had been commenced. Mr. Dempsey replied that the action was a class proceeding and that "everyone was already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Canning further deposes as follows: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then told me more about class action proceedings and the role that lawyers play in them. I said to the Respondent "you're the lawyer aren't you?" The Respondent told me that he was a qualified lawyer who had obtained his law training in the Philippines, but that he was not a member of the Law Society of B.C. The Respondent told me that this fact did not matter because the suit was brought "under international law and the B.C. lawyers have no say."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told the Respondent that I did not have very much money and that I was worried about costs. The Respondent told me that there would be no costs because the proceeding was brought under international law.</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asked the Respondent what he fee would be. The Respondent told me that there would be no fee and then said "but if you win a million dollars you could give me whatever you want, you know, a thank you card or some flowers or whatever." While the Respondent was making this statement, he winked at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and I spoke further about the proceeding, and I asked him again about costs. The Respondent told me that there would be none. I asked the Respondent "well, what about you?" The Respondent replied to me "well, whatever you want, you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Some months later Mr. Canning contacted Mr. Larsen and indicated that he thought of joining the court proceedings but remained concerned about cost. Mr. Larsen replied that Mr. Dempsey did not charge anything. When Mr. Canning suggested that he found this difficult to believe, Mr. Larsen responded that Mr. Dempsey was a volunteer "but, you know, if we want to give him something at the end that is up to us."</w:t>
      </w:r>
      <w:r>
        <w:rPr>
          <w:rFonts w:ascii="arial" w:eastAsia="arial" w:hAnsi="arial" w:cs="arial"/>
          <w:sz w:val="20"/>
          <w:lang w:val="en-US" w:eastAsia="en-US" w:bidi="ar-SA"/>
        </w:rPr>
        <w:cr/>
      </w:r>
    </w:p>
    <w:p>
      <w:pPr>
        <w:numPr>
          <w:numId w:val="6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Ellen Deglan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Ellen Deglan was assisted by Mr. Dempsey with respect to legal proceedings that had been taken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Deglan and her husband were indebted to the CIBC for a substantial amount and became involved in a program that promoted itself as assisting debtors to legally rid themselves of credit card debt. CIBC initiated a collection action in October 2004 and was awarded default judgment the following month. Ms. Deglan was advised by a Connie Glutyk whom she had met through her involvement with the debt relief program that she had heard of a lawyer who could help from "behind the scenes ... and get paid under the table for his help". Ms. Glutyk later advised her that the lawyer was John Dempsey. When Ms. Deglan inquired what an appropriate amount would be to give Mr. Dempsey for his assistance, Ms. Glutyk indicated that he accepted donations for his legal services. One of his clients had given him a retainer of $350.00 and another had given him $500.00, though Ms. Glutyk did not indicate the names of either of these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Deglan provided Mr. Dempsey with her file, though they had minimal direct contact. Believing him to be a lawyer, she was happy to have his assistance. After reviewing her file, Mr. Dempsey advised her that he would bring an application on her behalf to set aside the default judgment. He indicated that the filing fee was $62.00. Ms. Deglan left $80.00 with Mrs. Dempsey and received no change. Mr. Dempsey prepared a notice of motion and affidavit on her behalf. She swore the affidavit but did not read it before signing, assuming it to be accurate. These documents were then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motion and a motion filed by the CIBC came on for hearing together in March 2005. Mr. Dempsey appeared on Ms. Deglan's behalf. He had prepared materials in support of the application, including a chambers brief which he advised her she could use in making her own submissions in the event he was not permitted to speak to the Court. Fisher J. denied Mr. Dempsey audience and adjourned the applications so that Ms. Deglan would have time to prepare a response. Mr. Dempsey assured Ms. Deglan that if she lost, the judgment could be easily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After the adjournment, Ms. Deglan read the chambers brief for the first time and was shocked to discover that it was full of inaccuracies. Many of those inaccuracies were also contained in the affidavit she had swore.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Deglan has since spoken with CIBC's counsel without Mr. Dempsey's involvement, and they are endeavouring to reach an agreement with respect to her debt.</w:t>
      </w:r>
      <w:r>
        <w:rPr>
          <w:rFonts w:ascii="arial" w:eastAsia="arial" w:hAnsi="arial" w:cs="arial"/>
          <w:sz w:val="20"/>
          <w:lang w:val="en-US" w:eastAsia="en-US" w:bidi="ar-SA"/>
        </w:rPr>
        <w:cr/>
      </w:r>
    </w:p>
    <w:p>
      <w:pPr>
        <w:numPr>
          <w:numId w:val="6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Attitude Toward the Legal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is considerable material before the Court illustrating the low regard that Mr. Dempsey has for the Law Society, lawyers and the judiciary. Some of that material is drawn from his Internet website, which includes passages such as the following:</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are no longer a country of laws, we are a country of creative interpretations of 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process as defined by most Judges: "First, decide how we want the case to go. Second, formulate a legal logic to support our decision. Third, manipulate, dissect or eliminate the facts and evidence to support our decision. Then the rubber stamp doctrine of "judicial discretion" will prevent most decisions from being overturned."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Truth as defined by most Judges: "Whatever lawyers say. After all, they have taken an oath when becoming members of the bar. Therefore it is acceptable to assume that the unrepresented may not be saying the truth since they have taken no such oath."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Truth as defined by most Lawyers: "Whatever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Dempsey sent an email with wide distribution a number of days prior to the hearing of this petition encouraging his supporters to attend. It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hang in there, truth and justice will prevail. I know this will be difficult for as long as the legal industry is being run by monopolistic societies supported by corrupt politicians and judges. These corrupt entities have no power over us until we surrender it to them. They can all kiss my ass for all I'm concerned.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Law[less] Society has set the hearing of their Petition on Thursday, August 4, 2005 and 10:00 a.m. at New Westminster courthouse which intended to bulldoze my other hearings set for the hearing of my motions set on the same day concerning two other class actions suits against the provincial government, Larsen v. HMTQ &amp; Gavric et al. v. HMTQ. Please pass the word around, this is big thing with the law society, they need to be stopped from meddling in our private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His contempt for the Law Society and the legal profession was perhaps most evident in his submissions on this petition, read in court by his agent, Ms. Cridge. I include two passages that are illustrative of their overall tenor.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Regarding the Law Society: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Society is a monopoly (a combine) that exists solely for its own benefit, not for the benefit of the people of British Columbia. Its purpose is not designed to represent the best interests of anyone else but its own and the interests of the so-called "lawyers" who are up-to-date in their membership dues. This corporate body's existence is therefore nothing but a discernable facade of its mafia style protection racket which came into existence not because the people or the lawyers wanted it, but because their organizers wanted it. Who are these corporations? They are nothing but fictional creations of statute, man-made bodies that exist on paper, they have no brains, no hearts, they do not even have bodies, no hands, no feet, how can such a created body have any power over me or over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Regarding the legal profession: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people have that inherent right to choose whether or not they should be represented by anyone they could trust. The word "lawyer" in the minds of the public denotes dishonest persons, a person who would lie, cheat, disregard or break the rules; a person who is there to steal people's money, a person whose function is to help the rich and abet criminals; a person who is there to oppress the poor, to rob the people of their properties, to steal their money, and the list goes on and on. The legal profession is a joke. This profession by far has excelled in accumulating more lawyer jokes or jokes about the legal profession than any other profession in - or job in the whole planet.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enough people out there who are disgusted by the nation's legal system. These people have experienced firsthand that hiring a lawyer to fight a legal dispute is just like fighting fire with gasoline. I for one would not hire the services of a so-called practicing lawyer, even if my life depended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Jurisdiction of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Challenges to the Law Society's jurisdiction formed the primary thrust of Mr. Dempsey's response to this petition. As a preliminary matter, therefore, I wish to briefly outline and address his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Dempsey submits that since he is not a member of the Law Society, it follows that it has no jurisdiction over him. Instead, he contends that his authority to act in legal matters on behalf of others derives from the common law and the Power of Attorney Act. The common law right to contract is unlimited except to the extent that contracts cannot infringe the civil and property rights of others. The Power of Attorney Act, he submits, permits an agent to do all things that his principal is legally permitted to do, including exercising his or her right to access justice in the courts or before tribunals. In order to perform his duties in this regard, Mr. Dempsey has entered into private contracts with his principals that are not subject to the Legal Profession Act or to the scrutiny of the Law Society. He further submits that there is nothing that mandates that individuals must necessarily retain the services of a member of the Law Society with respect to legal matters. That body and the Legal Profession Act, he says, exist to protect the legal profession's monopoly over the practice of law for the exclusive benefit of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mandate of the Law Society is set out in s. 3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Public interest paramount</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object and duty of the society</w:t>
      </w:r>
    </w:p>
    <w:p>
      <w:pPr>
        <w:numPr>
          <w:numId w:val="6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uphold and protect the public interest in the administration of justice by</w:t>
      </w:r>
    </w:p>
    <w:p>
      <w:pPr>
        <w:numPr>
          <w:numId w:val="6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preserving and protecting the rights and freedoms of all persons;</w:t>
      </w:r>
    </w:p>
    <w:p>
      <w:pPr>
        <w:numPr>
          <w:numId w:val="6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the independence, integrity and honour of its members,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standards for the education, professional responsibility and competence of its members and applicants for membership, and</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 (a),</w:t>
      </w:r>
    </w:p>
    <w:p>
      <w:pPr>
        <w:numPr>
          <w:numId w:val="7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regulate the practice of law, and</w:t>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uphold and protect the interests of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Dempsey is correct to the very limited extent that subsection (b) does include protection of the interests of its members as one of the Law Society's objectives. However, that interest is subject to its paramount purpose of upholding and protecting the public interest. The protection of the public in the administration of justice is what justifies the profession's monopoly over the practice of law, a monopoly exercised within the stringent regulatory framework maintained by the Law Society. Criteria for membership, standards of practice, rules of discipline with mechanisms to enforce them, and liability insurance all exist to promote that objective. In this context, it naturally follows that the Law Society has a corresponding mandate to ensure that non-members do not engage in the practice of law or otherwise compromise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Taylor J. recently discussed the Law Society's mandate in Fast Trac Bobcat &amp; Excavating Service, a Division of Fast Trac Enterprises Ltd. v. Riverfront Corp. Centre Ltd., </w:t>
      </w:r>
      <w:hyperlink r:id="rId553" w:history="1">
        <w:r>
          <w:rPr>
            <w:rFonts w:ascii="arial" w:eastAsia="arial" w:hAnsi="arial" w:cs="arial"/>
            <w:i/>
            <w:color w:val="0077CC"/>
            <w:sz w:val="20"/>
            <w:u w:val="single"/>
            <w:shd w:val="clear" w:color="auto" w:fill="FFFFFF"/>
            <w:lang w:val="en-US" w:eastAsia="en-US" w:bidi="ar-SA"/>
          </w:rPr>
          <w:t>[2002] B.C.J. No. 2356</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2002 BCSC 1399</w:t>
        </w:r>
      </w:hyperlink>
      <w:r>
        <w:rPr>
          <w:rFonts w:ascii="arial" w:eastAsia="arial" w:hAnsi="arial" w:cs="arial"/>
          <w:color w:val="000000"/>
          <w:sz w:val="20"/>
          <w:lang w:val="en-US" w:eastAsia="en-US" w:bidi="ar-SA"/>
        </w:rPr>
        <w:t xml:space="preserve"> (S.C.) at paras. 61 - 63: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premise of the Legal Profession Act, found in s. 3, requires The Law Society to uphold and protect the public interest in the administration of justice. In return, qualified lawyers in British Columbia are given a unique right to represent the public to the exclusion of others, subject only to the exceptions contained in ss. 15(1)(a) to (f). As observed in Law Society of British Columbia v. Lawrie </w:t>
      </w:r>
      <w:hyperlink r:id="rId554" w:history="1">
        <w:r>
          <w:rPr>
            <w:rFonts w:ascii="arial" w:eastAsia="arial" w:hAnsi="arial" w:cs="arial"/>
            <w:i/>
            <w:color w:val="0077CC"/>
            <w:sz w:val="20"/>
            <w:u w:val="single"/>
            <w:shd w:val="clear" w:color="auto" w:fill="FFFFFF"/>
            <w:lang w:val="en-US" w:eastAsia="en-US" w:bidi="ar-SA"/>
          </w:rPr>
          <w:t>(1991), 59 B.C.L.R. (2d) 1</w:t>
        </w:r>
      </w:hyperlink>
      <w:r>
        <w:rPr>
          <w:rFonts w:ascii="arial" w:eastAsia="arial" w:hAnsi="arial" w:cs="arial"/>
          <w:color w:val="000000"/>
          <w:sz w:val="20"/>
          <w:lang w:val="en-US" w:eastAsia="en-US" w:bidi="ar-SA"/>
        </w:rPr>
        <w:t xml:space="preserve"> at p. 8, paragraph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preliminary attack of the appellants on these statutory provisions as made first to Shaw J. and again on this appeal, was the submission that a popular public opinion prevails, which will be reinforced should the appellants not succeed here, to the effect that the objective of these particular statutes and of the Law Society is to protect and preserve some kind of monopoly for lawyers. This familiar and ill-conceived form of apathy is intended to discredit the Law Society and the legal profession and favour the appellants' cause. The reality of this situation is obvious. I agree with and adopt the explanation which Shaw J. gave in his first reasons for judgment, </w:t>
      </w:r>
      <w:hyperlink r:id="rId555" w:history="1">
        <w:r>
          <w:rPr>
            <w:rFonts w:ascii="arial" w:eastAsia="arial" w:hAnsi="arial" w:cs="arial"/>
            <w:i/>
            <w:color w:val="0077CC"/>
            <w:sz w:val="20"/>
            <w:u w:val="single"/>
            <w:shd w:val="clear" w:color="auto" w:fill="FFFFFF"/>
            <w:lang w:val="en-US" w:eastAsia="en-US" w:bidi="ar-SA"/>
          </w:rPr>
          <w:t>[1987] B.C.J. No. 1901</w:t>
        </w:r>
      </w:hyperlink>
      <w:r>
        <w:rPr>
          <w:rFonts w:ascii="arial" w:eastAsia="arial" w:hAnsi="arial" w:cs="arial"/>
          <w:color w:val="000000"/>
          <w:sz w:val="20"/>
          <w:lang w:val="en-US" w:eastAsia="en-US" w:bidi="ar-SA"/>
        </w:rPr>
        <w:t xml:space="preserve"> at p. 252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Barristers and Solicitors Act provides for qualifications to practise law, the discipline of lawyers (including disbarment), insurance, trust account rules and funds for client compensation. The primary purpose of this is to provide protection, as far as possible, for the general public who pay for legal services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 is protected by ensuring that those who are unqualified, either in terms of competence or moral standing, are not given the right to practice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law in all its facets has profound implications for the rights and interests of individuals. It is this that justifies the removal of legal services from the domain of purely private contract and into that governed by the Legal Profession Act. Mr. Dempsey's reliance on the common law right to contract together with the Power of Attorney Act as entitling him to enter into agency contracts to provide such services is, accordingly, misguided. To allow the Legal Profession Act to be circumvented in that manner would impermissibly undermine the public protection function it serves. (See Gagnon v. Pritchard </w:t>
      </w:r>
      <w:hyperlink r:id="rId556" w:history="1">
        <w:r>
          <w:rPr>
            <w:rFonts w:ascii="arial" w:eastAsia="arial" w:hAnsi="arial" w:cs="arial"/>
            <w:i/>
            <w:color w:val="0077CC"/>
            <w:sz w:val="20"/>
            <w:u w:val="single"/>
            <w:shd w:val="clear" w:color="auto" w:fill="FFFFFF"/>
            <w:lang w:val="en-US" w:eastAsia="en-US" w:bidi="ar-SA"/>
          </w:rPr>
          <w:t>(2002), 58 O.R. (3d) 557</w:t>
        </w:r>
      </w:hyperlink>
      <w:r>
        <w:rPr>
          <w:rFonts w:ascii="arial" w:eastAsia="arial" w:hAnsi="arial" w:cs="arial"/>
          <w:color w:val="000000"/>
          <w:sz w:val="20"/>
          <w:lang w:val="en-US" w:eastAsia="en-US" w:bidi="ar-SA"/>
        </w:rPr>
        <w:t xml:space="preserve"> (Ont. Sup. Ct. of J.)).</w:t>
      </w:r>
      <w:r>
        <w:rPr>
          <w:rFonts w:ascii="arial" w:eastAsia="arial" w:hAnsi="arial" w:cs="arial"/>
          <w:sz w:val="20"/>
          <w:lang w:val="en-US" w:eastAsia="en-US" w:bidi="ar-SA"/>
        </w:rPr>
        <w:cr/>
      </w:r>
    </w:p>
    <w:p>
      <w:pPr>
        <w:numPr>
          <w:numId w:val="7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Profession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Law Society submits that Mr. Dempsey is in breach of ss. 15(4), 15(1) and 15(5) of the Act.</w:t>
      </w:r>
      <w:r>
        <w:rPr>
          <w:rFonts w:ascii="arial" w:eastAsia="arial" w:hAnsi="arial" w:cs="arial"/>
          <w:sz w:val="20"/>
          <w:lang w:val="en-US" w:eastAsia="en-US" w:bidi="ar-SA"/>
        </w:rPr>
        <w:cr/>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Law Society submits that Mr. Dempsey has falsely represented himself as a lawyer in violation of s. 15(4) of the Act on multiple occasions. It seeks an order to the following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 until such time as he becomes a member in good standing of the Law Society of British Columbia, be prohibited and enjoined from holding himself out as a lawyer, practicing or non-practicing, or as a member of the Law Society of British Columbia, or as a member of the law society of any other jurisdiction, or as a practitioner of foreign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Section 15(4) prohibits non-lawyers from misrepresenting themselves as lawyers. Its obvious purpose is to protect members of the public from the potential negative legal and financial consequences of entrusting their legal affairs to non-lawyers who may have inadequate legal training and who are not subject to the regulatory regime maintained by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Section 1 defines "lawyer" to mean a member or former member of the Law Society or of the corresponding regulatory body in other Canadian jurisdictions. It also defines "practicing lawyer" as a member in good standing who holds or is entitled to hold a practising certificate. It follows that a "non-practicing lawyer" is a member who is not in good standing or who is not entitled to hold a practicing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Dempsey by his own admission is not, and has never been, a member of the Law Society in this province or in any other jurisdiction. He proclaims that this is by choice and avows that he has no desire to ever become a member. Mr. Dempsey maintains that he has a law degree. There is, however, no evidence before this Court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Although his agent took care during her submissions at the hearing to refer to Mr. Dempsey as an attorney or agent, there is evidence that Mr. Dempsey has been less reticent in referring to himself as a lawyer:</w:t>
      </w:r>
      <w:r>
        <w:rPr>
          <w:rFonts w:ascii="arial" w:eastAsia="arial" w:hAnsi="arial" w:cs="arial"/>
          <w:sz w:val="20"/>
          <w:lang w:val="en-US" w:eastAsia="en-US" w:bidi="ar-SA"/>
        </w:rPr>
        <w:cr/>
      </w:r>
    </w:p>
    <w:p>
      <w:pPr>
        <w:numPr>
          <w:numId w:val="7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telephone message to Ms. L.P. in September 2004, he identified himself as the plaintiff's lawyer in the class action suit, Larsen v. The Queen.</w:t>
      </w:r>
    </w:p>
    <w:p>
      <w:pPr>
        <w:numPr>
          <w:numId w:val="7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telephone message and a subsequent conversation with Ms. Sheppard in October 2004, Mr. Dempsey identified himself as the lawyer for Ms. L.P. and as a lawyer from the Philippines.</w:t>
      </w:r>
    </w:p>
    <w:p>
      <w:pPr>
        <w:numPr>
          <w:numId w:val="7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 identified himself as a lawyer during an interview with Mr. Berry of the Province newspaper. That was then reported in an article in that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Dempsey criticizes what he describes as the Law Society's monopolization or misappropriation of the word "lawyer", submitting that it has no right to unilaterally impose its own narrow definition on the term. Nowhere in a dictionary is "lawyer" defined as a member of the Law Society of British Columbia. Given the dim view with which the public views lawyers, however, Mr. Dempsey indicates that he no longer wishes to refer to himself as such, and prefers instead to identify himself as a "forensic litigation specialist". While he claims this to be the case, I observe that he continued to identify himself as a lawyer at least until late 2004, presumably because he perceived there to be an advantage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Dempsey has also, on numerous occasions, referred to himself as a "non-practicing lawyer" despite the fact that the Law Society cautioned him about the specific meaning of the term in an exchange of correspondence between August and November 2003. For example, in his statement of claim in Dempsey v. L.P. filed in November 2004, he describes himself as a non-practicing lawyer. Similarly, he identified himself to Low J.A. during an appearance on behalf of Mr. Ancheta in Ancheta v. Ready et al. (CA030729) as a non-practicing lawyer. In light of the Law Society's caution, Mr. Dempsey's continued misuse of the term cannot be said to be inadvertent.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light of the foregoing, I find that Mr. Dempsey has misrepresented himself as a lawyer in breach of s. 15(4) of the Act. To ensure that he does not continue to misrepresent himself as such, I order that until such time as he becomes a member in good standing of the Law Society, Mr. Dempsey is prohibited and enjoined from holding himself out as a lawyer, practicing or non-practicing, or as a member of the Law Society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Law Society also seeks to enjoin Mr. Dempsey from holding himself out as a practitioner of foreign law. This is presumably in response to evidence that he has identified himself as a lawyer from the Philippines. Ms. Sheppard deposed to that effect in her affidavit. Ryan J.A. also noted in Ancheta v. Joe, </w:t>
      </w:r>
      <w:hyperlink r:id="rId547" w:history="1">
        <w:r>
          <w:rPr>
            <w:rFonts w:ascii="arial" w:eastAsia="arial" w:hAnsi="arial" w:cs="arial"/>
            <w:i/>
            <w:color w:val="0077CC"/>
            <w:sz w:val="20"/>
            <w:u w:val="single"/>
            <w:shd w:val="clear" w:color="auto" w:fill="FFFFFF"/>
            <w:lang w:val="en-US" w:eastAsia="en-US" w:bidi="ar-SA"/>
          </w:rPr>
          <w:t>[2005] B.C.J. No. 851</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2005 BCCA 232</w:t>
        </w:r>
      </w:hyperlink>
      <w:r>
        <w:rPr>
          <w:rFonts w:ascii="arial" w:eastAsia="arial" w:hAnsi="arial" w:cs="arial"/>
          <w:color w:val="000000"/>
          <w:sz w:val="20"/>
          <w:lang w:val="en-US" w:eastAsia="en-US" w:bidi="ar-SA"/>
        </w:rPr>
        <w:t>, that Mr. Dempsey had indicated that he was qualified as a lawyer in the Philippines. The Legal Profession Act and the Law Society Rules contain provisions prescribing when practitioners of foreign law are authorized to practice law in this province. This clearly falls within the Law Society's public protection mandate by ensuring the competency of those providing legal services relating to other countries.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Section 1 of the Law Society Rules defines a practitioner of foreign law as "a person qualified to practise law in a country other than Canada or in an internal jurisdiction of that country, who gives legal advice in British Columbia respecting the laws of that country or of the internal jurisdiction in which that person is qualified". While there is evidence that Mr. Dempsey is not qualified to practise law in the Philippines, there is no evidence that he has been providing legal advice in British Columbia respecting the laws of that country. He is therefore not a practitioner of foreign law and the circumstances do not warrant the granting of this particular relief.</w:t>
      </w:r>
      <w:r>
        <w:rPr>
          <w:rFonts w:ascii="arial" w:eastAsia="arial" w:hAnsi="arial" w:cs="arial"/>
          <w:sz w:val="20"/>
          <w:lang w:val="en-US" w:eastAsia="en-US" w:bidi="ar-SA"/>
        </w:rPr>
        <w:cr/>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Mr. Dempsey is not a practicing lawyer, he is barred by s. 15(1) from engaging in the practice of law, except insofar as he engages in the activities defined as the "practice of law" without an expectation of a fee or other benefit, direct or indirect. It is the position of the Law Society that Mr. Dempsey has engaged in the unauthorized practice of law contrary to s. 15(1), and, accordingly, it seeks an order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 until such time as he becomes a member in good standing of the Law Society of British Columbia, be permanently prohibited and enjoined from:</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as counsel or advocate;</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for use in a proceeding, judicial or extra-judicial;</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relating in any way to proceedings under a statute of Canada or British Columbia;</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any act or negotiating in any way for the settlement of, or settling, a claim or demand for damages;</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legal advice;</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to provide to a person the legal services set out in (a) to (e) above; and</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himself out in any way as being qualified or entitled to do anything set out in (a) to (f)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or in the expectation of a fee, gain or reward, direct or indirect, from the person for whom the acts are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Law Society submits that there are a great many instances in which Mr. Dempsey has engaged in activities that constitute the practice of law if performed in expectation of a benefit but that it has been unable to establish that latter fact. It therefore restricts its allegations of unauthorized practice to circumstances in which there is some evidence that he was acting in expectation of benefit or where it alleges he deliberately obfuscated that issue. Those instances include the following:</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L.P.: Mr. Dempsey offered to act for Ms. L.P. in her claim against the Willingdon School for Girls in exchange for a portion of the proceeds she recovered. He told her he would prepare an agreement to that effect for her to sign at a later date. Several times over the course of their relationship, he mentioned anticipating having a suitcase "spilling over with money" as a result of the action. He also accepted miscellaneous benefits from Ms. L.P. including meals, office supplies and transportation expenses.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Sheppard: Mr. Dempsey offered to act for Ms. Sheppard's mother in class action proceedings and told Ms. Sheppard that he would explain the matter of his compensation at a future time.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Canning: Mr. Dempsey offered to act on behalf of Mr. Canning in Larsen v. The Queen. In response to Mr. Canning's query about how he was to be compensated for his conduct of the case, Mr. Dempsey replied, with a wink, that there would be no fee "but if you win a million dollars you could give me whatever you want, you know, a thank you card or some flowers or whatever."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Deglan: In acting for Ms. Deglan, Mr. Dempsey appears to have anticipated her paying him "under the table". He also kept the balance of money given to him by Ms. Deglan to cover filing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Citing Snell v. Farrell,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the Law Society submits that where it is not clear whether Mr. Dempsey acted in expectation of a benefit, it is open to the Court to infer that a fee was charged since the facts are peculiarly within his means of knowledge and he has not sought to proffer any contrary evidence. His response to Mr. Berry's question whether he accepts money from his clients - "If they give me something, why not?" - bears witness to his attempt to cultivate uncertainty around his motivations.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event that the Court concludes that Mr. Dempsey acted in expectation of benefit in the situations described above, the Law Society submits that he was clearly in breach of s. 15(f), offering to act in a legal capacity. The conclusion that he acted in expectation of a benefit would also support further findings of unauthorized practice as follows:</w:t>
      </w:r>
      <w:r>
        <w:rPr>
          <w:rFonts w:ascii="arial" w:eastAsia="arial" w:hAnsi="arial" w:cs="arial"/>
          <w:sz w:val="20"/>
          <w:lang w:val="en-US" w:eastAsia="en-US" w:bidi="ar-SA"/>
        </w:rPr>
        <w:cr/>
      </w:r>
    </w:p>
    <w:p>
      <w:pPr>
        <w:numPr>
          <w:numId w:val="7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 1(a), appearing as counsel or advocate:</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L.P.: Mr. Dempsey appeared on behalf of Ms. L.P. on an application for indigent status.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Deglan: Mr. Dempsey sought audience before the Court on behalf of Ms. Deglan, though his application to do so was denied.</w:t>
      </w:r>
    </w:p>
    <w:p>
      <w:pPr>
        <w:numPr>
          <w:numId w:val="8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 1(b), drafting documents for use in court:</w:t>
      </w:r>
    </w:p>
    <w:p>
      <w:pPr>
        <w:numPr>
          <w:numId w:val="8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L.P.: Mr. Dempsey drafted and filed a writ of summons and statement of claim on Ms. L.P.'s behalf on or about October 1, 2004.</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Deglan: Mr. Dempsey drafted a notice of motion, affidavit and Chambers brief on behalf of the Deglans in or about March 2004.</w:t>
      </w:r>
    </w:p>
    <w:p>
      <w:pPr>
        <w:numPr>
          <w:numId w:val="8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 1(g), representing qualification to practice law:</w:t>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L.P.: During an application for indigent status on behalf of Ms. L.P., Mr. Dempsey represented himself to the presiding Master as a non-practicing lawyer. In response to Ms. L.P.'s questioning about this matter, he indicated that he was not a member of the Law Society but that he could still appear in court on her behalf</w:t>
      </w:r>
    </w:p>
    <w:p>
      <w:pPr>
        <w:numPr>
          <w:numId w:val="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Sheppard: Mr. Dempsey represented to Ms. Sheppard that he was Ms. L.P.'s lawyer and that he was a lawyer from the Philippines.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response, Mr. Dempsey admits that he is not a legal professional as defined by the Legal Profession Act but on that basis challenges the applicability of that Act as regards him. He further submits that he has always informed all persons that he is not a lawyer licensed to practice in British Columbia and that he may not give legal advice or accept fees for same. Mr. Dempsey also contends that the Law Society has failed to demonstrate that he has engaged in the unauthorized practice of law. The essence of his argument is reflected in paragraph 34 of his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1, sub-paragraphs (a) through (g), the Respondent denies that he has appeared as counsel or advocate within the definition of the Legal Profession Act; his appearance in court is made possible pursuant to his fiduciary duty as agent or attorney of all sovereign, flesh and blood men and women with whom he has entered into legal and binding contracts to do all things that these sovereign, flesh and blood men and women can legally do including but not limited to appearing in court as agent or attorney. As sovereign, flesh and blood men and women, these individuals reserves the right to engage the help of another sovereign, flesh and blood man or woman to do all things as long as they do not infringe upon another individual's rights or cause any damage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His responses with respect to the Law Society's allegations regarding the other particularized components of the practice of law are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is no doubt that Mr. Dempsey has engaged in activities that would constitute the practice of law if performed in expectation of a reward or benefit. In my view, it is also apparent that he is aware of the qualification that he is permitted to engage in those activities without consideration, and has sought to bring himself within its ambit. His often oblique responses when questioned about fees or payment suggest, however, that he is less than entirely altruistic in providing his services to others. Were he sincere, I would have expected his responses to be rather more direct than "there is no fee but if you win a million dollars you could give me whatever you want, you know, a thank you card or some flowers or whatever.'" Nevertheless, I am not prepared to conclude on the evidence of Mr. Canning that Mr. Dempsey was offering his services in expectation of a reward or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Sheppard's evidence was that Mr. Dempsey had offered to act for her mother in class action proceedings and had advised that they would discuss remuneration at a future point in time. This ultimately never occurred before their relationship ceased. In my view, this suggests an expectation on the part of Mr. Dempsey of a fee or reward for his legal services but it is not such that the proposition is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most persuasive evidence on this issue is that of Ms. L.P.. For ease of reference, I reproduce her evidence in that regard again:</w:t>
      </w:r>
      <w:r>
        <w:rPr>
          <w:rFonts w:ascii="arial" w:eastAsia="arial" w:hAnsi="arial" w:cs="arial"/>
          <w:sz w:val="20"/>
          <w:lang w:val="en-US" w:eastAsia="en-US" w:bidi="ar-SA"/>
        </w:rPr>
        <w:cr/>
      </w:r>
    </w:p>
    <w:p>
      <w:pPr>
        <w:numPr>
          <w:numId w:val="8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asked Mr. Dempsey during our September 24, 2004 meeting about how he would be paid for his services on my behalf. Initially, Mr. Dempsey told me that he wanted nothing for his efforts, and that he was doing this matter simply "as my friend". I told Mr. Dempsey at that time that he was not my friend, but rather that he was my lawyer and that I wanted to maintain a lawyer-client relationship with him. I told Mr. Dempsey that I expected a class action of this nature would be a time consuming and expensive matter. I offered him 50% of any proceeds he recovered on my behalf.</w:t>
      </w:r>
    </w:p>
    <w:p>
      <w:pPr>
        <w:numPr>
          <w:numId w:val="8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Dempsey told me during our meeting of September 24, 2004, that he would charge only 25% of what was recovered on my behalf as a result of the proceedings he would bring in court, which he said was the same amount as he was charging Mr. Larsen for his services on the Brannan Lake case. Mr. Dempsey told me that he would prepare an agreement to that effect for me to sign at a later date. No written agreement concerning Mr. Dempsey's remuneration was given to me prior to my termination of my involvement with Mr. Dempsey.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Accepting Ms. L.P.'s evidence as I do, this is an unequivocal articulation by Mr. Dempsey of an expectation of a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do not consider the miscellaneous benefits Mr. Dempsey received from Ms. L.P. for meals, office supplies and travel expenses to constitute a sufficient benefit for the purposes of the unauthorized practice provisions of the Act. The same applies to the balance of $18.00 that he kept after paying Ms. Deglan's filing fees. Her evidence that a third party told her of a lawyer who could "get paid under the table for his help" is both hearsay and too tenuous to establish expectation of a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To the extent that Mr. Dempsey has engaged in activities comprising the practice of law for the benefit of Ms. L.P., I conclude that he is in breach of s. 15(1) of the Legal Profession Act. While hers is the only unequivocal evidence of a breach, I am persuaded that the deliberate obscurity surrounding Mr. Dempsey's treatment of the fee issue, together with his high level of activity in providing legal assistance to others, provide a sound basis for ordering the relief sought by the Law Society. Accordingly, I order that Mr. Dempsey, until such time as he becomes a member in good standing of the Law Society of British Columbia, be permanently prohibited and enjoined from:</w:t>
      </w:r>
      <w:r>
        <w:rPr>
          <w:rFonts w:ascii="arial" w:eastAsia="arial" w:hAnsi="arial" w:cs="arial"/>
          <w:sz w:val="20"/>
          <w:lang w:val="en-US" w:eastAsia="en-US" w:bidi="ar-SA"/>
        </w:rPr>
        <w:cr/>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as counsel or advocate;</w:t>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for use in a proceeding, judicial or extra-judicial;</w:t>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relating in any way to proceedings under a statute of Canada or British Columbia;</w:t>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any act or negotiating in any way for the settlement of, or settling, a claim or demand for damages;</w:t>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legal advice;</w:t>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to provide to a person the legal services set out in (a) to (e) above; and</w:t>
      </w:r>
    </w:p>
    <w:p>
      <w:pPr>
        <w:numPr>
          <w:numId w:val="9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himself out in any way as being qualified or entitled to do anything set out in (a) to (f)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or in the expectation of a fee, gain or reward, direct or indirect, from the person for whom the acts are performed.</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Section 15(1) of the Act provides that "no person, other than a practising lawyer, is permitted to engage in the practice of law, except ... a person who is an individual party to a proceeding acting without counsel solely on his or her own behalf." Section 15(5)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permitted in subsection (1), a person must not commence, prosecute or defend a proceeding in any court, in the person's own name or in the name of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Citing Yal v. British Columbia (Minister of Forests), </w:t>
      </w:r>
      <w:hyperlink r:id="rId557" w:history="1">
        <w:r>
          <w:rPr>
            <w:rFonts w:ascii="arial" w:eastAsia="arial" w:hAnsi="arial" w:cs="arial"/>
            <w:i/>
            <w:color w:val="0077CC"/>
            <w:sz w:val="20"/>
            <w:u w:val="single"/>
            <w:shd w:val="clear" w:color="auto" w:fill="FFFFFF"/>
            <w:lang w:val="en-US" w:eastAsia="en-US" w:bidi="ar-SA"/>
          </w:rPr>
          <w:t>[2004] B.C.J. No. 2007</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2004 BCSC 1253</w:t>
        </w:r>
      </w:hyperlink>
      <w:r>
        <w:rPr>
          <w:rFonts w:ascii="arial" w:eastAsia="arial" w:hAnsi="arial" w:cs="arial"/>
          <w:color w:val="000000"/>
          <w:sz w:val="20"/>
          <w:lang w:val="en-US" w:eastAsia="en-US" w:bidi="ar-SA"/>
        </w:rPr>
        <w:t>, the Law Society submits that read together, these two sections prohibit an individual from commencing, prosecuting or defending any action that is not solely on his own behalf. While the Yal decision did not address the issue of whether s. 15(5) is breached where no fee has been charged, the Law Society submits that various principles of statutory interpretation support its position that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Briefly, the Law Society submits that the statutory presumption that every word in a legislative enactment is meaningful leads to the conclusion that "commencing, prosecuting or defending" would not be set out separately in s. 15(5) unless those activities were considered to be different from those constituting the "practice of law". It says that commencing, prosecuting and defending are broader activities that move a proceeding actively towards resolution, whereas those prohibited by s. 15(1) are lesser ones that do not necessarily have such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Law Society cites R. v. Nixon et al., </w:t>
      </w:r>
      <w:hyperlink r:id="rId558" w:history="1">
        <w:r>
          <w:rPr>
            <w:rFonts w:ascii="arial" w:eastAsia="arial" w:hAnsi="arial" w:cs="arial"/>
            <w:i/>
            <w:color w:val="0077CC"/>
            <w:sz w:val="20"/>
            <w:u w:val="single"/>
            <w:shd w:val="clear" w:color="auto" w:fill="FFFFFF"/>
            <w:lang w:val="en-US" w:eastAsia="en-US" w:bidi="ar-SA"/>
          </w:rPr>
          <w:t>[1990] N.J. No. 438</w:t>
        </w:r>
      </w:hyperlink>
      <w:r>
        <w:rPr>
          <w:rFonts w:ascii="arial" w:eastAsia="arial" w:hAnsi="arial" w:cs="arial"/>
          <w:color w:val="000000"/>
          <w:sz w:val="20"/>
          <w:lang w:val="en-US" w:eastAsia="en-US" w:bidi="ar-SA"/>
        </w:rPr>
        <w:t xml:space="preserve"> (Nfld. S.C.) in support of this proposition. There, the Court analyzed the interrelationship between two subsections of s. 85(1) of the Newfoundland Law Society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shall, unless he is a member in good standing of the Society,</w:t>
      </w:r>
    </w:p>
    <w:p>
      <w:pPr>
        <w:numPr>
          <w:numId w:val="9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practice or act as a barrister or as a solicitor;</w:t>
      </w:r>
    </w:p>
    <w:p>
      <w:pPr>
        <w:numPr>
          <w:numId w:val="9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 as a barrister or solicitor in any court;</w:t>
      </w:r>
    </w:p>
    <w:p>
      <w:pPr>
        <w:numPr>
          <w:numId w:val="9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commence, carry on or defend an action or proceeding before a court or judge on behalf of any 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Court noted that since the activities governed by subsections (b) and (c) were set out in separate paragraphs, it was presumed they were not identical. It went on to conclude that "commence, carry on or defend" related more to the preparation and filing of pleadings and documentation than to physical appearance in a courtroom for the purposes of arguing a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Law Society submits that the Legal Profession Act prohibits the lesser activities set out in s. 15(1) and s. 1(a) - (g) only where performed for another in expectation of a fee while the more significant actions of commencing, prosecuting or defending a proceeding may not be performed for another irrespective of any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Secondly, the Law Society submits that since s. 15(5) addresses certain activities comprising the practice of law in a more detailed fashion, its more specific treatment prevails over s. 15(1) which governs unauthorized practice more generally. Since s. 15(5) does not refer to a fee or benefit, that matter is immaterial with respect to the commencing, prosecuting and defending of proceedings. The Law Society analogizes in this regard with the s. 15(4) prohibition on misrepresenting oneself as a lawyer which, while also compassed by s. 1(g), is clearly breached regardless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Finally, the Law Society submits that unauthorized practice legislation attracts a liberal and purposive construction since its primary objective is protection of the public. An interpretation of s. 15(5) that required consideration would narrow its scope and render it less effective in promoting that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Assuming the foregoing to be a correct interpretation of s. 15(5), the Law Society submits that the record is clear that Mr. Dempsey has commenced, prosecuted and defended legal proceedings with and on behalf of others on many occasions in contravention of that section. Accordingly, it seeks an injunction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 until such time as he becomes a member in good standing of the Law Society of British Columbia, be prohibited and enjoined from commencing, prosecuting, or defending a proceeding in any court, in his own name or in the name of another, whether or not such conduct occurs in expectation of a fee, gain or reward, direct or indirect, from the person for whom the acts are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Dempsey made no submissions regarding this issue other than to characterize the proposed order as an arrogant and illegal attempt by the Law Society to "overthrow ... the Respondent's rights, and the rights of the people who he represents as attorney, whether or not such conduct of the respondent occurs in the expectations of gains or rewards".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Section 15(5) is a relatively recent provision that has not been the subject of much judicial consideration. The Law Society's submissions largely focussed on whether that provision was breached in circumstances where there was no consideration. It is my view that nothing in s. 15(5) involves acting on another's behalf, and that the issue of consideration therefore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Section 15(1) permits a non-lawyer who is an individual party to a proceeding to act "on his or her own behalf". Section 15(5) prohibits a non-lawyer from engaging in the enumerated conduct "in the person's own name or in the name of another person", except as permitted by s. 15(1). "On behalf of" and "in the name of" are not synonymous terms. Commencing a proceeding on behalf of another, for example, is distinct from commencing one in the name of another. The latter circumstance most commonly arises in the context of subrogated claims, and representative and class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was in the context of representative proceedings that this Court considered s. 15(5) in Yal, supra. In five separate representative actions, the plaintiffs, who were hereditary chiefs representing the Gitxsan nation, sued various defendants in connection with claims regarding their land and resources. Jack Cram, a former practitioner, was representing the plaintiffs. One of the defendants sought a stay until the plaintiffs appointed a practicing lawyer to represent them, submitting that s. 15 was a bar to the proceedings since it prohibited the commencement of representative proceedings by an individual who was not a practicing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considering the interplay of ss. 15(1) and (5), Halfyard J. wrote as follows at paras. 46 - 48: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object of s. 15 of the Legal Profession Act is to prevent the practice of law by persons other than lawyers who are authorized to practice law by the Law Society, with certain exceptions. One of the exceptions is "... an individual party to a proceeding acting without counsel solely on his or her own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plain and ordinary meaning of s. 15(1)(a) is that an individual party to a proceeding "is permitted to engage in the practice of law", insofar as that is necessary to act for himself or herself in the proceeding (i.e., without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a plain meaning of s. 15(5) that an individual party who is acting for himself for herself in a proceeding can commence, prosecute or defend that proceeding, on his or her own behalf, but cannot do any of those things on behalf of any other party to the same proceeding. I would add that the words "a person" in s. 15(5) includes both parties and non-parties to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He then queried whether, in a proceeding where multiple plaintiffs were acting without counsel, one of them (or a non-party) could act on behalf of them all with the consent of the rest. Halfyard J. noted the ambiguity in the definition of "practice of law" with reference to s. 15(1)(a), namely, that it was not clear whether a self-represented individual party was exempted from the prohibition against the practice of law because he or she fell within the s. 15(1)(a) exemption or because he or she was clearly not being paid as is required in order for conduct to constitute the practice of law. He then continued at paras. 52 - 53: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no need to further pursue this apparent anomaly, because regardless of the answer, the fact remains that only "an individual party ... acting without counsel solely on his or her own behalf" is exempted from the prohibition. A self-represented plaintiff who wanted to also act for one or more individual plaintiffs (even with their consent) would appear to be precluded from doing so by s. 15(5).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issue is whether the plain meaning of the statute is inconsistent with the object of the Act. If I am right, then the combined effect of s. 15(1)(a) and s. 15(5) is to enable individuals who are parties to proceedings to act on their own behalf, but to prevent them from acting on behalf of any other co-party to the proceeding. It is reasonable to infer that this effect is also one of the purposes of the legislation. If so, then there is no conflict between the object of the statute and the plain meaning of the words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Halfyard J. held that in circumstances where a party wished a non-lawyer to act for him or her, the non-lawyer could apply to the court for leave to appear, as the Court's discretion to grant such leave was not extinguished by the enactment of s. 15(5). That same discretion, he held, extended to a non-lawyer seeking to act on behalf of a group of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agree with Halfyard J.'s interpretation of the legislation to the extent that it concerns parties to the proceedings. However, he speaks of acting "on behalf of" others in his analysis of s. 15(5), which has the effect of extending the ambit of the provision to non-parties, such as to Mr. Cram in the case before him. With respect, I interpret the provision more narrowly since it refers to acting "in the name of" other persons. This restricts the scope of s. 15(5) to parties, not to those who seek to act on their behalf. On either interpretation, it is open to an individual who is not a practising lawyer to seek privilege of audience in a representative or class action. The issue of consideration, though, does not arise when s. 15(5) is interpreted narrowly since the combined effect of that section with s. 15(1) is to permit non-lawyers to act solely as individual parties to proceedings in their own name and on their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note that the legislation at issue in R. v. Nixon, supra, prohibited a non-lawyer from commencing, carrying on or defending a proceeding "on behalf of" any other person. To that extent, it does not address the point at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terms of its application to Mr. Dempsey, s. 15(5) has the effect of prohibiting him from personally commencing, prosecuting or defending any proceeding in which he is anything other than an individual party acting solely in his own name and on his own behalf. He is thus in breach of s. 15(5) as a representative party in at least two class actions, Dempsey on Behalf of the People of Canada v. Envision Credit Union et al. (Action No. S91786) and Lovey Cridge and John Ruiz Dempsey on Behalf of the People of Canada v. Her Majesty The Queen in Right of Canada, et al. (Action No. L91905). To the extent that Mr. Dempsey purports to act as agent on behalf of others, s. 15(5) is not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Consistent with s. 15(5), I order that Mr. Dempsey, until such time as he becomes a member in good standing of the Law Society, is prohibited and enjoined from commencing, prosecuting or defending a proceeding in any court in his own name or in the name of another, except where he is an individual party to a proceeding acting solely on his own behalf. The effect of this order is that Mr. Dempsey is prohibited from acting as a representative party in a representative or class action.</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18 of the Supreme Court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Since injunctive relief under the Legal Profession Act will not constrain the ability of Mr. Dempsey to institute proceedings on his own behalf, the Law Society seeks an order declaring him a vexatious litigant pursuant to s. 18 of the Supreme Court Act and enjoining him from continuing or commencing any legal proceeding on his own behalf in any court in British Columbia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Section 18 of the Supreme Court Act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given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principles that guide the exercise of the Court's discretion on such an application were discussed in Lang Michener Lash Johnston v. Fabian </w:t>
      </w:r>
      <w:hyperlink r:id="rId559"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at para. 20 (Ont. H.C):</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These principles have been regularly cited with approval in this province, including by the Court of Appeal in Dempsey v. Casey, </w:t>
      </w:r>
      <w:hyperlink r:id="rId542" w:history="1">
        <w:r>
          <w:rPr>
            <w:rFonts w:ascii="arial" w:eastAsia="arial" w:hAnsi="arial" w:cs="arial"/>
            <w:i/>
            <w:color w:val="0077CC"/>
            <w:sz w:val="20"/>
            <w:u w:val="single"/>
            <w:shd w:val="clear" w:color="auto" w:fill="FFFFFF"/>
            <w:lang w:val="en-US" w:eastAsia="en-US" w:bidi="ar-SA"/>
          </w:rPr>
          <w:t>[2004] B.C.J. No. 1467</w:t>
        </w:r>
      </w:hyperlink>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2004 BCCA 395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have concluded following a review of the evidence that an order pursuant to s. 18 of the Supreme Court Act is warranted in the present circumstances. While the Law Society in its submissions on this issue referred to the Gravlin and Darmantchev v. CIBC et al. proceedings, I have considered only those proceedings in which Mr. Dempsey has been a litigant in arriving at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Dempsey was declared a vexatious litigant by Loo J. with respect to proceedings concerning the Surrey property. In making that order, she stated that Mr. Dempsey was attempting to re-litigate matters that had already been determined and, further, was advancing claims that disclosed no reasonable cause of action. Exhibiting another characteristic of a vexatious litigant, Mr. Dempsey then sought, unsuccessfully, to appeal her order. On further appeal, the Court of Appeal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hallmarks of vexatious litigation is the repetition of the same or similar claims in respect of the same subject matter in multiple proceedings against the same defendants or those associated with them. A review of the pleadings shows that to be the case with the three actions Mr. Dempsey has brought. In our view, Mr. Justice Thackray was correct in concluding that an appeal of Madam Justice Loo's order under s. 18 of the Supreme Court Act was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Much of Mr. Dempsey's obvious frustration with the outcomes of those various related proceedings may have stemmed from the fact that his original action (No. S053423) was dismissed on jurisdictional grounds. That his claims were not considered on their merits may have been a factor in prompting him to roll them forward into subsequent actions and in tenaciously appealing every unfavourable decision in the hopes that at some point the substance of his claims would be addressed. While certainly not an invitation to advance meritless claims indiscriminately, I would have considered it relevant in assessing whether the broader vexatious litigant order now being sought was warranted if his conduct was limited to that particular set of proceedings. That, however,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same pattern of multiple actions and appeals was evident in the separate set of proceedings arising from First Heritage Delta Credit Union's petition against Mr. Dempsey for mortgage default. He appealed the order nisi and order for conduct of sale of his property multiple times, and again initiated multiple spin-off actions, this time against the credit union, the appraiser of the property and its eventual purchasers. The thrust of the allegations was that the credit union unlawfully transferred funds from Mr. Dempsey's account and converted those funds for its own use despite his objections. It then breached and repudiated the mortgage contract by refusing to renew the mortgage prior to its due date, which made performance by Mr. Dempsey impossible and led to the foreclosure action. He alleges that the credit union conspired with the appraisers to procure a bogus appraisal for the purpose of deceiving the court and obtaining a short redemption period and quick sale through a "sham foreclosure proceeding". The eventual purchasers of the property are alleged to have intentionally interfered with Mr. Dempsey's contractual obligations with other potential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Dempsey has also initiated various other actions as set out earlier in these Reasons, though most appear to have been discontinued or remain dormant. The most recent was his November 2004 action against Mr. Berry, the Province, Canwest Global Communications and Ms. L.P. alleging defamation and unjust enrichment, and seeking aggravated damages arising from Mr. Berry's article, "Client discovers man representing her is not a lawyer'". Whatever the merits of the claims, his identification of Ms. L.P. in the statement of claim as a "self-admitted neurotic', a welfare recipient and long time ward of the state" reveals a certain meanness of spirit. While an obvious attempt to discredit Ms. L.P., an individual for whom he had acted until just the month before, it is also indicative of the level of outrage Mr. Dempsey feels when he considers himself to have been aggrieved. That outrage, in turn, fuels his litigious tendencies.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 proceeding in which Mr. Dempsey was the defendant provides further examples of his litigiousness. The Canada Trust Company instituted an action against Mr. Dempsey in November 1999 (S056950, New Westminster Registry) for credit card and loan default, and was successful in obtaining judgment. Although Mr. Dempsey had mixed success over the years in his multiple applications to have garnishing orders set aside, he appealed those in which he was not. The grounds of appeal are revealing. A January 2005 notice of appeal from a registrar's order denying Mr. Dempsey's application to have the trust company's garnishing orders set aside lists ten grounds of appeal. While many alleged that the Registrar either considered irrelevant matters or failed to consider relevant ones, the last three are as follows: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deliberately and knowingly ignored the facts that the garnishment proceedings have caused undue hardship on the defendant and his family.</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further ignored the fact that the Plaintiff's solicitor has a personal grudge against the defendant and that the solicitor is not making the garnishments in good faith but rather the solicitor doing [sic] his best to harm the defendant financially.</w:t>
      </w:r>
    </w:p>
    <w:p>
      <w:pPr>
        <w:numPr>
          <w:numId w:val="9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is not a lawyer and therefore does not understand that the rules of equity must prevail in this situation. The registrar's order was in effect inequitable.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Dempsey was unsuccessful on an application for an injunction to prevent Canada Trust Company from filing applications for garnishment. In May 2004, he filed a third party notice against Pacific Process Servers and Daryl Riva, alleging that the latter had wilfully and deliberately committed perjury and fraud upon the court by swearing an affidavit that he had served Mr. Dempsey with various court documents when that had allegedly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Ryan J.A. described Mr. Dempsey's pattern of litigation in the following terms in Ancheta v. Joe, </w:t>
      </w:r>
      <w:hyperlink r:id="rId547" w:history="1">
        <w:r>
          <w:rPr>
            <w:rFonts w:ascii="arial" w:eastAsia="arial" w:hAnsi="arial" w:cs="arial"/>
            <w:i/>
            <w:color w:val="0077CC"/>
            <w:sz w:val="20"/>
            <w:u w:val="single"/>
            <w:shd w:val="clear" w:color="auto" w:fill="FFFFFF"/>
            <w:lang w:val="en-US" w:eastAsia="en-US" w:bidi="ar-SA"/>
          </w:rPr>
          <w:t>[2005] B.C.J. No. 851</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2005 BCCA 232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College Printers has provided me with a detailed list of other actions in which Mr. Dempsey is a litigant. I will not rehearse them here. It is enough to say that the actions are many in number and display the same characteristic as Mr. Acheta's litigation - unsuccessful grounds and issues from one proceeding seem to be rolled forward and expanded in different ways into subsequent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proceedings instituted by Mr. Dempsey over the years have been decided against him, discontinued or left dormant. The defendants, nevertheless, have been put to significant financial expense, not to mention emotional toll, in defending themselves. To the extent that some of the financial expense could be offset by the costs assessments that are routinely awarded against Mr. Dempsey, he has not been forthcoming in paying. For example, he has yet to pay the majority of the costs assessed against him in certain of the proceedings regarding the Surrey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Dempsey's particular brand of litigation also has consequences for participants in the process whom he considers opposed in interest. Unfavourable decisions lead to attacks on the integrity of the decision maker (i.e., filing a complaint against Loo J. with the Judicial Council) and to actions against opposing counsel viciously attacking their professional integrity. In the case of Ms. Casey, counsel for the Pearts in the proceedings regarding the Surrey property, he went so far as to file a complaint against her with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It is somewhat ironic that Mr. Dempsey, who exhibits a fair degree of disdain for the judicial process in this country, is so quick to turn to the courts whenever he perceives himself to have been wronged. Nevertheless, he does so with alacrity and to permit to him to continue unchecked will not only impose unnecessary burdens on the unfortunate defendants of his many actions, but will also reduce access to the courts for litigants with legitimate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Dempsey's pattern of conduct exhibits many of the characteristics of a vexatious litigant identified in Lang Michener Lash Johnson v. Fabian, supra. I am therefore satisfied that an order under s. 18 of the Supreme Court Act is appropriate: Mr. Dempsey is prohibited and enjoined from commencing any legal proceeding on his own behalf in any court in British Columbia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emphasize that nothing in this order denies Mr. Dempsey access to the judicial system. He remains fully entitled to bring legitimate claims to the courts for determination once he has demonstrated to a chambers judge that they are reasonably founded.</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Inherent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Law Society submits that injunctive relief and a vexatious litigant order, even if both are ordered, have significant shortcomings in limiting Mr. Dempsey's conduct. They will not prevent him from engaging in conduct otherwise defined as the "practice of law" where he does so without expectation of a fee, nor will they limit his interaction with vulnerable litigants. To this end, it seeks two further orders pursuant to the Court's inherent supervisory jurisdiction as follows:</w:t>
      </w:r>
      <w:r>
        <w:rPr>
          <w:rFonts w:ascii="arial" w:eastAsia="arial" w:hAnsi="arial" w:cs="arial"/>
          <w:sz w:val="20"/>
          <w:lang w:val="en-US" w:eastAsia="en-US" w:bidi="ar-SA"/>
        </w:rPr>
        <w:cr/>
      </w:r>
    </w:p>
    <w:p>
      <w:pPr>
        <w:numPr>
          <w:numId w:val="9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be required to inform members of the public and members of the legal profession with whom he comes into contact in relation to legal matters that</w:t>
      </w:r>
    </w:p>
    <w:p>
      <w:pPr>
        <w:numPr>
          <w:numId w:val="9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a barrister and solicitor licensed to practice law in the British Columbia or any other jurisdiction, including the Philippines;</w:t>
      </w:r>
    </w:p>
    <w:p>
      <w:pPr>
        <w:numPr>
          <w:numId w:val="9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received no legal training in Canada;</w:t>
      </w:r>
    </w:p>
    <w:p>
      <w:pPr>
        <w:numPr>
          <w:numId w:val="9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permitted to receive a fee, donation, or benefit of any kind, direct or indirect, for legal services; and</w:t>
      </w:r>
    </w:p>
    <w:p>
      <w:pPr>
        <w:numPr>
          <w:numId w:val="9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compelled by court order to make such disclosure.</w:t>
      </w:r>
    </w:p>
    <w:p>
      <w:pPr>
        <w:numPr>
          <w:numId w:val="10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be required to inform the Law Society of British Columbia of any proceeding or legal matter in which he is involved in any manner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Law Society submits that the first order would permit members of the public to make informed and reasoned judgments as to whether they wished involvement with Mr. Dempsey. Smith J. made an order of this nature in Law Society of British Columbia v. Kempo (Action No. A960675, Vancouver Registry, June 1996). Mr. Dempsey replies that the Law Society has "no legal standing in law" to request an order of this nature. However, he indicates that he is prepared to accept these terms since he does not wish to be identified as a lawyer and does not provide services in the expectation of gain or reward.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Law Society submits that the second order it seeks would permit it to intervene on a case by case basis and alert the Court to Mr. Dempsey's status and history if necessary. Mr. Dempsey's takes the position that the Law Society lacks standing to compel him to do so in the absence of any contract or binding agreement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This Court has broad authority pursuant to its inherent jurisdiction to control its own process and to ensure that that process is not abused in any way. This jurisdiction embraces the power to ensure convenience and fairness in legal proceedings, to prevent conduct that would render judicial proceedings ineffective, and preventing abuse of the court's process: MacMillan Bloedel Ltd. v. Simpson, </w:t>
      </w:r>
      <w:hyperlink r:id="rId560" w:history="1">
        <w:r>
          <w:rPr>
            <w:rFonts w:ascii="arial" w:eastAsia="arial" w:hAnsi="arial" w:cs="arial"/>
            <w:i/>
            <w:color w:val="0077CC"/>
            <w:sz w:val="20"/>
            <w:u w:val="single"/>
            <w:shd w:val="clear" w:color="auto" w:fill="FFFFFF"/>
            <w:lang w:val="en-US" w:eastAsia="en-US" w:bidi="ar-SA"/>
          </w:rPr>
          <w:t>[1995] 4 S.C.R. 725</w:t>
        </w:r>
      </w:hyperlink>
      <w:r>
        <w:rPr>
          <w:rFonts w:ascii="arial" w:eastAsia="arial" w:hAnsi="arial" w:cs="arial"/>
          <w:color w:val="000000"/>
          <w:sz w:val="20"/>
          <w:lang w:val="en-US" w:eastAsia="en-US" w:bidi="ar-SA"/>
        </w:rPr>
        <w:t xml:space="preserve"> at para. 33. Some of the more specific considerations which bear upon the exercise of this jurisdiction were addressed in Fast Trac Bobcat, supra, and include the protection of the public, the maintenance of standards of conduct before the court and towards those opposed in interest, and the impracticality of addressing these matters in any other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Dempsey, despite his claims to have had legal education, is very clearly not competent in matters of law. It is not necessary to look beyond his response to this petition to appreciate the extent to which this is the case. The "Constructive Notice of Child of God Status" is an unorthodox document which purports to assert a status not known in Canadian law. The proposition that no person, presumably including this Court and the Law Society, can assert authority over Mr. Dempsey unless they are able to establish that they are God or provide verifiable proof of God's signature is a novel one, indeed. His penchant for unilaterally imposing deeming provisions as reflected in the Jurisdictional Challenge delivered to the Law Society displays a profound lack of understanding of the most basic legal principles. The "Notice of Acceptance of Oath of Office" speaks for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Rather than a focused and reasoned response to the Law Society's arguments on this petition, the submissions prepared by Mr. Dempsey were largely an ad hominem attack on the legal profession and the Law Society that was, in many places, blatantly offensive. Suggesting "perhaps we should add in [the Law Society's] list of relief sought to arrest and incarcerate the Respondent and others like him in order to get it over and done with. Set up some concentration camps just like the ones by Dachau and Buchenwald, complete with gas chambers to finalize the elimination process" is neither an appropriate nor persuasive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Were Mr. Dempsey the sole victim of his lack of competence, my concerns would be rather more muted, particularly since the vexatious litigant order severely restricts his ability to appear in court on his own behalf in the absence of a legitimate claim. That others entrust their legal affairs to Mr. Dempsey is the far greater problem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Mr. Ancheta is a prominent example. The petition for judicial review of Mr. Ready's decision (Ancheta v. Joe, </w:t>
      </w:r>
      <w:hyperlink r:id="rId546" w:history="1">
        <w:r>
          <w:rPr>
            <w:rFonts w:ascii="arial" w:eastAsia="arial" w:hAnsi="arial" w:cs="arial"/>
            <w:i/>
            <w:color w:val="0077CC"/>
            <w:sz w:val="20"/>
            <w:u w:val="single"/>
            <w:shd w:val="clear" w:color="auto" w:fill="FFFFFF"/>
            <w:lang w:val="en-US" w:eastAsia="en-US" w:bidi="ar-SA"/>
          </w:rPr>
          <w:t>[2003] B.C.J. No. 784</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2003 BCSC 529</w:t>
        </w:r>
      </w:hyperlink>
      <w:r>
        <w:rPr>
          <w:rFonts w:ascii="arial" w:eastAsia="arial" w:hAnsi="arial" w:cs="arial"/>
          <w:color w:val="000000"/>
          <w:sz w:val="20"/>
          <w:lang w:val="en-US" w:eastAsia="en-US" w:bidi="ar-SA"/>
        </w:rPr>
        <w:t>), for instance, named respondents who were not proper parties. Lowry J. wrote that "upon this being explained to Mr. Ancheta, he (through his agent Mr. Dempsey) accepted that the petition should be dismissed against them [para. 16]." He continued at para. 17 that "Much of what Mr. Ancheta contends now as the basis for judicial review could not be advanced on the petition as drawn." He was also critical of the case advanced for Mr. Ancheta as ignoring the administrative process. Instead of properly directing the submissions to the Labour Relations Board decision denying the application to set aside Mr. Ready's decision, "much of what is argued is raised now for the first time in an effort to establish that the arbitrator's decision is to be set aside. That raises a difficulty for Mr. Ancheta that in my view, cannot be overcome. [para. 18]" The petition was ultimately dismissed and costs were awarded against Mr. Ancheta. Leaving aside Mr. Dempsey's litigious style, it is evident that he lacks the ability to properly frame and advance the many proceedings that he pursues.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Ancheta appealed Lowry J.'s decision and then sought to expand the grounds of appeal to allege, inter alia, that the review policy and decisions of the arbitrator and the Labour Relations Board infringed no less than eight different sections of the Charter, including, rather curiously, those dealing with mobility rights and cruel and unusual punishment. Low J.A. described the amendment application as "doomed to fail and ill-advised," and dismissed it for lack of merit. In the context of this set of proceedings, Mr. Ancheta filed a manifestly improper and invalid lien against Mr. Ready. As noted by Ryan J.A., the costs awarded against Mr. Ancheta for his many unsuccessful hearings has had serious financial consequences for him in the form of a "formidable list of judgments" being registered against his properties. Mr. Ancheta's interests have been ill-served by Mr. Dempsey's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L.P. and Ms. Deglan also provided evidence with respect to deficiencies in materials prepared by Mr. Dempsey.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Garson J. was critical of Mr. Dempsey's abilities in Gravlin and Darmantchev v. CIBC, supra. Passages from her judgment were set out earlier in these Reasons and need not be repeated. I simply observe her comments that the pleadings before her that had been prepared by Mr. Dempsey "cry out for professional advice and guidance", the claims as pled were "unintelligible, and that they "demonstrate that Mr. Dempsey is not capable of drawing proper pleadings." The many other pleadings drafted by Mr. Dempsey that are before me on this petition simply reinforce the accuracy of Garson J.'s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Beyond his legal competency, Mr. Dempsey's approach to litigation is also a serious concern. Many of the factors that I relied upon in concluding that a s. 18 vexatious litigant order was warranted also manifested in proceedings in which Mr. Dempsey has been involved as agent. Mr. Ancheta's stream of litigation was characterized by multiple actions against a broad range of defendants arising from the same incident, none of which was successful. The Courts were critical of the course of the proceedings, Newbury J.A., for example, describing it as "a prolonged claim advanced by a misguided litigant". Some of those actions were brought against counsel, including counsel who had formerly acted on Mr. Ancheta's behalf. He also persistently appealed decisions, again with no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Notwithstanding my grave concerns with respect to the difficulties and hardships that Mr. Dempsey's involvement has visited upon those on whose behalf he acts, I am not persuaded that the orders that the Law Society seeks will necessarily be successful in addressing those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proposed order that Mr. Dempsey advise the public of his limitations as to the practice of law is problematic from the perspectives of both effectiveness and enforceability. The fact that he is quite willing to accede to its terms is perhaps one indicator of its limited potential to be effective. As noted earlier, he indicates that he has no wish to be identified as a lawyer, either in Canada or the Philippines, and that he does not receive consideration for his legal services in any event. A certain constituency to which he seems to appeal is likely drawn to him precisely because he is a maverick and not a member of the Law Society. Moreover, the mischief Mr. Dempsey is able to cause is limited by other orders that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Enforceability is another concern. As the Law Society submits, an order of this nature was made in Law Society of British Columbia v. Kempo, supra. The problem of its enforceability, however, was apparent when Mr. Kempo later sought audience before Henderson J. in Avance Venture Corporation et al. v. Norham Relations Group Corporation, </w:t>
      </w:r>
      <w:hyperlink r:id="rId561" w:history="1">
        <w:r>
          <w:rPr>
            <w:rFonts w:ascii="arial" w:eastAsia="arial" w:hAnsi="arial" w:cs="arial"/>
            <w:i/>
            <w:color w:val="0077CC"/>
            <w:sz w:val="20"/>
            <w:u w:val="single"/>
            <w:shd w:val="clear" w:color="auto" w:fill="FFFFFF"/>
            <w:lang w:val="en-US" w:eastAsia="en-US" w:bidi="ar-SA"/>
          </w:rPr>
          <w:t>[2002] B.C.J. No. 2864</w:t>
        </w:r>
      </w:hyperlink>
      <w:r>
        <w:rPr>
          <w:rFonts w:ascii="arial" w:eastAsia="arial" w:hAnsi="arial" w:cs="arial"/>
          <w:color w:val="000000"/>
          <w:sz w:val="20"/>
          <w:lang w:val="en-US" w:eastAsia="en-US" w:bidi="ar-SA"/>
        </w:rPr>
        <w:t>. Not only had he omitted to advise opposing counsel of the restrictions on his ability to practice law as required by that order, but he had appeared in court on at least two dozen occasions, leading Henderson J. to infer that he had failed to disclose the order on numerous occasions. This would suggest that the general enforceability of such an order is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Accordingly, I decline to make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second proposed order that Mr. Dempsey advise the Law Society of "any proceedings that may be brought before any court in British Columbia in which he has any involvement whatsoever" is very broad in its scope. Requiring him to advise the Law Society of any "proceedings that may be brought...in which he has any involvement whatsoever" captures a wide range of conduct, including a meeting to discuss a potential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necessity of this order is also somewhat diminished by the fact that this Court has increasingly come to recognize on its own volition that Mr. Dempsey is not a suitable agent, as reflected in its refusal on at least three recent occasions to grant him privilege of audience: Gravlin and Darmantchev v. CIBC, CIBC v. Deglan and Diners Club v. Nevlud. I am confident that the experience that befell Mr. Ancheta would not occur now. However, to better ensure that Mr. Dempsey's full circumstances will be before the Court on future applications for audience, I am prepared to order that he inform the Law Society of any proceedings presently instituted or which may be instituted in any court in British Columbia in which he seeks to apply for privilege of audience. This will permit the Law Society to intervene where it deems it necessary to ensure that the public interest is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a result of this petition, Mr. Dempsey is prohibited from holding himself out as a lawyer, from engaging in the unauthorized practice of law, and from acting as a party to class actions. He is also not permitted to institute proceedings on his own behalf without leave of the Court. The Court has increasingly limited his ability to appear before it as agent by denying his recent applications for audience. The requirement that he inform the Law Society of any proceedings in which he seeks to apply for privilege of audience will ensure that his complete circumstances will be before the Court on any future such applications. Despite these extensive restrictions, there remains scope for Mr. Dempsey to provide incompetent legal advice and services to those who are not minded by the fact that he is not a member of the Law Society. While troubling, there may simply not be a solution that is both practical and enforceable that will address this situation.</w:t>
      </w:r>
      <w:r>
        <w:rPr>
          <w:rFonts w:ascii="arial" w:eastAsia="arial" w:hAnsi="arial" w:cs="arial"/>
          <w:sz w:val="20"/>
          <w:lang w:val="en-US" w:eastAsia="en-US" w:bidi="ar-SA"/>
        </w:rPr>
        <w:cr/>
      </w:r>
    </w:p>
    <w:p>
      <w:pPr>
        <w:numPr>
          <w:numId w:val="10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make the following orders: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such time as he becomes a member in good standing of the Law Society of British Columbia, John Ruiz Dempsey is permanently prohibited and enjoined from holding himself out as a lawyer, practicing or non-practicing, or as a member of the Law Society of British Columbia.</w:t>
      </w:r>
    </w:p>
    <w:p>
      <w:pPr>
        <w:numPr>
          <w:numId w:val="10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such time as he becomes a member in good standing of the Law Society of British Columbia, John Ruiz Dempsey is permanently prohibited and enjoined from:</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as counsel or advocate;</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for use in a proceeding, judicial or extra-judicial;</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relating in any way to proceedings under a statute of Canada or British Columbia;</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any act or negotiating in any way for the settlement of, or settling, a claim or demand for damages;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legal advice;</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to provide to a person the legal services set out in (a) to (e) above;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himself out in any way as being qualified or entitled to do anything set out in (a) to (f) above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or in the expectation of a fee, gain or reward, direct or indirect, from the person for whom the acts are performed.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such time as he becomes a member in good standing of the Law Society of British Columbia, John Ruiz Dempsey is permanently prohibited and enjoined from commencing, prosecuting or defending a proceeding in any court in his own name or in the name of another, except where he is an individual party to a proceeding acting solely on his own behalf.</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Ruiz Dempsey is declared a vexatious litigant pursuant to s. 18 of the Supreme Court Act. Accordingly, he is prohibited and enjoined from commencing any legal proceeding on his own behalf in any court in British Columbia without leave of the court.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Ruiz Dempsey is required to inform the Law Society of British Columbia of any proceedings presently instituted or which may be instituted in any court in British Columbia in which he seeks to apply for privilege of audience.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Law Society shall be awarded costs on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Mann v. Rainsford, [2010] B.C.J. No. 550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09-3186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550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410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603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743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Margaret Mann, Plaintiff, and Carol Anne Rainsford and Charles David Fraser Rainsford,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5" w:name="Keywords_17"/>
      <w:bookmarkEnd w:id="165"/>
      <w:r>
        <w:rPr>
          <w:rFonts w:ascii="arial" w:eastAsia="arial" w:hAnsi="arial" w:cs="arial"/>
          <w:b/>
          <w:color w:val="000000"/>
          <w:sz w:val="20"/>
          <w:lang w:val="en-US" w:eastAsia="en-US" w:bidi="ar-SA"/>
        </w:rPr>
        <w:t>Tort law — Occupiers' liability — Duty of occupier — To invitees — Particular situations — Stairs — Claim by plaintiff for damages for injuries sustained in a fall while attending an open house on the defendants' premises dismissed — None of the allegations were established on the evidence — The sidewalk system with landscape design leading to the defendants' front door did not violate the B.C. Building Code, and the change in elevation was obvious — The defendants met the standard of care imposed upon them by s. 3(1) of the Occupier's Liability Act. In any event, the plaintiff's injuries were caused solely by her own inattention — B.C. Building Code — Occupier's Liability Act, s. 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6" w:name="Case Summary_17"/>
            <w:bookmarkEnd w:id="1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for damages for injuries sustained in a fall while on the defendants' premises. The parties agreed on the quantum of damages, and the sole remaining issue was that of liability. On the day in question, the plaintiff, a neighbour of the defendants, saw an advertisement for an open house at the defendants' premises, and decided to attend. As she left the defendants' home, she walked out the front door, stepped down the first step and tripped or mis-stepped, falling forward. She currently pleaded the provisions of the Occupier's Liability Act, alleging the defendants were negligent by: (a) failing to provide a handrail for the stairs; (b) by failing to provide a handrail, violating the B.C. Building Code and the City of Victoria Building Bylaw; (c) failing to mark the edge of each step in a contracting colour; (d) failing to post warning signs; (e) failing to take any care to ensure she would be reasonably safe in using the premises, etc.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7" w:name="Holdings of Court_13"/>
            <w:bookmarkEnd w:id="167"/>
            <w:r>
              <w:rPr>
                <w:rFonts w:ascii="arial" w:eastAsia="arial" w:hAnsi="arial" w:cs="arial"/>
                <w:color w:val="000000"/>
                <w:sz w:val="20"/>
                <w:lang w:val="en-US" w:eastAsia="en-US" w:bidi="ar-SA"/>
              </w:rPr>
              <w:t>HELD: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not liable. None of the plaintiff's allegations were established on the evidence. In common parlance, the defendants' entry way would not be characterized as a flight of stairs or a stairwell, but rather as a sidewalk system within a landscape design. The front entrance was five consecutive concrete pads forming a walkway from the front door to the asphalt parking area at the side of the building. The B.C. Building Code did not turn its mind to such structures. The walkway did not contravene the Code. The evidence was the slabs were of sound construction, had level, non-slip surfaces and were in good repair. Prior to this accident, there were no incidents suggesting a risk of a person falling. The plaintiff did not testify she had any difficulty discerning the edge of a step. The change in elevation of the walkway was obvious. If more was required, the placement of vertical planters, in a descending line on the leading edges of the concrete slabs provided a reasonable visual clue to users of the walkway that one slab ended and a new one below it was to begin. The defendants met the standard of care imposed upon them by s. 3(1) of the Occupier's Liability Act. In any event, the plaintiff's injuries were caused solely by her own inattention. She was looking to her left at a garden, not looking ahead where she was walking.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8" w:name="Legislation Cited_10"/>
      <w:bookmarkEnd w:id="1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1"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of Liability Act, </w:t>
      </w:r>
      <w:hyperlink r:id="rId234"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9" w:name="Counsel_27"/>
      <w:bookmarkEnd w:id="1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S.A. Braun.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0" w:name="Judgment_27"/>
      <w:bookmarkEnd w:id="170"/>
      <w:r>
        <w:pict>
          <v:line id="_x0000_s1153"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1" w:name="R.D. WILSON J."/>
            <w:bookmarkEnd w:id="171"/>
            <w:r>
              <w:rPr>
                <w:rFonts w:ascii="arial" w:eastAsia="arial" w:hAnsi="arial" w:cs="arial"/>
                <w:b/>
                <w:color w:val="000000"/>
                <w:sz w:val="30"/>
                <w:lang w:val="en-US" w:eastAsia="en-US" w:bidi="ar-SA"/>
              </w:rPr>
              <w:t>R.D.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At the time material to this litigation, the defendants were "an occupier of premises", as that notion is defined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person who personally entered those premises. While on the premises, on 2 March 2008, the plaintiff fell, and sustained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have agreed on the quantum of monetary damages arising from those injuries, in the event the defendants are found liable. The purpose of the trial of the plaintiff's action was to determine the sole issue of liability. I conclude the defendants are not liable. The plaintiff's action is dismissed. For the following reasons.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premises in question contain a single family residential dwelling house. The house fronts on a municipal street. It is set back some 30 feet from the sidewalk on that municipal street. Ingress and egress, from and to, the municipal sidewalk and the front door of the house, is through a gated corridor, some 7 feet wide, bordered by landscaping. The ground slopes from the high point at the threshold of the entry door, down to the municipal sidewalk. The change of elevation, over the 30 foot span of the corridor, is 3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corridor has been covered by cast-in-place, horizontally laid, concrete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slab abuts the exterior wall of the house, below the entry door. The slab extends 47 inches from the exterior wall. Its width is 84 1/2 inches. This slab was referred to by the parties as the "stoop".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Three slabs extending from the stoop are 78 inches long. The fourth and final slab, nearest the municipal sidewalk, is 87 inches long. The four slabs below the stoop are also 84 1/2 inches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surface of the four concrete slabs below the stoop, are finished in exposed aggregate. At the material time, the surface was in good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 accommodate the change in elevation, the concrete slabs are terraced. This configuration results in a face, or leading edge, of each slab, where it abuts the slab immediately below it. The height of each of those faces, or leading edges, is between 7 and 8 inches, approximately.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Concrete planters are set on each side of each slab immediately above the face or leading edge.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Rainsford testified that, from the front entry door, looking toward the municipal sidewalk, the change in elevation was apparent. As well, the step down at the end of each concrete slab was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period the defendants occupied the premises, they received no complaints from visitors of any safety concerns about this entry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Prior to acquiring the property in December 2007, the defendants commissioned a report by a home inspector, Mr. Carey Smith. Mr. Smith did not report any indication that the entry walkway was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Rainsford testified that, from the front entry door, looking toward the municipal sidewalk, the change in elevation was obvious. She said that the step down at the end of each concrete slab was visible from the front entry door. She said that during the period of their occupancy, the defendants had never received any complaints from any visitors to the premises, including elderly visitors and an elderly architect from across the street. She said she received no complaints from the realtors engaged to market the property of any unsafe conditions in and about the premises, and in particular, about the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Carey Smith is the home inspector engaged by the defendants prior to their acquisition of the premises in December 2007. Mr. Smith testified that his home inspections include an examination of the exterior ingress and egress conditions, to enable him to comment on the facility of escape from the dwelling house in the event of fire. He said that the step down at the end of each concrete slab was apparent both from the municipal sidewalk and from the front entry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Smith did not comment on this front entry walkway in his report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Smith knew the designer of the home, and walkway, during that designer's lifetime. Mr. Smith said that this designer had designed homes throughout the Saanich and Victoria areas. Mr. Smith said that there are two other residences with the same entrance design, one on Sea Ridge, the other on Arbutus. He said that there is nothing unusual about this entryway. He said that at the time he inspected the premises, there was no obstruction or impediment to a clear view of the entry walkway from the front entry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Rusen is a realtor. He accepted the listing for the sale of the defendants' residence. Mr. Rusen worked with Mr. Jabs, another realtor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property was listed for sale in early February 2008. During the course of the marketing program, "several" open houses were conducted. At these open houses, the public was invited to attend the premises. Mr. Rusen said that on an average weekend, 12 to 20 couples, or 24 to 40 persons, would attend an individual open house. An indeterminant number of open houses were held prior to 2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Rusen said that the change in elevation from the front entry door down to the municipal sidewalk was apparent. He said he had no trouble seeing the step down at the end of each concrete slab. He said that he received no complaints from any of the persons attending the open houses about the entry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cross-examination, Mr. Rusen denied that this walkway was unusual. He said that the walkway is consistent with the house; a concrete surface is a standard form of entry way; and that he was aware of several properties in the region with similar entry way configurations. He said that he had never seen yellow lines painted on such an entry way to residential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Jabs was the other realtor acting with Mr. Rusen. Mr. Jabs walks with a cane. He said that there was nothing unusual about the entry way at the defendants' premises. He said that viewed from the front entry door to the municipal sidewalk, the change in elevation was very distinct. He said that to him, the step down at the end of each slab was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Jabs attended some of the open houses and said that he did not receive any complaints about the walkway, from any persons attending those open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too said that he had never seen a residential premise with a concrete entry way such as that at the defendants' premises with yellow painting.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home is across the street from the defendants' premises. The plaintiff has lived in her home for some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Sunday, 2 March 2008, she saw the advertisement for an open house at the defendants' premises. As a matter of interest, she said, she decided to attend the open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approximately 3:00 p.m. that afternoon, she entered the premises through the gated walkway. She said it was a bright sunny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in the residential dwelling house approximately one-half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explained the mechanics of the incident, at her examination for discovery,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what you did when you left the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walked out of the front door and I stepped down the first step. And I remember I was looking at the garden. And I tripped. And I went to grab the handrail, but there was no handrail there and I fell forward down the step.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you were looking at the garden?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area of the garden were you looking 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left-hand side coming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right-hand side of the photograph, you were looking over that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slip on anything,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didn't trip on anything,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there was no object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misstepped,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stepped off the landing onto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step,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down the first step, and you did that fine.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got down onto, say, the second landing?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went forward?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tripped on that step, as far as I can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were looking at the garden to the left?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fall? Do you know why you fell?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wasn't a normal configuration of steps going down, so I missed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just went up it 30 minutes earlier.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knew that there was a step and a landing and another step and a landing from when you just went up 30 minutes earlier,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saw it as I went up, but I wasn't looking at the stairs as I came down, because I don't normally have to look and check to see where the steps are when you're going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that this isn't a staircase like at your house. You knew that when you got there and you knew that when you went to go up into the house,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saw it when I went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knew that there were landings in between the steps and that you would have to walk to get to the next step,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just trying to find out what was surprising to you that it was the same on the way out as it was on the way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guess I hadn't recalled the configuration when I left.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was the same on the way out as it was on the way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simply just that you misstepped when you left the house, isn't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makes the following allegations in her statement of claim:</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the Plaintiff pleads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1996, chapter 337.</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 handrail for the stairs;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provide a handrail, allowing the stairs to exist in a condition that is contrary to the British Columbia Building Code and the City of Victoria Building Bylaw;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mark the edge of each step in a contrasting colour to the remainder of the surface in such a way as to draw the steps to a pedestrian's attention;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post warning signs drawing attention to the existence of the steps;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care, or in the alternative, any reasonable care, to ensure that the Plaintiff would be reasonably safe in using the Premises, and in particular in using the stairs leading from the front entrance of the house to the public boulevard on Regents Place in front of the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 to a risk of damage or injury from poorly marked stairs lacking a handrail;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care, or in the alternative, any reasonable care to prevent injury or damage to the Plaintiff from any unusual dangers on the stairs of the Premises of which the Defendants knew or ought to have known;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or permitting the stairs to be, to become, or to remain in a dangerous condition and a danger and a trap to persons lawfully using the Premises by virtue of the lack of a handrail and distinctive markings;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measures to eliminate the hazardous condition of the stairs and to provide handrails and adequate markings, or in the alternative, any reasonable measures to render the stairs safe to use when the Defendants knew or ought to have known that the stairs were hazardous and in a dangerous condition;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measures, or in the alternative, any adequate measures, whether by way of examination, inspection, or test or otherwise, to ensure that the Premises were in a reasonably safe condition or to ensure that the stairs were not dangerous to use;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the Plaintiff any warning, or in the alternative, any adequate warning of the dangerous conditions of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None of those allegations have been established on the evidence.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contends that the defendants' entry walkway contravened the then applicable B.C. Building Code. That contention was founded upon the opinion of Mr. Airton, a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report, Mr. Airton asserts that the defendants' entry way is a "means of egress" as defined in the 1985 B.C. Building Code: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means a continuous path of travel provided by a doorway, hallway, exterior passage way, balcony, lobby, stair, ramp or other egress facility or combination thereof, for the escape of persons from any point in a building, floor area, room or contained open space to an open public thoroughfare or to an exterior open space protected from fire exposure from the building and having access to an open public thoroughfare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municipal sidewalk, at the bottom of the defendants' entry way, is, said Mr. Airton, "open public thoroughfare".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Therefore, goes the argument, the defendants' entry way is subject to the B.C.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B.C. Building Code does not define the noun "stair" or the noun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Mr. Airton argues, the concrete slabs on the entry way contain rises and runs (or "treads").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Therefore, the concrete slabs are a "stair", although, Mr. Airton said, "it is an unusual stair".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To the contrary, Mr. Brown, also a professional engineer, provided an opinion at the instance of the defendants. Mr. Brown opines that the B.C. Building Code is not applicable to the defendant's entry way, because it is a series of single steps, separated by sections of sidewalk or "landings". It is, said Mr. Brown, a sidewalk system, not a flight of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Notably, in his report, Mr. Airton refers throughout, to the entry way, as "a sidewalk system". The first step to wisdom is getting things by their right name. I find "sidewalk system" is close to the accurate name for these concrete slabs. More particularly, they are a sidewalk system within a landscape design. To such structures, the B.C. Building Code does not turn its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common parlance, this entry way would not be characterized as a flight of stairs or a stairwell.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An analogous controversy arose in </w:t>
      </w:r>
      <w:r>
        <w:rPr>
          <w:rFonts w:ascii="arial" w:eastAsia="arial" w:hAnsi="arial" w:cs="arial"/>
          <w:i/>
          <w:color w:val="000000"/>
          <w:sz w:val="20"/>
          <w:lang w:val="en-US" w:eastAsia="en-US" w:bidi="ar-SA"/>
        </w:rPr>
        <w:t>Wilson v. Dr. Andrew M. Rowe Professional Corp.</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2009 NBQB 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the plaintiff fell while leaving the defendant's professional office building. Conflicting opinions of professional engineers were entered on the trial of the action. One expert opined that there was a contravention of the National Building Code, due to the absence of handrails from the walkway there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other expert opined that the Code did not apply to the walkway in issue. At para. 5 of the opinion,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Rowe also had the site inspected by an engineer. The engineer points out that the provisions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requiring a handrail refers to "stairs", a term which is not defined. He describes the front entrance as five consecutive pads which form a walkway from the front door to the asphalt parking area at the side of the building. He says the pads "are soundly constructed and level, have non-slip surfaces, and are in good repair." At page 10 of his report he provides a diagram which shows that the riser from the first slab (at the door) is 7 1/4". The next three slabs leading to the side of the building have 7" risers and the last riser, next to the driveway, is 2". (Wilson fell at the first 7" riser.) He says, "The walkway generally follows the gentle slope of the ground adjacent to the walkway." He says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does not contain provisions relating to "the design and construction of walkways, sidewalks and driveways ..." In his opinion "the provisions of the NBC pertaining to stairs are not intended to address the front walkway ..." He says that Part 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requires guards "where a difference in elevation to adjacent surfaces is more than 600 mm. (2 feet). All the surfaces adjacent to the concrete pads are less than 2 feet (600 mm.) below the surface of the walkway, therefore no guards are required" ... I find the opinion expressed by this engineer to be more comprehensive and logical than that of the engineer hired by Wilson and I accept his opinion that the walkway does not contravene the </w:t>
      </w:r>
      <w:r>
        <w:rPr>
          <w:rFonts w:ascii="arial" w:eastAsia="arial" w:hAnsi="arial" w:cs="arial"/>
          <w:i/>
          <w:color w:val="000000"/>
          <w:sz w:val="20"/>
          <w:lang w:val="en-US" w:eastAsia="en-US" w:bidi="ar-SA"/>
        </w:rPr>
        <w:t>National Building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Similarly, in this case, I find the opinion of Mr. Brown more logical than the opinion of Mr. Airton and find that the defendants' walkway does not contravene the B.C. Building Code.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Prior to 2 March 2008, given the experience of the defendants during their occupancy of the premises, and the realtor's experience during the open houses, the risk of a person falling, on the entry way, to the defendants' premises, was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However, neither the presence or absence of other falls, nor the compliance or non-compliance with government regulations, are dispositive of the issue of whether an occupier has performed to the standard of care prescribed by s. 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that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 on the premises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support of the contention that the defendants did not meet that standard of care, in his report, Mr. Airton argues that at the time he attended the premises, (3:30 p.m., 30 July 2009), "there were lots of flowers growing alongside the sidewalk that cast their shadows across it. Figure 4 shows a view down the path and thereon it can be seen that the edges of the 'steps' were difficult to see and this was contributed to somewhat by the shadows cast by the adjacent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then states this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most likely that the continuous exposed aggregate surface on the whole sidewalk system made it more difficult for Ms. Mann to discern that the edge of a step existed because a straight line across a sidewalk as the edge of a step would be often is a control joint or expansion joint that are everywhere on city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Airton's arguments are not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 to the evidence, there was no foliage growing alongside the sidewalk on 2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evidence of shadows cast on the sidewalk on 2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Airton does not say he did not see the edges of the steps. He says the shadows made it more difficult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Mann did not testify that she had any difficulty discerning the edge of a step, whether by reason of shadows,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Airton makes the further argument that the edge of the stair should have been identified by a contrasting colour, in the concrete on the slab edges; or by painting a yellow line across the edges.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argues that an interruption in the uniform colour of the exposed aggregate would provide a visual cue to users of the walkway, that they must be alert to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not persuaded that a colour contrast is the only reasonable way to alert a user of the walkway. I find the change in elevation in this walkway was obvious; the horizontal placement of the concrete slabs was obvious; and if more was required, the placement of vertical planters, in a descending line, on the leading edges of the concrete slabs, provided a reasonable visual cue to users of the walkway, that one slab ended, and a new one below it was about to begin.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the defendants did meet the standard of care imposed upon them by the statute.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any event, I find that the plaintiff's injuries were caused solely by her own inattention. She was looking to her left at a garden, not looking ahead where she was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Prior decisions in these occupier liability cases are all fact specific. Of all of the prior decisions relied upon and urged upon me by counsel, I find </w:t>
      </w:r>
      <w:r>
        <w:rPr>
          <w:rFonts w:ascii="arial" w:eastAsia="arial" w:hAnsi="arial" w:cs="arial"/>
          <w:i/>
          <w:color w:val="000000"/>
          <w:sz w:val="20"/>
          <w:lang w:val="en-US" w:eastAsia="en-US" w:bidi="ar-SA"/>
        </w:rPr>
        <w:t>Robson v. Trail Bay Developments Ltd.</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2009 BCSC 806</w:t>
        </w:r>
      </w:hyperlink>
      <w:r>
        <w:rPr>
          <w:rFonts w:ascii="arial" w:eastAsia="arial" w:hAnsi="arial" w:cs="arial"/>
          <w:color w:val="000000"/>
          <w:sz w:val="20"/>
          <w:lang w:val="en-US" w:eastAsia="en-US" w:bidi="ar-SA"/>
        </w:rPr>
        <w:t>, to be the most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headnote to that case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Mall operated and owned by defendants underwent major renovations and during course of construction concrete ramp was built near mall entrance -- plaintiff fell off ramp and brought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provisions of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claiming that defendants breached duties owed to users of the mall -- ... evidence showed that plaintiff looked into her purse to retrieve her car keys as she approached the edge of ramp and fell approximately 2 inches to asphalt pavement -- surfaces of parking lot and ramp were in good condition, demarcation between ramp and asphalt was not obscured, and sufficient warnings existed such that area did not constitute unusual danger -- painting edge of ramp was not required by any applicable authority -- plaintiff had opportunity to observe height differential between ramp and asphalt parking surface as she entered mall, and with minimal amount of attention edge of ramp and height differential could be seen -- plaintiff was under duty to be aware of her surroundings, but her awareness was diminished by her search for keys -- plaintiff failed to demonstrate that ramp was unsafe or constituted unusual danger, or that defendants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dismissing the plaintiff's claim, the court said,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Ms. Robson has failed to demonstrate on a balance of probabilities that the ramp was unsafe or that it constituted an unusual danger. The edge of the ramp was there to be seen. It was not seen because Ms. Robson was paying attention to extracting her keys from her purse, rather than watching where she was stepping. While perfection might have seen the Defendants placing some sort of barricade at that side of the ramp, the steps taken by the Defendants to assure patrons that the premises were reasonably safe were more than sufficient in the circumstances. There was no unusual danger. At the same time, Ms. Robson has not proven on a balance of probabilities that the Defendants were negligent.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adopt those observations as they apply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Maradadi Pacific Holdings Ltd. v. Call, [2019] B.C.J. No. 687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21-25, 28-31 and February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S169944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607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Maradadi Pacific Holdings Ltd., Plaintiff, and Melissa Isabelle Call, Ecossentials Local Market Inc. and 0985780 B.C. Ltd., Defendants, and Maradadi Pacific Holdings Ltd. and Judeline Tyabji Wilson,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2" w:name="Keywords_18"/>
      <w:bookmarkEnd w:id="172"/>
      <w:r>
        <w:rPr>
          <w:rFonts w:ascii="arial" w:eastAsia="arial" w:hAnsi="arial" w:cs="arial"/>
          <w:b/>
          <w:color w:val="000000"/>
          <w:sz w:val="20"/>
          <w:lang w:val="en-US" w:eastAsia="en-US" w:bidi="ar-SA"/>
        </w:rPr>
        <w:t>Contracts — Remedies — Equitable remedies — Unjust enrichment — Restitution — General principles — Unjust enrichment — Elements — No juristic reason — Action by plaintiff for amount owing dismissed — Defendants were not unjustly enriched with respect to services — Plaintiff had no expectation of payment for them when they were rendered — Plaintiff's evidence was that much of what it did was in anticipation of parties entering into long-term business relationship — Fact that such relationship did not materialize was not basis on which plaintiff could later demand to be paid.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3" w:name="Case Summary_18"/>
            <w:bookmarkEnd w:id="1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an amount owing. The parties agreed that the plaintiff would prepare and submit an application for government funding for the defendants' business in exchange for $60,000 of an anticipated grant of $100,000, but the government approved only $50,000. The plaintiff sought the entire $60,000 and claimed for other services on the basis of quantum meruit.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4" w:name="Holdings of Court_14"/>
            <w:bookmarkEnd w:id="17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 understood and agreed that the plaintiff would be paid 60 per cent of the grant. The plaintiff had the opportunity to justify the full grant, but was unable to do so. As the plaintiff's efforts resulted in a $50,000 grant, it was entitled to $30,000. The defendants were not unjustly enriched with respect to the other services. The plaintiff had no expectation of payment for them when they were rendered. The plaintiff's evidence was that much of what it did was in anticipation of the parties entering into a long-term business relationship. The fact that such a relationship did not materialize was not a basis on which the plaintiff could later demand to be paid. It was only when it became apparent that the grant issue would not be resolved amicably that the plaintiff advanced the other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5" w:name="Legislation Cited_11"/>
      <w:bookmarkEnd w:id="1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6"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6" w:name="Counsel_28"/>
      <w:bookmarkEnd w:id="1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The Defendants by Way of Counterclaim: B. McLeod, S. Horricks.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Hepburn.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7" w:name="Judgment_28"/>
      <w:bookmarkEnd w:id="177"/>
      <w:r>
        <w:pict>
          <v:line id="_x0000_s1158"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R.A. SKOLROOD J."/>
            <w:bookmarkEnd w:id="178"/>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in this action claims that it is owed compensation for business consulting services and advice provided to the defendants. A portion of the plaintiff's claim is brought pursuant to an alleged contract between the parties and the balance is based on the equitable doctrines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deny that any money is owing to the plaintiff and they have counterclaimed against the plaintiff and one of its principals seeking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provide a general overview of the background facts and then will deal with the evidence in more detail when addressing the specific claims advanced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Maradadi Pacific Holdings Ltd. ("Maradadi") is a business and management consulting company. Its principals are Judeline Tyabji Wilson ("Tyabji") and her husband, Gordon Wilson ("Wilson"). Maradadi and Tyabji are also named as defendants by way of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Melissa Call ("Call") is a business person in Powell River, British Columbia, who has for a number of years operated an online organic food delivery service under the name "Sunshine Organics", and a retail store in Powell River named "Ecossentials".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Call has operated Sunshine Organics since 2003 and Ecossentials since 2009. She originally operated both businesses as unincorporated proprietorships.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Ecossentials Local Market Inc. ("Ecossentials Inc.") was incorporated on November 27, 2013, in part to facilitate an investment into the business by a local third party investor, Powell River Community Investment Corporation ("PRCIC"). I will discuss that investment below. The defendant 0985780 B.C. Ltd. ("0985780") was incorporated on November 15, 2013 in connection with Call's purchase of a new building for her business, which I will also discuss in more detail below. Call is the sole shareholder of both Ecossentials Inc. and 0985780. Sunshine Organics continues to operate as a proprietorship, although in 2014 the registered proprietor was changed from Call to Ecossentials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Tyabji and Wilson live in Powell River and Tyabji and Call knew each other through their involvement in a local organization known as the Pebble in the Pond Environmental Society ("Pebble in the Pond"), which was concerned with various environmental and sustainability issues including, in particular, the elimination of plastic packaging. For much of the relevant time period, Tyabji and Call, along with Carole Ann Leishman ("Leishman") were the directors of Pebble in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Tyabji and Call testified that they considered themselves to be friends and Tyabji was also a customer of Call's businesses. Leishman was also a good friend of both Tyabji and 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Buy BC Program and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fall of 2012, Call and Tyabji discussed the possibility of Call's businesses participating in what was known as the "Buy BC Local Program" (the "Buy BC Program"), which was operated by the Investment Agricultural Foundation of British Columbia ("IAF"), a division of the provincial Ministry of Agriculture.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Buy BC Program provided funding to eligible projects involved in increasing consumer demand for local food products. Funding was available on a matching basis of up to $100,000 with applicants required to contribute 50% of the total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Tyabji, she researched the Program to determine whether Call's business would be eligible. She put together the concept for the proposed project and drafted the application to IAF.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Call testified that Tyabji raised the idea with her of applying for a Buy BC grant but that initially she did not want to do it. She said she ultimately agreed because she knew that Tyabji and Wilson were having financial difficulties and she wanted to help them out. Plus, Tyabji said she would take care of everything related to the program and that Call would simply act as the "face" of the campaign.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application was submitted on January 14, 2013 in the name of Sunshine Organics and the proposed project was described as the "Coastal Buy Local Campaign" (the "Campaign"). The project was described in part in these terms in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 month Coastal Buy Local Campaign will enhance marketing, heighten awareness, expand distribution, and increase consumption of regional agrifood products through promotion, marketing, food-tourism brochures, social media, and special events through Sunshine Organics, Ecossentials, Pebble in the Pond Environmental Society, and other food affiliates in the Sunshine Coast and Comox Valley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application sought the maximum funding of $100,000 based on a proposed project budget of $475,000, exclusive of "in-kind" contributions. According to Tyajbi, she spent considerable time and effort developing the budget to support the application. The budget contemplated cash contributions of $330,000 from Sunshine Organics and $45,000 from Ecossentials, which when combined with the contemplated $100,000 Buy BC grant, resulted in the $475,000 proposed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Tyabji testified that the $330,000 and $45,000 figures were supplied by Call. According to Call, those figures represented amounts that her businesses were already spending in their current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Tyabji says that she proposed to Call that Maradadi would not bill anything for putting the application together but that, based on the anticipated grant amount of $100,000, Maradadi's share or compensation would be 60% or $60,000. Tyabji says that Call said "that's fine" to this proposal. Tyabji testified that Maradadi was prepared to assume the risk that funding would not be approved. According to Call, there was minimal discussion about payment other than that she understood that of the $100,000 in grant money, $60,000 would go to Tyabji.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arrangement was not put in writing. There are no contract or retainer documents setting out the parties' alleged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parties advance different positions about how Tyabji was to be compensated. Tyabji says the agreement was for $60,000 upon approval of the $100,000 grant, and that it was not dependent upon whether the full $100,000 was actually received from IAF. She further characterized the $60,000 as a "discounted" fee given the amount of work involved. Call's understanding was that Tyabji would receive $60,000 of the $100,000 actually paid by IAF.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pause here to note that the parties also disagree about who exactly was to run the program: Tyabji personally, or Maradadi. Call says she understood she was dealing with Tyabji whereas Tyabji says it was made clear that the work would be done through Maradadi. I will return to this issue when addressing the substance of the claim relating to the Buy BC Program, however for the purposes of outlining the facts, I will refer to Tyabji and Maradadi collectively as "Tyabji", except when it is necessary to distinguish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IAF approved the application on February 14, 2015. In a letter to Call dated February 15, 2013, Peter Donkers ("Donkers"), the IAF executive director, advised that the "approval is based on 21.05% of eligible cash costs of $475,000 to a maximum of $100,000". The Campaign was approved for a ten month period from February 14, 2013 to January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"Contribution Agreement" dated effective March 1, 2013, was then entered into between IAF and Sunshine Organics which set out the terms of the project funding. For example, the Agreement defined the types of costs that would be eligible for matching funding. One further term of note was the requirement that the funding recipient "ensure that proper and accurate accounts and records are maintained in respect of the project and, upon reasonable notice...make such accounts and records available for inspection by the Grantor...".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Contribution Agreement provided that the $100,000 would be distributed in two tranches: $50,000 upon signing and a further $50,000 on January 10, 2014, upon receipt of a final report and verification of the completion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$50,000 payment was received from IAF on or about March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Tyabji testified at some length about the activities she undertook in connection with the Campaign. These included attending various events such as fairs and farmers markets, developing a social media campaign, drafting media releases, developing a specific logo and local brand ("Sun Coast Grown"), liaising with local producers, and making public 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part of the final reporting to IAF for the Buy BC Program grant, Tyabji produced a detailed chart outlining the various activities engaged in and what she described as the project deliverables. Subsequently, when IAF identified issues about eligible expenses (described below), Tyabji produced a month by month detailed listing of activities and hours spent in an attempt to support Maradadi's invoices which were claimed as eligible costs under the Buy BC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receipt of the first $50,000 from IAF, and part way into the Campaign, Call wrote to Donkers of IAF on June 13, 2014 to request that the remaining $50,000 be released immediately rather than waiting until January 2014. As with the majority of communications with IAF, Tyabji drafted the letter and Call signed it. Along with the request, Call provided an interim report to IAF setting out expenses incurred to date in respect of the Buy Local Campaign.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Rather than resulting in early payment of the balance, however, the request and interim report led IAF to identify a number of concerns which were expressed to Call in various emails from Donkers. For example, on July 29, 2013, Donkers said to 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reviewed the material and are having some difficulty understanding what costs are specific to the Buy Local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entire list of expenses is confusing in the interim report. We would like to see details of what was purchased and how it supports the project objectives... Each expense should support the tactics of promoting eligible items and specifically to this project (not ongoing activities and normal operating costs). As well the Buy Local program should not be paying for your normal operating costs (labour, sales commissions, travel costs, overhead (BC Hydro) and all the costs for all products for the duration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Donkers wrote again on August 20, 2013, and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of the detailed list of expenditures provided suggest that there are numerous expenditures which appear to be related to </w:t>
      </w:r>
      <w:r>
        <w:rPr>
          <w:rFonts w:ascii="arial" w:eastAsia="arial" w:hAnsi="arial" w:cs="arial"/>
          <w:i/>
          <w:color w:val="000000"/>
          <w:sz w:val="20"/>
          <w:lang w:val="en-US" w:eastAsia="en-US" w:bidi="ar-SA"/>
        </w:rPr>
        <w:t>normal operating activities</w:t>
      </w:r>
      <w:r>
        <w:rPr>
          <w:rFonts w:ascii="arial" w:eastAsia="arial" w:hAnsi="arial" w:cs="arial"/>
          <w:color w:val="000000"/>
          <w:sz w:val="20"/>
          <w:lang w:val="en-US" w:eastAsia="en-US" w:bidi="ar-SA"/>
        </w:rPr>
        <w:t xml:space="preserve"> such as purchasing stock/Inventory for Sunshine Organics, utilities expenses, phone and Shaw cable expenses... Normal operating costs associated with Sunshine Organics or any other businesses/organizations involved are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eligible to be funded. The intent of the Buy Local funding provided for this specific project is that the "Sun Coast Grown" brand is established and that the results of the branding and promotion of the Sun Coast Grown label will benefit the region. It appears from the list of expenditures provided that Sunshine Organics is directly benefitting from the funding provided. Statements like "Sunshine Organics has expanded its supplier network of local producers" and "Sunshine Organics is expanding and enhancing its online ordering system to accommodate the new local products" also suggest that the emphasis is on building Sunshine Organic's business and position rather than just that of the Sun Coast Grown Brand.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Call responded by email on August 27, 2013 (again drafted by Tyabji)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About the discrepancy on the numbers, just to clarify, we gave you the budget related to the campaign, and also the General Ledger, which has expenditures NOT related to the campaign to promote BC products. I will make sure that in the next submission, we do not break out the BC Buy Local budget separately, and I have asked my accountant to create a category that identifies these expenditures specifically as opposed to having them within the general expenditures. Your feedback was very helpful,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light of the concerns identified by Donkers, Call abandoned the request for early distribution of the second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will be seen below, the issue about eligible expenses under the Buy BC Program versus normal operating costs for Sunshine Organics, and the manner in which the different expenses were tracked and recorded, continued to be a significant concern for IAF when it came time for the Campaign final report, and would become a major point of contention between Call and Tyabji.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was Tyabji's evidence that she regularly spoke to Call about the need to record Campaign expenses separately and that she recommended Call hire an accountant but that Call did not want to incur the additional expense. Call said that she does not recall any discussions with Tyabji about hiring an accountant but she agreed that it was her decision not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Preparation of Ecossentials'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or about June of 2013, Call and Tyabji discussed the preparation of a business plan for Ecossentials. At the time, the Ecossentials business was busy and Call was looking to expand into larger space. In particular, she hoped to purchase a building adjacent to her then location, which was occupied by a bookstore named Breakwater Books. Call knew she needed a business plan so that she could apply for financing and Tyabji offered to prepare it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Tyabji prepared a business plan (the "Business Plan") which is dated September 2013. It is an approximately six page document that describes Ecossentials' business, its proposed expansion, including purchase of the new building, its current and projected revenues and its assets and liabilities. Call submitted the Business Plan to a local financial institution in support of an application for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Tyabji testified that she told Call that the market value of the Business Plan was $25,000 but that she would not be charging Call as she/Maradadi were going to be part of the new and expanded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Call denies that she had any discussions with Tyabji about compensation for preparation of the Business Plan. She acknowledged that the preparation of the Business Plan was not related to the Buy BC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Investment by PRCIC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Sean Melrose ("Melrose") is the chief executive officer of PRCIC which is an investment company formed for the purpose of investing in businesses with an environmental sustainability focus and diversifying the local Powell River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Call and Melrose met at a community event. Call had learned about PRCIC and she introduced herself to Melrose to see if PRCIC might be interested in investing in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a subsequent meeting, Call provided Melrose with a copy of the Business Plan. She suggested that he should speak to Tyabji who had drafted the Business Plan. Call called Tyabji who came and went through the Business Plan with Melrose. Melrose said that he wanted to probe the assumptions used in the Business Plan, specifically the projected revenues per square foot, and Tyabji answered his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 to Melrose, this was the first step in his due diligence in considering an investment into Ecossentials. He did some further investigation into the business and concluded that Call had a strong and clear vision, both for the Ecossentials storefront and the Sunshine Organics online business. Melrose thought there was a good potential for franchising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Melrose initially proposed an investment of $125,000 for a 25% equity interest in Ecossentials. Ultimately, PRCIC ended up investing $250,000 for a 49% equity interest in Ecossentials Inc., which again had been incorporated on November 27, 2013. According to Melrose, the amount of the investment grew out of necessity and was directly related to the cost of renovating the new building which was more than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PRCIC made payments to Ecossentials in connection with the investment beginning in January 2014, with initial payments totalling $25,000, and further periodic payments were made through until July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Tyabji testified that she had discussions with both Melrose and Call about the proposed PRCIC investment and that Call asked her to help determine if it was right for Ecossentials. She said that she cautioned Call about not letting PRCIC take majority control. According to Tyabji, she also had several discussions with Melrose about the long term strategic plan for the business, including the potential for franchising.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Tyabji testified that she told Call that Maradadi's standard rate for investments was 10% of the investment amount, but that she did not intend to invoice Call at the outset. Call said she had no discussions with Tyabji about compensation for Tyabji or Maradadi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PRCIC investment.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Purchase of 6812 Alberni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Call wished to move Ecossentials into larger premises and she identified the Breakwater Books building, located at 6812 Alberni Street in Powell River ("6812 Alberni"), as being suitable for her purposes. The proprietors of Breakwater Books, Sean and Ruth Dees, who also owned the building, were looking to downsize so Call approached them about buying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Call said she had a number of discussions with Mr. Dees and she engaged a realtor to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 to Tyabji, Call asked her to assist in the negotiations. At trial, Call said she did not recall if she asked Tyabji to get involved, however she acknowledged on her examination for discovery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Tyabji said that she came up with a proposal that would involve Call using her equity in her existing building as a down payment on the purchase of 6812 Alberni, a swap of premises between Breakwater Books and Ecossentials and vendor take back financing from the Dees. Tyabji drafted the proposal which was then presented to the Dees and the realtor, and which ultimately formed the basis for Call's purchase of 6812 Alberni.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contract of purchase and sale for 6812 Alberni was dated September 27, 2013, and provided for vacant possession on December 27, 2013. The sale did not actually close, in terms of the transfer of ownership, until two years later on December 27, 2015, which reflected the financial terms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Call was named as the purchaser but at some point, ownership of the building was transferred into the name of 0985780.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 to Leishman and Call, Ecossentials moved into the new building over the Christmas holiday in December 2013. The retail store continued to operate in the lower floor of the building while the upper floor was renovated to add a commercial kitchen and restaurant space. That process took until about August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of the Buy BC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April 2014, Tyabji prepared a final report to IAF for the Campaign. Again, Tyabji drafted the transmittal letter which was signed by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April 24, 2014, Donkers emailed Call requesting additional information concerning the activities engaged in during the Campaign, materials produced and expenses incurred. This led to a lengthy exchange between IAF and Call concerning various problems with the final report that had been identified by IAF.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Many of IAF's concerns were detailed in a letter from Donkers to Call dated June 11, 2014, which included the following offer: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Foundation would be willing to provide additional support to assist you through this process by making one of our financial staff or an external accounting professional available to you, on-site to review all of your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Arrangements were subsequently made for an IAF staff person to travel to Powell River to assist in a review, however that visit never in fact occurred. Tyabji alleges this was because Call refused to respond or cooperate with IAF, but I am satisfied on the evidence that it was due to a miscommunication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IAF did subsequently send an auditor, Ms. Clark, to Powell River to review relevant financial records. During that visit, Tyabji met with her and then subsequently provided additional information, including invoices covering Maradadi's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October 27, 2014, Donkers wrote to Call to advise her of the results of Ms. Clark's review. He described a number of issues identified by Ms. Clark and then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Clark also reported that in her opinion there were eligible expenses associated with this project; however, there was insufficient detail in the information provided to accurately determine what those expenses or their associated values would entail.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terms of the contribution agreement that you entered into with the Foundation states: para. 3C "The Recipient will ensure that proper and accurate accounts and records are maintained with respect to the Project". It is the opinion of the Foundation that this condition has not been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its role as a trustee of public funds, the Foundation has an obligation to account for how the funds entrusted with us are used, and to ensure that they are used only for the purposes expressly set out. The Foundation's Executive Committee has determined that we must terminate the project and request repayment of the $50,000 advanced to Sunshine Organics...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Foundation recognizes that eligible expenses associated with this project have been incurred. We would encourage you to closely examine your records and forward additional financial documentation that supports those eligible expenses. We are always prepared to review those materials and, if approved, reimburse Sunshine Organics based on the original cost-sharing ratio stipulated in the contribution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Thus, as of late October 2014, IAF's position was that not only would the additional $50,000 not be forthcoming, but Call was also required to repay the initial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was shortly after learning of IAF's position that Call says she lost faith in Tyabji's ability to get the issue resolved and she retained Kate Wetherell to assist. Ms. Wetherell is a business and financial consultant with an extensive background in academia dealing with grants. She was a friend of Call's and she agreed to review matters at Call's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Wetherell then reviewed the relevant financial records and worked with Call's bookkeeper. She also sought additional information and clarification from Tyabji who provided a number of detailed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Wetherell's work led to an email from Call to Donkers dated March 16, 2015, in which she provided a revised spreadsheet setting out expenditures directly related to the Campaign. In her email, Call suggested, with respect to the original application, that "committing to spending $475,000 was overly optimistic" and she proposed revising the Campaign budget to $200,000 which would then only require $100,000 in eligible expenses to justify the initial $50,000 of grant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March 17, 2017, Donkers replied and advised Call that before IAF would consider her proposal, it required the repayment cheque for $50,000, however he indicated that the cheque would be held for up to 60 days to allow a further review. Accordingly, Call sent IAF a personal cheque in the required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April 20, 2015, Donkers wrote Call to advise that it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...decided to revise the original project budget from the approved 21.05% of eligible expenses of $475,000 to a revised ratio of 50% of eligible expenses of $100,000, with the Foundation's contribution now at a maximum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letter further indicated that Call had 60 days to provide a final report with accompanying documentation to establish the expenses claimed and justify the $50,000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May 7, 2015, Call wrote to Donkers and provided additional information and on May 11, 2015 Donkers wrote and confirmed that there were sufficient eligible expenses to justify the original $50,000. Donkers enclosed with the letter Call's personal cheque and he concluded by saying "[w]e now consider this project to be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Ultimately, Maradadi was paid a total of $34,577 by Call for its services, comprised of $30,855 paid by cheque and $3,722 in "in kind" benefits provided by Call, for example airplane tickets purchased for Tyabji's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Maradadi submits that it entered into a contract with Call pursuant to which it provided services with respect to the Buy BC Program. It alleges that it was a term of the contract that it would be paid $60,000 on approval by IAF of the $100,000 Buy BC grant. It claims $26,860.40 under this head, which represents the balance of the $60,000 owing after deducting payments made by Call and the "in kind" benefits. Maradadi alleges that the second $50,000 payment from IAF under the Buy BC Program was cancelled due to the failure of Call to keep proper accounting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Maradadi submits further that it performed various other services on behalf of the defendants that were independent of the Buy BC Program. It quantifies its claim for those services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1"/>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Preparation of Business Plan</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 re: PRCIC Investment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 re: Purchase of 6812 Alberni St.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Miscellaneous Services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defendants submit that Maradadi's claims are statute barred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They say that the Buy BC claim is concerned with services that were provided in 2013 and early 2014, but the notice of civil claim was not filed until October 28, 2016, after the expiry of the applicable two year limitation period. Similarly, the other services for which Maradadi now claims damages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all occurred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the merits of the Buy BC claim, the defendants submit that the understanding between the parties was that Tyabji would receive $60,000 of the $100,000 grant money if and when the full amount was received, which never occurred. They say that failure for this rests with Tyabji and Maradadi.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the other claims advanced by Maradadi, the defendants submit that there was never any suggestion by Tyabji that she would charge for preparing the Business Plan. In fact, her evidence was that she did not intend to do so. Similarly, there was never any discussion between the parties that Tyabji or Maradadi expected to be compensated with respect to ether the PRCIC investment or the purchase of 6812 Alberni.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also take issue with the claims brought against Ecossentials Inc. and 0985780. They submit that there is no evidence to establish that the corporate entities assumed any liability in respect of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plaintiff's claim with respect to the Buy BC Program is premised on there being a valid contract between the parties. The principles governing contract formation are well known: there must be an offer, acceptance and an exchange of consideration: </w:t>
      </w:r>
      <w:r>
        <w:rPr>
          <w:rFonts w:ascii="arial" w:eastAsia="arial" w:hAnsi="arial" w:cs="arial"/>
          <w:i/>
          <w:color w:val="000000"/>
          <w:sz w:val="20"/>
          <w:lang w:val="en-US" w:eastAsia="en-US" w:bidi="ar-SA"/>
        </w:rPr>
        <w:t>Anani v. Malaspina Coach Lines Ltd.</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2003 BCSC 700</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is a fundamental principle of contract law that the existence of an enforceable contract, whether concluded in writing, orally, by conduct, or by a combination thereof, depends on whether agreement has been reached "on all essential terms", in other words, on all matters that are "vital or fundamental to the arrangement":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xml:space="preserve"> at paras. 323, 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Where the parties have failed to agree on the terms of remuneration, a valid contract may or may not exist depending upon how central that term is to the arrangement. In both cases, remuneration will be determined in accordance with the principles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although the rationale underlying an award will differ.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Gill Tech Framing Ltd. v. Gill</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2012 BCSC 1913</w:t>
        </w:r>
      </w:hyperlink>
      <w:r>
        <w:rPr>
          <w:rFonts w:ascii="arial" w:eastAsia="arial" w:hAnsi="arial" w:cs="arial"/>
          <w:color w:val="000000"/>
          <w:sz w:val="20"/>
          <w:lang w:val="en-US" w:eastAsia="en-US" w:bidi="ar-SA"/>
        </w:rPr>
        <w:t xml:space="preserve"> at paras. 253-55, Madam Justice Ker provides a helpful summary of contractual versus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albeit in the context of a construction services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[253] In </w:t>
      </w:r>
      <w:r>
        <w:rPr>
          <w:rFonts w:ascii="arial" w:eastAsia="arial" w:hAnsi="arial" w:cs="arial"/>
          <w:i/>
          <w:color w:val="000000"/>
          <w:sz w:val="20"/>
          <w:lang w:val="en-US" w:eastAsia="en-US" w:bidi="ar-SA"/>
        </w:rPr>
        <w:t>Infinity Steel</w:t>
      </w:r>
      <w:r>
        <w:rPr>
          <w:rFonts w:ascii="arial" w:eastAsia="arial" w:hAnsi="arial" w:cs="arial"/>
          <w:color w:val="000000"/>
          <w:sz w:val="20"/>
          <w:lang w:val="en-US" w:eastAsia="en-US" w:bidi="ar-SA"/>
        </w:rPr>
        <w:t xml:space="preserve"> (2011), the Court of Appeal clarified the distinction between contractual and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see paras. 12-14. Essentially, a claim in contractual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only available in instances where the parties have neglected to provide for the terms of remuneration in a contract that is valid notwithstanding this omission. Where the parties contract for the provision of goods and services, with an understanding that they will be paid for, "then they may be presumed to have intended a reasonable price and, on that basis, a contractual term to pay a reasonable price may be implied": </w:t>
      </w:r>
      <w:r>
        <w:rPr>
          <w:rFonts w:ascii="arial" w:eastAsia="arial" w:hAnsi="arial" w:cs="arial"/>
          <w:i/>
          <w:color w:val="000000"/>
          <w:sz w:val="20"/>
          <w:lang w:val="en-US" w:eastAsia="en-US" w:bidi="ar-SA"/>
        </w:rPr>
        <w:t>CH2M Hill Energy Canada, Ltd. v. Comsumers' Co-operative Refineries Ltd.</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2010 SKCA 75</w:t>
        </w:r>
      </w:hyperlink>
      <w:r>
        <w:rPr>
          <w:rFonts w:ascii="arial" w:eastAsia="arial" w:hAnsi="arial" w:cs="arial"/>
          <w:color w:val="000000"/>
          <w:sz w:val="20"/>
          <w:lang w:val="en-US" w:eastAsia="en-US" w:bidi="ar-SA"/>
        </w:rPr>
        <w:t xml:space="preserve"> at para. 24, cited at para. 12 of </w:t>
      </w:r>
      <w:r>
        <w:rPr>
          <w:rFonts w:ascii="arial" w:eastAsia="arial" w:hAnsi="arial" w:cs="arial"/>
          <w:i/>
          <w:color w:val="000000"/>
          <w:sz w:val="20"/>
          <w:lang w:val="en-US" w:eastAsia="en-US" w:bidi="ar-SA"/>
        </w:rPr>
        <w:t>Infinity Steel</w:t>
      </w:r>
      <w:r>
        <w:rPr>
          <w:rFonts w:ascii="arial" w:eastAsia="arial" w:hAnsi="arial" w:cs="arial"/>
          <w:color w:val="000000"/>
          <w:sz w:val="20"/>
          <w:lang w:val="en-US" w:eastAsia="en-US" w:bidi="ar-SA"/>
        </w:rPr>
        <w:t xml:space="preserve">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[254] However, where a court finds that the contract price is an essential and critical term of the contract, as I have found here, a valid contract does not exist and, as a result, the plaintiff cannot rely on contractual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to claim for damages based on a reasonable amount for the services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[255] On the other hand,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grounded in the principles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test for establishing unjust enrichment is well known and comprises three elements:</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of a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Muyres v. Gauthier</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2010 BCSC 839</w:t>
        </w:r>
      </w:hyperlink>
      <w:r>
        <w:rPr>
          <w:rFonts w:ascii="arial" w:eastAsia="arial" w:hAnsi="arial" w:cs="arial"/>
          <w:color w:val="000000"/>
          <w:sz w:val="20"/>
          <w:lang w:val="en-US" w:eastAsia="en-US" w:bidi="ar-SA"/>
        </w:rPr>
        <w:t xml:space="preserve"> at para. 65;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at 848.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first element of the test requires some evidence on which the court can value the services provided. In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2010 BCSC 1186</w:t>
        </w:r>
      </w:hyperlink>
      <w:r>
        <w:rPr>
          <w:rFonts w:ascii="arial" w:eastAsia="arial" w:hAnsi="arial" w:cs="arial"/>
          <w:color w:val="000000"/>
          <w:sz w:val="20"/>
          <w:lang w:val="en-US" w:eastAsia="en-US" w:bidi="ar-SA"/>
        </w:rPr>
        <w:t xml:space="preserve">, Mr. Justice Hinkson, as he then was, referred to the Court of Appeal decision in </w:t>
      </w:r>
      <w:r>
        <w:rPr>
          <w:rFonts w:ascii="arial" w:eastAsia="arial" w:hAnsi="arial" w:cs="arial"/>
          <w:i/>
          <w:color w:val="000000"/>
          <w:sz w:val="20"/>
          <w:lang w:val="en-US" w:eastAsia="en-US" w:bidi="ar-SA"/>
        </w:rPr>
        <w:t>Malik (Estate of) v. State Petroleum Corporation</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2009 BCCA 505</w:t>
        </w:r>
      </w:hyperlink>
      <w:r>
        <w:rPr>
          <w:rFonts w:ascii="arial" w:eastAsia="arial" w:hAnsi="arial" w:cs="arial"/>
          <w:color w:val="000000"/>
          <w:sz w:val="20"/>
          <w:lang w:val="en-US" w:eastAsia="en-US" w:bidi="ar-SA"/>
        </w:rPr>
        <w:t>, and said at paras. 174-76: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The plaintiff rendered valuable services to Floyd Sully and 0787223 B.C. Ltd. that were rendered at the request of and accepted by Floyd Sully both personally and on behalf of his company. Floyd Sully was clearly aware that the plaintiff expected to be paid for those services, and that Floyd Sully expected to have to pay for those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In </w:t>
      </w:r>
      <w:r>
        <w:rPr>
          <w:rFonts w:ascii="arial" w:eastAsia="arial" w:hAnsi="arial" w:cs="arial"/>
          <w:b/>
          <w:i/>
          <w:color w:val="000000"/>
          <w:sz w:val="20"/>
          <w:lang w:val="en-US" w:eastAsia="en-US" w:bidi="ar-SA"/>
        </w:rPr>
        <w:t>Malik</w:t>
      </w:r>
      <w:r>
        <w:rPr>
          <w:rFonts w:ascii="arial" w:eastAsia="arial" w:hAnsi="arial" w:cs="arial"/>
          <w:color w:val="000000"/>
          <w:sz w:val="20"/>
          <w:lang w:val="en-US" w:eastAsia="en-US" w:bidi="ar-SA"/>
        </w:rPr>
        <w:t>, at paras. 44 - 46, Lowry J.A., for the Court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The court may consider any applicable custom with respect to the value of the service. In the absence of such, the court may have regard for the bargaining between the parties, not to complete the bargain for them but as some indication of the value each placed on the service.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[45] There may, in any given instance, be other factors to be taken into account.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The court must ultimately focus on the value of the service to the benefitting party rather than on the cost to the other party of providing the service. It is the value to the benefitting party at the time the fee is earned that is to be considered; later profits enjoyed or losses experienced are generally of no consequence.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[176] In </w:t>
      </w:r>
      <w:r>
        <w:rPr>
          <w:rFonts w:ascii="arial" w:eastAsia="arial" w:hAnsi="arial" w:cs="arial"/>
          <w:b/>
          <w:i/>
          <w:color w:val="000000"/>
          <w:sz w:val="20"/>
          <w:lang w:val="en-US" w:eastAsia="en-US" w:bidi="ar-SA"/>
        </w:rPr>
        <w:t>Malik</w:t>
      </w:r>
      <w:r>
        <w:rPr>
          <w:rFonts w:ascii="arial" w:eastAsia="arial" w:hAnsi="arial" w:cs="arial"/>
          <w:color w:val="000000"/>
          <w:sz w:val="20"/>
          <w:lang w:val="en-US" w:eastAsia="en-US" w:bidi="ar-SA"/>
        </w:rPr>
        <w:t xml:space="preserve">, the plaintiff identified nine factors that it argued should be considered in assessing the value of its fee based upon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dealings of the parties and negotiations as to fees;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expectations of the vendor and the value perceived by the vendor for the service;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fee the parties could be said to have anticipated;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opportunity realized;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required to realize the business opportunity;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value of the service provided;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the job "deserves";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"custom in the industry";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"value" must be assessed at the time the service was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case illustrates the perils that can arise when commercial arrangements are not documented. Here, it is apparent that the business relationship between Call and Tyabji grew out of a friendship and it is the fact of that friendship that explains in large part why the business arrangement was not committed to writing. However, the failure to do so has resulted in misunderstandings between the parties, the dissolution of the friendship and ultimately to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Buy BC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Buy BC claim raises a number of issues including:</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binding contract?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who were the contracting parties?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terms of the contract, specifically with respect to compensation?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contract performed?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claim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evidence, I am satisfied that a valid contract was entered into with respect to the Buy BC Program. Call does not seriously contest the fact that she agreed with Tyabji that Tyabji would prepare and submit the application to IAF and would administer the proposed Campaign.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also satisfied that the contracting party, on the plaintiff's side, was Maradadi. Certainly, Tyabji could and should have been clearer in her discussions with Call on this point, but I accept that email communications sent by Tyabji typically referred to her as a director of Maradadi and that invoices were rendered by and payments generally made to Maradadi.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not satisfied, however, that the corporate defendants Essentials Inc. and 0985780 were parties to the contract. Tyabji and Maradadi at all times dealt directly with Call and the contract was formed prior to either of Essentials Inc. and 0985780 being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terms of Maradadi's remuneration, it is clear on the evidence that both parties understood and agreed that Maradadi would be paid $60,000 or 60% of the $100,000 Buy BC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this point, I reject Maradadi's position that the contract contemplated it being paid the entire $60,000 upon approval of the application and regardless of whether the entire $100,000 was received. There is no evidence that the parties either discussed or agreed to such a term. Moreover, it would be fundamentally at odds with one of Call's principal objectives, which was to avoid incurring any additional costs, for her to have agreed to pay Maradadi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Both parties were at pains to blame the other for IAF's decision not to fund the entire $100,000. Maradadi submits that it was Call's failure or refusal to maintain proper records and to account for eligible expenses. Call submits that the failure was in the design and operation of the Campaign in that it was based on an unrealistic and unachievable budget, the fault for which lies with Tyabji.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some merit to both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Call acknowledged that the financial records for both Ecossentials and Sunshine Organics did not separate out expenses directly associated with the Campaign from normal operating expenses. As noted above, IAF identified this as a concern in its July 29, 2013, response to Call's request for an early payout of the second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Despite Call's representation in her letter back to IAF that she had asked her accountant to establish separate categories of expenses, it is apparent nothing was in fact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This continued to be an issue for IAF in its review and consideration of the Campaign final report. As noted by Donkers in his October 27, 2014 letter reporting on the results of Ms. Clark's audit, it was apparent that there were eligible expenses incurred but the nature and amount of those expenses could not be determined based on the records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it is apparent that the principal reason why the entire $100,000 Buy BC grant was not ultimately paid was that the proposal and budget on which the initial approval was based was unrealistic and unachievable. Simply put, there was no way that Sunshine Organics was going to be able to spend $475,000 on the Campaign over and above its normal operating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was part of Tyabji's responsibilities to put together the final report to the IAF to substantiate the Campaign expenses and to support payment of the second tranche of $50,000. I accept that Tyabji put considerable effort into preparing that report, however it was not accepted by the IAF. Again, the IAF was of the view that the available records did not support the claimed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Tyabji then did additional work to try to justify the expenses. This included meeting with the auditor, Ms. Clark, with whom she reviewed the financial records. Again however, this process did not result in payment of the additional funds. Rather, the IAF confirmed again that the records did not support the expenses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Finally, Call retained Ms. Wetherell to conduct a further review. To her credit, Tyabji answered questions posed by Ms. Wetherell and provided further information on request. Ultimately, the efforts of Ms. Wetherell led to the IAF accepting a revised budget for the Campaign and approving the initial $50,000 payment but not the second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Maradadi would have it that had proper records been kept and Campaign expenses accurately recorded, it would have been possible to establish sufficient eligible expenses to support payment of the full $100,000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do not agree. Tyabji had her opportunity to prepare the final report and to justify the full grant but she was unable to do so. Further reviews by both Ms. Clark and Ms. Wetherell simply served to confirm that there were insufficient eligible expenses to justify payment of the full grant. On this point, I accept Ms. Wetherell's evidence that given the existing operational expenses of Sunshine Organics, there was no realistic way to support a program budget like that submitted to the IAF for the purposes of the Buy BC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What then does this mean for the parties given that neither party's position advanced at trial fits within the facts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With respect to Maradadi's claim for the balance of its fees, as payment to Maradadi of the entire $60,000 fee was contingent upon IAF paying the full $100,000 grant, there is no basis for Maradadi to claim additional fees given that only $50,000 in grant money was in fact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terms of Call's position, in her counterclaim, she seeks to characterize what occurred as a complete failure of consideration in that Maradadi did not deliver on what it promised, namely $100,000 in grant money, $40,000 of which would be available to Sunshine Organics.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That characterization ignores the fact that Tyabji/Maradadi did considerable work on the Campaign which benefited Sunshine Organics. On her examination for discovery, Call acknowledged many of the services provided by Maradadi, which included promotion, branding, press coverage, meetings with politicians and social media. Call further acknowledged that her businesses benefitted from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Moreover, Call was obviously prepared to pay Maradadi for the services performed, as evidenced by the fact that Maradadi was paid just over $30,000 of the $50,000 grant money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question then becomes how to deal with the amounts paid to Maradadi? Again, it is clear that the parties contemplated that Maradadi would receive 60% of the Buy BC grant money. As Maradadi's efforts resulted in the payment of $50,000 in grant money, it is entitled to 60% or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Under this approach, it is arguable that the additional $4,577 paid by Call, including the "in-kind" benefits, should be refunded by Maradadi. However, the basis on which these benefits were provided was not well explained in the evidence and further, it is difficult to relate benefits like airplane tickets to specific services provided by Maradadi in connection with the Campaign. In my view, these are better characterized as gratuitous gifts or benefits provided by Call in the context of friendship with Tyabji and not as payments to Maradadi for its services. Viewed in this light, I decline to order repayment of the excess $4,577 to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Maradadi's claim with respect to the Buy BC claim is therefore dismissed. Given this conclusion, it is not necessary to address the limitation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Additional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Maradadi's additional claims for payment in respect of certain miscellaneous services, the PRCIC investment, the Business Plan, and the purchase of 6812 Alberni can be considered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All of these claims are advanced on the basis of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The parties agree that these services were independent of the Buy BC Program and were not the subject of a separate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useful at the outset to consider the manner in which these claims have been advanced. On Tyabji's own evidence, both she and Maradadi had no expectation of payment for the services at the time they were rendered and, indeed, no demand for payment was ever made until well after the parties' relationship had ended and the plaintiff had retained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August 24, 2015, Wilson wrote to Call in his capacity as president of Maradadi to demand payment of what was described in the subject line as an "Outstanding Invoice of $25,423 from January 8, 2014 for Consulting Services". It is worth reproducing the whole of the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Maradadi Pacific provided management consulting services, including the Buy BC promotional campaign, the writing of a formal business plan for financing, negotiations on real estate acquisition, strategic advice on leveraging assets for real estate acquisition, human resources advice, mediation services, and several sessions of strategic input on expansion financing for Melissa Call and her businesses. Maradadi Pacific provided all of these services in good faith, and in every instance there were tangible positive results, with resulting positive business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invoice for this work has been awaiting payment since January 2014. Please advise us when we can expect payment in full. Maradadi performed beyond the services retained and we have been exceptionally patient in awaiting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like to see our invoice paid so that we can move past this situation without having to resort to the courts, which will only serve to incur additional costs and further damage what we have always viewed as a positive relationship with both the proprietor and the businesses that we have supported and promoted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are a number of interesting points to note in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First, as established on the evidence and acknowledged by counsel for the plaintiff, there in fact never was a January 8, 2014 invoice either in the stated amount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Second, the services described by Wilson encompass all of the services for which Maradadi now claims payment, including those services that went beyond the Buy BC Program, and he suggests that the invoice for "this work" has been outstanding since January 2014. In other words, he appears to suggest that the invoice in issue, which clearly refers to the $25,423 Maradadi believed it was still owed under the Buy BC contract, also covers all of the other services. Alternatively, he seems to be suggesting that Maradadi should be paid the balance for the Buy BC Program because it performed all of the additional services for which it was not seeking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Regardless, it is apparent that no demand for payment is made for those other services. This is reinforced in the third paragraph where Wilson indicates that if the invoice is paid, the parties can "move past" the situation without resort to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December 2015, and with the situation still not resolved, Wilson initiated a mediation process in the Provincial Small Claims Court. While there is minimal documentary evidence in the record setting out the scope of the matter referred to mediation, given the monetary jurisdiction of that Court, it is fair to assume that it dealt only with the approximately $25,000 Maradadi claimed was owing with respect to the Buy BC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That process did not result in a resolution and accordingly, Maradadi retained counsel who issued a demand letter dated June 17, 2018, in which Maradadi, for the first time, demanded payment for the services rendered in addition to the Buy BC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This history reinforces the fact that Maradadi had no intention of charging for the additional services and likely would not have done so had it been paid what it believed was owing on the Buy BC Program. It was only when it became apparent that the Buy BC issue was not going to be resolved amicably that Maradadi advanced its claim for additional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would add that Tyabji's evidence was that much of what she did for the defendants was in anticipation of the parties entering into a long term business relationship. For example, she testified that she hoped to use the commercial kitchen installed in the new premises to produce her own line of food products. While I accept that there were some discussions about such future arrangements, the evidence does not establish an agreement to this effect, or establish that the parties were "in business together" as alleged by Tyabji.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Turning then to the particulars of the additional claims, I will deal first with the claim for miscellaneous or incidental services. In its submissions, Maradadi provided a written summary of these services, which allegedly included: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to the mayor of Powell River concerning the proposed acquisition of a neighboring lot;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into possible liquor licencing for the new premises;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Human resources advice and mediation services for employee disputes;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Consultations with local merchants; and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work and services rendered at Call's request until at least October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This claim is flawed in numerous respects. First, the evidence again establishes that Tyabji never expected nor did she request payment for any of these services. Second, the evidence about the scope of the services was vague at best. Third, there is no evidence that Call benefited from any of these services or, if she did, how that benefit can be valued.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claim for payment for miscellaneous services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Maradadi's claim to compensation for its role in the PRCIC investment is similarly flawed. I note that this claim is framed as follows in the notice of civil claim, at para. 33:</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Call retained Maradadi to advise and assist in the negotiation of an investment made in Ecossentials by [PRCIC] in the amount of $250,000. As a result of Maradadi's work and efforts, PRCIC invested $250,000 in exchange for receiving forty-nine percent (49%) of the issued and outstanding shares in the capital of Ecossentials.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claim, as pleaded, was not made out on the evidence. Specifically, the evidence does not establish that Call retained Maradadi to advise and assist with respect to the PRCIC investment. Rather, it was Call herself who identified the opportunity and who introduced herself to Melrose. It is true that Tyabji/Maradadi assisted by reviewing and explaining the Business Plan to Melrose and that he discussed Call's business with her but it is an overstatement to say that it was Maradadi's efforts that resulted in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Melrose's evidence was that he did his own due diligence and ultimately was satisfied that Call had a strong vision for the business. It was further his evidence that the total investment amount of $250,000 was driven more by circumstance (i.e. increased renovation costs for the new premises) than by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is also no basis on which to justify Maradadi's claim for $25,000 for its services. The only evidence on this point was Tyabji's statement that Maradadi's standard charge for an investment is 10%. However, it was not clear if Maradadi had in fact ever charged such an amount or, if so, what services that fee encompassed.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This claim is again for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based upon alleged unjust enrichment. In my view, the elements of unjust enrichment are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accept that Call was enriched to some degree by Maradadi's efforts, although the bulk of the enrichment comes from the preparation of the Business Plan which is the subject of a separate claim which I address below. Tyabji's discussions with Melrose about the business, which were described in vague terms at best, no doubt at least contributed to the initial PRCIC investment, but again the evidence falls far short of establishing that the investment was the result of Maradadi's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also accept that Maradadi was deprived in the sense that Tyabji spent some time discussing and promoting the PRCIC investment. However, as with the benefit to Call, it is difficult if not impossible to quantify that deprivation. Certainly it is nowhere near the $25,000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Regardless, the claim fails under the third element of the unjust enrichment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Cranewood v. Norisawa</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Mr. Justice Cohen described the third element in these terms at para. 369: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I am of the view that the third element of the test for unjust enrichment is not satisfied on the facts of this case. In both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Peter v. Beblow, supra</w:t>
      </w:r>
      <w:r>
        <w:rPr>
          <w:rFonts w:ascii="arial" w:eastAsia="arial" w:hAnsi="arial" w:cs="arial"/>
          <w:color w:val="000000"/>
          <w:sz w:val="20"/>
          <w:lang w:val="en-US" w:eastAsia="en-US" w:bidi="ar-SA"/>
        </w:rPr>
        <w:t>, the court held that the fundamental concern in respect to the third requirement is the legitimate expectation of the parties. The third requirement is met in situations where one party acted to the benefit of another party with the reasonable expectation of receiving something in return and the other person freely accepted the benefits conferred where he or she knew or ought to have known of that reasonable expectation. In this case, I have made a finding of fact that no management fees were expected to be paid on the basis that the 10% share transfer represented the whole of the consideration. As a result, I am unable to conclude that it would be either unjust or inequitable to deny EMI damages for unjust enrichment in respect of management services provided to MECL and THKK. Accordingly, I find that the claim for unjust enrichment in respect of management services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Supreme Court has confirmed that the parties' reasonable expectations must be considered when determining whether a juristic reason exists for denying recovery: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paras. 46,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Here, on Tyabji's own evidence, Maradadi had no reasonable expectation of compensation for any services rendered in connection with the PRCIC investment. At best, it had a hope or anticipation that a long term business relationship would develop. The fact that such a relationship did not materialize is not a basis on which Maradadi can, after the fact, demand to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claim in respect of the PRCIC investment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Maradadi's claims for payment for preparing the Business Plan and for its involvement in the purchase of 6812 Alberni stand on a somewhat stronger footing in that the benefit to Call is more obvious. She relied on the Business Plan both for the purpose of seeking an investment by PRCIC and to obtain financing for the purchase of 6812 Alberni. With respect to that purchase, I am satisfied on the evidence that Tyabji was the principal architect of the proposal that ultimately formed the basis for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difficulty again is with quantifying the benefit. With respect to the Business Plan, Tyabji's evidence was that she told Call and other Ecossentials staff that the market value of the Plan was $25,000 but that Maradadi would not be charging for it because it was going to be part of the new business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Apart from Tyabji's bald statement to this effect however, there is no evidence to substantiate a $25,000 "market value" for the Business Plan. For example, there is no evidence of market rates for this type of service or even any evidence that Maradadi itself had an established rate or had ever charged a similar amount in the past. Nor is it possible to assign a value based on what Tyabji described as Maradadi's standard hourly rate as the evidence did not establish how much time was spent preparing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claim for $28,000 in connection with the purchase of 6812 Alberni is equally suspect. In her evidence, Tyabji testified that this figure represented what the realtors were paid in commissions for the sale and because she and Call believed that the realtors had not earned those commissions, Tyabji said "that's the value of the work I did for you". Later, she said that Maradadi had assisted in the purchase of a waterfront property and had taken a commission of 7% (the $28,000 claimed equates to 7% of the purchase price of $400,000 for the new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Tyabji did not explain in her evidence what Maradadi did to earn the 7% commission for the purchase of the waterfront property, or how that work compared to what she did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purchase of 6812 Alberni. Moreover, the fact that Maradadi may have charged 7% on a different project does not establish that figure as either the market rate or Maradadi's standard rate. Further, there is no basis to equate the value of Maradadi's services to those of the realtors, the value of which was established through a listing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Regardless of what value is ascribed to Maradadi's services for the Business Plan and the purchase of 6812 Alberni, these claims also fail under the third element of the unjust enrichment test for the same reason that the claim in connection with the PRCIC investment failed. Simply put, it is clear that Maradadi had no reasonable expectation that it would be paid for the services nor did Call expect to pay for them. This again is borne out by Tyabji's own evidence as well as the history of the matter and the conduct of the parties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circumstances, I am unable to find that Call was unjustly enriched at the expense of Maradadi.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Given my finding, it is not strictly necessary to determine whether Ecossentials Inc. and 0985780 are proper defendants, however I find that they are not. Tyabji and Maradadi's dealing were at all relevant times with Call and indeed the majority of the claimed services were provided before these defendants were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the notice of civil claim it is alleged at paras. 38 and 41 that it was agreed that the corporate defendants would accept liability to Maradadi for Maradadi's work and services. No such agreement was established on the evidence. Further, Maradadi's argument that the companies subsequently adopted pre-incorporation contracts does not assist as there were in fact no contracts for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light of my conclusion on the merits of Maradadi's additional claims, I need not decide whether those claims are statute 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defendants advance a number of claims in their counterclaim including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abuse of process in respect of a Certificate of Pending Litigation ("CPL") filed against 6812 Alberni.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CPL was removed by agreement in December 2018 and counsel for Call acknowledged that the filing of the CPL did not cause Call or 0985780 to suffer any damages. For this reason, the abuse of process claim was not pressed and counsel submitted that the question of the allegedly wrongfully filed CPL should be addressed as part of the consideration of costs following determination of the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similarly not pressed at trial.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 relation to the plaintiff's conduct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Campaign and was largely advanced in the alternative to the claim for breach of contract. It is therefore not necessary for me to address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Call alleges that Tyabji acted as her agent and proxy in all matters relating to the Buy BC Program. She submits that Tyabji was given complete control and discretion over the Buy BC application and the administration of the Campaign. She submits that Tyabji stood in a fiduciary relationship to her and that Tyabji breached the duties inherent in that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Madam Justice Wilson identified the essential elements of a fiduciary relationship outside of established categories at 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While Justice Wilson was in dissent in the result, her formulation of the test for establishing a fiduciary relationship has been widely adopted (e.g.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Mr. Justice La Forest extended the fiduciary concept to include circumstances in which there is a "mutual understanding that one party has relinquished its own self-interest and agreed to act solely on behalf of the other party":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409-10.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do not agree that Tyabji or Maradadi owed fiduciary duties to Call. While I accept that Tyabji was given relatively free reign to operate the Campaign, she had no authority or ability to bind Call, and it is clear that Call signed off on all relevant documents and communications. Specifically, Call signed the initial application as well as the Contribution Agreement in which she committed to comply with the terms and requirements of the Buy BC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Further, this is not a case in which Tyabji or Maradadi undertook to act solely in Call's interests. On Call's own evidence, she understood that Tyabji viewed the Buy BC Program as a business and money making opportunity for Maradadi.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is little doubt that Call placed considerable trust in Tyabji, however the requisite elements of a fiduciary relationship have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That leaves the claim for breach of contract. Call submits that Tyabji or Maradadi's conduct amounts to a "complete failure of performance" in that they were incapable of delivering what was promised to Call, namely $40,000 of grant funds that could be invested into Sunshine Organics to grow the business. She submits that the remedy for such a complete failure is rescission of the contract, citing </w:t>
      </w:r>
      <w:r>
        <w:rPr>
          <w:rFonts w:ascii="arial" w:eastAsia="arial" w:hAnsi="arial" w:cs="arial"/>
          <w:i/>
          <w:color w:val="000000"/>
          <w:sz w:val="20"/>
          <w:lang w:val="en-US" w:eastAsia="en-US" w:bidi="ar-SA"/>
        </w:rPr>
        <w:t>Sabol v. McLaughlin</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2008 BCSC 402</w:t>
        </w:r>
      </w:hyperlink>
      <w:r>
        <w:rPr>
          <w:rFonts w:ascii="arial" w:eastAsia="arial" w:hAnsi="arial" w:cs="arial"/>
          <w:color w:val="000000"/>
          <w:sz w:val="20"/>
          <w:lang w:val="en-US" w:eastAsia="en-US" w:bidi="ar-SA"/>
        </w:rPr>
        <w:t xml:space="preserve"> at paras. 16-17.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Call's claim fails in two respects. First, as noted above, there has not been a complete failure of performance. Maradadi did much of what it agreed to do, including preparing the initial application to IAF and administering the Campaign. On the basis of these efforts, Call and Sunshine Organics received $50,000. While a significant portion of that money went to Maradadi, there was still an amount available to Call and Sunshine Organics.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Second, to the extent that Call claims damages as an alternative to rescission, she has not proven any losses. For example, Call has not established that she incurred additional expenses or lost any revenues as a result of the actions of Tyabji or Maradadi.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counterclaim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Both the plaintiff's claim and the defendants' counterclaim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parties requested that they be permitted to speak to costs following the release of my reasons. They may make arrangements to do so. The parties will prepare and exchange written submissions, not to exceed ten pages double spaced, and will file those submissions with the court in advance of any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Meredith v. Turnbull, [2000] B.C.J. No. 676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12 - 15, November 15, 16, 18,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January 24 - 26,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C966242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676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549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1059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Marilyn Meredith, plaintiff, and Kenneth Cameron Turnbull, Kenneth Cameron Turnbull doing business as Turnbull &amp; Associates, and Cindy Stevens,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19"/>
      <w:bookmarkEnd w:id="179"/>
      <w:r>
        <w:rPr>
          <w:rFonts w:ascii="arial" w:eastAsia="arial" w:hAnsi="arial" w:cs="arial"/>
          <w:b/>
          <w:color w:val="000000"/>
          <w:sz w:val="20"/>
          <w:lang w:val="en-US" w:eastAsia="en-US" w:bidi="ar-SA"/>
        </w:rPr>
        <w:t>Building Contracts — The contract — Breach — Liability of builder — Defective workmanship or design — Fraud and misrepresentation — Fraudulent misrepresentation (deceit) — Remedies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0" w:name="Case Summary_19"/>
            <w:bookmarkEnd w:id="1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Meredith for damages arising out of a renovation contract on a house owned by her son, over which she held a power of attorney. Meredith was acquainted with the defendant Stevens, who was a decorator. Stevens's spouse, Turnbull, held himself out to be an architect. Both agreed to do the renovations. The main point of contention was the requirement for a building permit. Meredith claimed that Turnbull advised her that one was not necessary for the type of renovation in question. Turnbull's evidence was that Meredith did not wish to obtain a building permit and that he agreed to proceed without one. Part way through the contract, the municipality issued a stop work order for failure to obtain a building permit. In addition, it provided a deficiency list of observable problems which were essentially structural. Meredith hired a structural engineer to review the work. The engineer confirmed various structural deficiencies. A new contractor had to be hired to tear out part of the work in order to carry out the renovations in a structurally sound manner.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1" w:name="Holdings of Court_15"/>
            <w:bookmarkEnd w:id="181"/>
            <w:r>
              <w:rPr>
                <w:rFonts w:ascii="arial" w:eastAsia="arial" w:hAnsi="arial" w:cs="arial"/>
                <w:color w:val="000000"/>
                <w:sz w:val="20"/>
                <w:lang w:val="en-US" w:eastAsia="en-US" w:bidi="ar-SA"/>
              </w:rPr>
              <w:t>HELD: Action allowed, and Meredith awarded $15,000.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Turnbull misrepresented himself as an architect. Meredith entered into the contract in reliance upon that misrepresentation. He advised Meredith that a building permit was not required and the parties proceeded on that basis. An owner was entitled to rely upon the word of the contractor in these circumstances as to the necessity of a permit. There was little dispute that the resulting work was done in a deficient and negligent manner. Turnbull was negligent and in breach of the contract. Stevens was not liable as she was acting as agent for Turnbull at all material times. Meredith was awarded damages in the form of the monies already paid to Turnbull. less reusable material, plus the cost of tearing out the deficient work. Turnbull was not responsible for the cost of finishing the renovations.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2" w:name="Counsel_29"/>
      <w:bookmarkEnd w:id="1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on her own behalf. The defendants Kenneth Cameron Turnbull and Cindy Stevens acted on their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3" w:name="Judgment_29"/>
      <w:bookmarkEnd w:id="183"/>
      <w:r>
        <w:pict>
          <v:line id="_x0000_s1162"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4" w:name="BENNETT J._0"/>
            <w:bookmarkEnd w:id="184"/>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as a result of a conflict which arose when the defendants undertook to do home renovation work for the plaintiff. The claim is in excess of $65,000.00. This sum is based on the amount paid to the defendants, $18,000.00, and the cost of a new contractor completing the renovation, $43,000, plus engineering costs. All of the parties were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self-representation, there were a number of matters raised throughout the trial. For example, concern was raised that the original contract was not produced. Each side claimed the other had the contract. I was satisfied that the copy of the contract which was filed was the best evidence that would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considerable conflict in the evidence. Each party called experts regarding construction. On occasion, Mr. Turnbull was evasive in some of his answers. Mrs. Meredith was shown to be not entirely reliable in her evidence. For example, she recalled being in perfect health at the time of the contract negotiation. She had in fact been in the hospital for surgery just before the initial contract was signed. Mrs. Meredith could not recall answers she had given at the examination for discovery. I found, of the parties, Ms. Stevens to be the most reliable witness. Based on an assessment of the evidence as a whole I have found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Scott Meredith and Trevor Talbot own a house on 2901 Thorncliff Road, North Vancouver, B.C. The plaintiff, Marilyn Meredith, is the mother of Scott Meredith. Both Scott Meredith and Trevor Talbot by way of agreement and Power of Attorney, gave Mrs. Meredith the authority to negotiate and arrange for renovations at this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Meredith is 69 years old. She is an active realtor in West Vancouver, B.C. She sells high-end homes. She has been a realtor for approximately 16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Meredith was a friend and admirer of the defendant, Ms. Cinde Stevens. They met around 1993 or 1994 at the Hollyburn Country Club where Ms. Stevens swam. Ms. Stevens is a world champion synchronized swimmer and Olympian.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Ms. Stevens was living with the defendant, Kenneth Turnbull. Stevens and Turnbull contemplated selling their house, and contacted Mrs. Meredith for a real estate assessment. Mrs. Meredith attended the home of Ms. Stevens and was impressed with the renovation and design work that the defendants had done at their own home. Ms. Stevens did the design work and Mr. Turnbull did the renovation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Meredith was looking around for a contractor to perform renovations on her son's house. Mrs. Meredith contacted Ms. Stevens and Mr. Turnbull for an estimate on her renovation. Mr. Turnbull and Ms. Stevens were not actively involved in the renovation business, however, both were interested in getting involved with the renovation. They agreed to do the renovation because they were friends with Mrs. Meredith.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Ken Turnbull was working in the computer industry. Ms. Stevens referred to Ken Turnbull as an architect to Mrs. Meredith. Mr. Hughes, the expert called by Ms. Stevens, said he thought Mr. Turnbull was an architect. Mrs. Meredith referred to him as an architect in his presence and he did not correct her. Mr. Turnbull is not qualified to engage in the architecture business. He has architecture training, but is not a licensed architect in British Columbia. I find that Mr. Turnbull held himself out as an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Turnbull &amp; Associates was a business operated by Mr. Turnbull until 1985. However, business cards were prepared with this business name and one was given to Mrs. Meredith. Further, correspondence was signed by Mr. Turnbull as "Turnbull &amp;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Stevens did not hold herself out to be a professional designer. Mrs. Meredith appreciated Ms. Stevens "good taste" and "design talent" in decorating.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Turnbull prepared some drawings for the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meeting took place at the home of Mrs. Meredith to finalize the contract. The discussion of building permits was raised. This is a significant factual issue because, as will be seen, the lack of a permit initiated the demise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on this point is diametrically opposed. Mrs. Meredith said she asked Mr. Turnbull if they needed a permit, and he told her that it wasn't needed for indoor work. Mrs. Meredith was familiar with renovation work from her experience as a realtor. Mr. Turnbull said he was told by Mrs. Meredith not to get a permit. He said he didn't think he needed a permit for this job. Ms. Stevens expert, Mr. Hughes (who was also a friend of Mr. Turnbull), said a permit would be required for this type of job. Ms. Stevens testified that Mrs. Meredith and Scott Meredith were anxious not to have to obtain a permit and asked Mr. Turnbull if the renovation could be done without a permit. Mr. Turnbull said yes that it could be done without a permit. She said everyone was aware that a permit was required, but they agreed to go ahead without one. Mr. Meredith Sr. was not part of this conversation, however at one point he joined the discussion and asked about a permit. Mr. Turnbull said, "No, not for something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Cinde Stevens has given the most reliable explanation of what occurred at this meeting regarding the permit. I accept the evidence of Mr. Meredith Sr., however, he came into the conversation late in the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the following regarding the permit. I find that Mrs. Meredith knew that a permit would likely be required. She did not want to obtain one if she didn't have to. She asked Mr. Turnbull if a permit was required. I find that Mr. Turnbull was well-aware, or should have been aware, that a permit was required for the structural renovation that was contemplated. Mr. Turnbull told them a permit was not necessary. Mrs. Meredith relied on his expertise as someone who held himself out to be an architect. I reject Mr. Turnbull's evidence that he was told to proceed without a permit. I find that he was willing to take a chance. If he had not advised them they could proceed without a permit, a permit would have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clear from the evidence of Travis Talbot that he was concerned about obtaining a permit when he learned one had not be secured, but relied on Mr. Turnbull's assurances that one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Stevens made no misrepresentations to Mrs. Meredith. She took little, if any, part of the discussion regarding permits. Ms. Stevens's function was to pick the paint and wallpaper. She also looked after ensuring material was delivered to the site. She opened the site in the morning and closed it at the end of the day. She ordered material on the instructions of Mr.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original contract was for $25,000. Mr. Turnbull signed the contract on September 16, 1996. Some modifications were made to the contract. Ms. Stevens initialed the modifications. I find that she signed at the urging of Mrs. Meredith. Ms. Stevens and Mrs. Meredith were in a meeting, and Ms. Stevens could not locate Mr. Turnbull. I find that Stevens acted on behalf of Ken Turnbull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work was underway. Materials were purchased. Walls were knocked out. Mrs. Meredith paid $18,000 of the contract price to the defendants. On October 2, 1996, the District of North Vancouver placed a Stop Work Order on the project for the failure to obtain a building permit. The District provided a deficiency list of observable problems with the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deficiencies identified by the District were essentially structural. Proper footings and headers were not installed. There were other difficulties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Meredith became very angry and upset at this turn of events. She arranged for Ms. Stevens to meet with a structural engineer, Mr. Shafai. The meeting with Mr. Shafai occurred on October 4,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meeting with the engineer, Ms. Stevens testified that Mrs. Meredith told them they were "off the job". Mrs. Meredith denies this. I accept the evidence of Ms. Stevens. This conversation occurred when Mrs. Meredith was very upset, and the words may have been said in the heat of anger. However, I find that she did say these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October 4, Mr. Turnbull had a letter delivered to Mrs. Meredith confirming that she had terminated the contract and agreeing that the contract should be terminated. [Ex. 8]. Mrs. Meredith replied in an undated letter. This letter was delivered on October 7, 1996. Mrs. Meredith states that in her view the contract was valid and wished to negotiate. Mrs. Meredith did not know at this time that Mr. Turnbull was not a qualified or licensed architect. Further, Mrs. Meredith did not meet with Mr. Shafai until October 10 to discuss his inspection and his list of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Shafai testified on behalf of the plaintiff. He is a structural engineer, and as noted, was consulted by the plaintiff after the stop work order. He examined the plans and the site. He met with Ms. Stevens. He called Mr. Turnbull several times, but Mr. Turnbull did not return his calls. Mr. Turnbull's view was that he had been fired. Mr. Shafai found that the work done by Mr. Turnbull would result in the building being "absolutely" structurally unsound.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Shafai agreed with the deficiencies found by the municipal inspector. [Exhibit 7]. He found that the footings either didn't exist or were insufficient. He found weight bearing walls were removed. Insufficient support was in place for the walls and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Much of the work done by Mr. Turnbull had to be torn out because it was not to Code. Mr. Shafai estimated the cost of the tear out to be 2 - 3 days at $30.00 per hour, or $480 - 720.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Shafai said that some of the material could be reused. Mr. Shafai was clearly antagonistic against unlicensed contractors. He said he was one of the people who had lobbied for the legislation recently passed, that permitted only licensed contractors to perform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Fulton was the contractor who was hired to complete the renovation. He testified that a new foundation had been installed with no footing. He had to tear out part of the driveway to install proper footings. He said the doors and windows that had been ordered did not fit the openings. Proper support was not installed. He described the site as a "mess" and a "nightmare". He said a crew had to clean up before they could begin work. He said the mess was not explained by the immediacy of the Stop Work Order. He testified that the tear-out of Mr. Turnbull's work took 3 to 4 weeks. In his view, the work performed by Mr. Turnbull was structurally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Fulton prepared a deficiency list which was filed as Exhibit 29A. His list is as follows:</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footings under bearing points inside house. Footing had to be dug, rebar installed, concrete poured and engineer inspected to comply with code.</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 foundation was poured without footings. Underpinning requested by engineer.</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Living room window opening too small and required completed rebuild.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French Door openings too small and required complete rebuild with new headers.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 header, which was a double 2x10 ripped to 8 inches, was too small and had to be replaced with Microlam beam.</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Hallway bearing wall torn out and no header installed. Double Microlam beam installed.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Bathroom beam double 2x10 replaced with double Microlam beam.</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Plumbing rough-in not to code and had to be completely replaced.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 skylight box installed improperly and leaked. Reinstalled box, flashing and shingled roof.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Vaulted kitchen ceiling completely rebuilt with two Microlam beams. Frame new vaulted walls and installed insulation.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bedroom header changed from triple 2x10 to Microlam beam.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bedroom header and window opening too small. Window opening completely rebuilt and new bedroom header installed.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Hall closet built on rotten sub floor. Complete rebuild on new concrete floor.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Bathroom walls built out of plumb and not square. Partial tear out and rebuild.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Part of Mr. Fulton's list of deficiencies may be explained by work in progress. However, it clearly indicates severe problems in this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Fulton reused the doors and windows. He used the insulation as well as some plumbing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His final bill for the completed renovation was approximately $43,000.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Hughes testified on behalf of the defendants. He was called by Ms. Stevens. He works for Workers Compensation, but has sufficient experience in construction to offer an opinion. Mr. Hughes suggested that the standards of structural engineers are too high and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Hughes ignored the fact that walls were torn out when giving his opinion that the changes in this house were not structural. In cross-examination, he agreed that the work done was a structural change. Mr. Hughes did not have the opportunity to observe the site. He could only review photos taken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Where the evidence of Mr. Shafai and Mr. Hughes conflict, I accept the evidence of Mr. Shafai. Mr. Shafai is far more qualified in the area of structure in renovations. Further, he had the advantage of observing the site firsthand.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36a</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Turnbull misrepresent himself as an architect?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status of the defendant Turnbull &amp; Associates?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negligent or in breach of contract for not obtaining a building permit?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negligent or in breach of contract for performing substandard work?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terminated the contract?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Stevens liable for any of the acts alleged?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liability is found, what are the 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Court did not number the Issues. Quicklaw has assigned number 36a.]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MS.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going to deal with the sixth issue first. Although Ms. Stevens said she was not acting as Mr. Turnbull's agent, it is clear she was not familiar with the legal concept of agency. I find that Ms. Stevens was at all times acting for Mr. Turnbull. She was not a party to the contract. She initialed changes on the contract on behalf of Mr. Turnbull. It was never intended by all parties that Ms. Stevens be contractually liable for the contract. Her role in the renovation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Stevens held Mr. Turnbull out as an architect. However, I find that she honestly held the belief that he was an architect at the time the contract was negotiated and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Ms. Stevens has no liability for any of the allegations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noted in paragraph 9 above, I find that Mr. Turnbull did intentionally misrepresent himself as an architect. Mrs. Meredith entered into the contract with the understanding that Mr. Turnbull was an architect, and Mr. Turnbull was well-aware of her mistaken state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TURNBULL &amp;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defendant is Ken Turnbull. I was not given any evidence to suggest that there was any kind of corporate structure in place with respect to this defendant. It is a name formerly used by Mr. Turnbull and revived by Mr. Turnbull when he took on this job. However, Mr. Turnbull held himself out to be operating through this entity several times. However, the contract was signed by Ken Turnbull, with no mention of Turnbull &amp; Associates. The action against Turnbull &amp; Associates, although reasonable to commence,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OBTAIN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Both Mrs. Meredith and Scott Meredith wanted to do the renovations without a permit. Mr. Turnbull told them a permit wouldn't be required. Mr. Turnbull's advice was negligent and unreasonable. There were clearly structural changes to this premises. Mrs. Meredith relied on his advice and authorized the project go ahead without a permit. The District bylaw states the owner or agent is required to obtain a permit. When an owner hires a contractor, the owner is entitled to rely on the contractor's advice in these circumstances. It may or may not assist if the owner was charged with a contravention of the bylaw. I am not considering this aspect.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Mrs. Meredith had some expertise in renovations. However, she was entitled to rely on the advice of Mr.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contract does not specify who is responsible to obtain the permit, so no breach of contract arises from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QUALITY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of Mr. Shafai, Mr. Hughes and Mr. Fulton have convinced me that the work done by Mr. Turnbull, or under his direction, was wholly inadequate. The work was not to Code, substandard and in some aspect, dangerous. I find that Mr. Turnbull was both negligent and breached the contract by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TERMINATION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have found that Mrs. Meredith did terminate the contract with Mr. Turnbull. She did so in anger, and offered an opportunity to rectify the problem when she calmed down. However, the misrepresentation,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prior to termination, although unknown to Mrs. Meredith.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summary, I find Mr. Turnbull is liable for misrepresenting himself as an architect to Mrs. Meredith, negligent misrepresentation regarding the need for a permit,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providing substandard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Mrs. Meredith should not be financially responsible for this loss. Mrs. Meredith should receive the money she paid to Mr. Turnbull, less the reuseable material, plus the cost of the tear-out which was required to fix the work performed by Mr.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Mr. Turnbull is not responsible for the subsequent renovation work, except to the extent that his flawed work required reparation. The renovation work done by Mr. Fulton under the supervision of Mr. Shafai was well-beyond the agreement between Mrs. Meredith and Mr. Turnbull. The two jobs are not comparable.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cost of the tear-out ranges from 2 -3 days work based on Mr. Shafai's evidence, to 3 - 4 weeks work in Mr. Fulton's evidence. Mr. Shafai was estimating. Mr. Fulton was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it is clear that some material was saved. Indeed, Mrs. Meredith does not claim for $3000.00 worth of material which was ordered shortly before the stop work order. However, beyond that, it is difficult to determine what was saved and what was not saved. Some beams and insulation were saved. The material that had been installed, and torn out was not recyclable.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the most reasonable conclusion is to offset the amount of the reused material and the tear-out.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Mrs. Meredith paid Mr. Turnbull $18,000, including $10,000 two days before the Stop Work Order. She does not claim for $3000 of material that had been ordered and paid for by the defendant. The remaining $15,000 includes material, wages to subcontractors and wages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Therefore, I allow the claim of the plaintiff against Mr. Turnbull in the amount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54a</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Ken Turnbull is allowed in the amount of $15,000.00.</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Cinde Stevens is dismissed.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Turnbull &amp; Associates is dismissed.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interest pursuant to the Court Order Interest Act from October 2, 1996.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Court did not number the Summary. Quicklaw has assigned number 54a.]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the parties are self-represented, I wish to hear their submissions on the issue of costs. The parties will contact the Supreme Court Civil Registry and arrange a day for their submissions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Olsen v. Behr Process Corp., [2003] B.C.J. No. 627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S006106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627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957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Leonard Olsen, Paul Dennis and Linda Dennis, plaintiffs, and Behr Process Corporation and Behr Process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0"/>
      <w:bookmarkEnd w:id="185"/>
      <w:r>
        <w:rPr>
          <w:rFonts w:ascii="arial" w:eastAsia="arial" w:hAnsi="arial" w:cs="arial"/>
          <w:b/>
          <w:color w:val="000000"/>
          <w:sz w:val="20"/>
          <w:lang w:val="en-US" w:eastAsia="en-US" w:bidi="ar-SA"/>
        </w:rPr>
        <w:t>Practice — Pleadings — Striking out pleadings — Grounds, failure to plead material facts.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20"/>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Behr Process striking out portions of the statement of claim. This was a proposed class action that was not yet certified. Behr manufactured liquid wood coatings. The plaintiffs purchased and used some of Behr's coatings. They claimed that the coatings were defective. They did not protect the wood surfaces to which the coatings were applied. Behr claimed that the pleadings were invalid because they included 15 products that Behr neither purchased nor used. The claim for misrepresentation under the Competition Act did not refer to the plaintiffs' reliance. In the claim for breach of warranty, the plaintiffs did not state whether they knew of any warranty and were induced to purchase because of the warranty. The plaintiffs made a claim under the Trade Practice Act. They claimed to have participated in a consumer transaction. However, they did not plead material facts to support their reliance on any deceptive or unconscionable act. A claim in civil conspiracy was pleaded, but without any additional facts.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16"/>
            <w:bookmarkEnd w:id="18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Portions of the statement of claim were struck out. The claim that referred to the non-purchased products was not struck out. Such products could be relevant if this action was certified as a class proceeding. The claim for breach of warranty would be stricken in 30 days if the plaintiffs did not amend the pleading to claim a complete cause of action for breach of warranty. The claim under the Trade Practices Act was not struck out. The plaintiffs pleaded sufficient facts to support this claim. This claim could be supported by the mere silence of a manufacturer with knowledge of a product defect. The Competition Act claim was defective. The plaintiffs were given leave to amend, failing which this claim would be struck out. The civil conspiracy claim was struck out. The conspiracy plea added nothing where two persons were alleged jointly to have committed a tort or other wrong.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12"/>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19(24).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Competition Act, </w:t>
      </w:r>
      <w:hyperlink r:id="rId605" w:history="1">
        <w:r>
          <w:rPr>
            <w:rFonts w:ascii="arial" w:eastAsia="arial" w:hAnsi="arial" w:cs="arial"/>
            <w:i/>
            <w:color w:val="0077CC"/>
            <w:sz w:val="20"/>
            <w:u w:val="single"/>
            <w:shd w:val="clear" w:color="auto" w:fill="FFFFFF"/>
            <w:lang w:val="en-US" w:eastAsia="en-US" w:bidi="ar-SA"/>
          </w:rPr>
          <w:t>R.S.C. 1985, c. C-34, ss. 36</w:t>
        </w:r>
      </w:hyperlink>
      <w:r>
        <w:rPr>
          <w:rFonts w:ascii="arial" w:eastAsia="arial" w:hAnsi="arial" w:cs="arial"/>
          <w:color w:val="000000"/>
          <w:sz w:val="20"/>
          <w:lang w:val="en-US" w:eastAsia="en-US" w:bidi="ar-SA"/>
        </w:rPr>
        <w:t>, 52. Trade Practice Act, R.S.B.C. 1996, c. 454, s. 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30"/>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Ward K. Branch and Joseph Prodor, for the plaintiffs. R. Barry Fraser and Elaine J. Adair,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30"/>
      <w:bookmarkEnd w:id="190"/>
      <w:r>
        <w:pict>
          <v:line id="_x0000_s1167" style="position:absolute;z-index:2518323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March 26, 2003.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HOLMES J."/>
            <w:bookmarkEnd w:id="191"/>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application pursuant to Rule 19(24) of the Rules of Court is for the following paragraphs of the Amended Statement of Claim to be struck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13-17;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19 (all except subparagraph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20-21;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22 (except subparagraphs (a) and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40(g);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Paragraphs 41 (the allegations "would not perform as promised in paragraphs 15 and 16 herein and, in particular that they");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42 (the allegations respecting "practices or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43-49;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52;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53 (the allegations "their contraventions of the Trade Practice Act and Competition Act, their conspiracy to use unlawful means to further their interests at consumers' expense, and their breach of express or implied warranties");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54 (allegations respecting "representations and other practices" and damage claims based on "representations and other practices");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55 (allegations respecting "representations and other practices");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Paragraphs 56 and 57, together with those parts of the Prayer for Relief that are based on allegations in the parts of the Statement of Claim being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his submission, counsel for the plaintiffs clarified that the plaintiffs are not advancing the cause of action of negligent misrepresentation. The defendants therefore move to have the "representations" alleged in paragraphs 15, 16 and l7 of the Amended Statement of Claim that appear only to be pleaded as part of the plaintiffs' claim under the Trade Practice Act, </w:t>
      </w:r>
      <w:r>
        <w:rPr>
          <w:rFonts w:ascii="arial" w:eastAsia="arial" w:hAnsi="arial" w:cs="arial"/>
          <w:i/>
          <w:color w:val="000000"/>
          <w:sz w:val="20"/>
          <w:lang w:val="en-US" w:eastAsia="en-US" w:bidi="ar-SA"/>
        </w:rPr>
        <w:t>R.S.B.C. 1996, c. 454</w:t>
      </w:r>
      <w:r>
        <w:rPr>
          <w:rFonts w:ascii="arial" w:eastAsia="arial" w:hAnsi="arial" w:cs="arial"/>
          <w:color w:val="000000"/>
          <w:sz w:val="20"/>
          <w:lang w:val="en-US" w:eastAsia="en-US" w:bidi="ar-SA"/>
        </w:rPr>
        <w:t xml:space="preserve"> or Competition Act, R.S.C. 1985, c. C. 34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agree with counsel for the defendants that to enhance the clarity of the pleading as no claim in negligent misrepresentation is intended, the references to "promises" and "representations" in paragraphs 41 and 42 should be struck out as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action is a proposed class action proceeding not yet certified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It is therefore subject to the Rules of Court as in an ordinary action. [Edmonds v. Actton Super-Save Gas Stations Ltd., </w:t>
      </w:r>
      <w:hyperlink r:id="rId606" w:history="1">
        <w:r>
          <w:rPr>
            <w:rFonts w:ascii="arial" w:eastAsia="arial" w:hAnsi="arial" w:cs="arial"/>
            <w:i/>
            <w:color w:val="0077CC"/>
            <w:sz w:val="20"/>
            <w:u w:val="single"/>
            <w:shd w:val="clear" w:color="auto" w:fill="FFFFFF"/>
            <w:lang w:val="en-US" w:eastAsia="en-US" w:bidi="ar-SA"/>
          </w:rPr>
          <w:t>[1996] B.C.J. No. 2050</w:t>
        </w:r>
      </w:hyperlink>
      <w:r>
        <w:rPr>
          <w:rFonts w:ascii="arial" w:eastAsia="arial" w:hAnsi="arial" w:cs="arial"/>
          <w:color w:val="000000"/>
          <w:sz w:val="20"/>
          <w:lang w:val="en-US" w:eastAsia="en-US" w:bidi="ar-SA"/>
        </w:rPr>
        <w:t xml:space="preserve"> (S.C.); Scott v. TD Waterhouse Investor Services (Canada) Inc., </w:t>
      </w:r>
      <w:hyperlink r:id="rId607" w:history="1">
        <w:r>
          <w:rPr>
            <w:rFonts w:ascii="arial" w:eastAsia="arial" w:hAnsi="arial" w:cs="arial"/>
            <w:i/>
            <w:color w:val="0077CC"/>
            <w:sz w:val="20"/>
            <w:u w:val="single"/>
            <w:shd w:val="clear" w:color="auto" w:fill="FFFFFF"/>
            <w:lang w:val="en-US" w:eastAsia="en-US" w:bidi="ar-SA"/>
          </w:rPr>
          <w:t>[2000] B.C.J. No. 2524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function of pleadings is to clearly define the issues of fact and law that are to be decided [Homalco Indian Band v. B.C. </w:t>
      </w:r>
      <w:hyperlink r:id="rId608"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at 109]. As noted by Southin J.A. in Cotton v. Wellsby </w:t>
      </w:r>
      <w:hyperlink r:id="rId609" w:history="1">
        <w:r>
          <w:rPr>
            <w:rFonts w:ascii="arial" w:eastAsia="arial" w:hAnsi="arial" w:cs="arial"/>
            <w:i/>
            <w:color w:val="0077CC"/>
            <w:sz w:val="20"/>
            <w:u w:val="single"/>
            <w:shd w:val="clear" w:color="auto" w:fill="FFFFFF"/>
            <w:lang w:val="en-US" w:eastAsia="en-US" w:bidi="ar-SA"/>
          </w:rPr>
          <w:t>(1991), 59 B.C.L.R. (2d) 366</w:t>
        </w:r>
      </w:hyperlink>
      <w:r>
        <w:rPr>
          <w:rFonts w:ascii="arial" w:eastAsia="arial" w:hAnsi="arial" w:cs="arial"/>
          <w:color w:val="000000"/>
          <w:sz w:val="20"/>
          <w:lang w:val="en-US" w:eastAsia="en-US" w:bidi="ar-SA"/>
        </w:rPr>
        <w:t xml:space="preserve"> (C.A.) at p. 373, "... on a hopelessly inadequate statement of claim, there is nothing upon which the trial judge can concentrate his or her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are manufacturers of liquid chemical wood coatings. The plaintiffs purchased and used the coatings manufactured by the defendants and sold under the trade names "Natural Seal Plus"("NSP") and Super Liquid Raw Hide"("SLR").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allege the purchased products were defective in that they did not protect the wood surfaces to which they were applied and "promoted mildew growth, discoloration and degradation of wood fibre."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purchased and used three of the defendants' products: NSP #81; SLR #12; and SLR #13 on wooden structures that they owned in B.C. The plaintiffs allege they have suffered damage to their property as a result of use of the products as they were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in this application attack the identified portions the Amended Statement of Claim as being improper pleading on several grounds: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include 15 products in the NSP and SLR lines that they neither purchased nor used;</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misrepresentation and breach of warranty absent knowledge or reliance by the plaintiffs or any allegation that they were induced by the misrepresentation;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of contravention of the British Columbia Trade Practice Act and similar legislation in other provinces absent any base for a claim by the plaintiffs;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as to contravention of the Competition Act;</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a 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19-22, 24, 28 AND 40(g):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These paragraphs concern claims in relation to specified coatings in the product line of the defendants that were neither purchased nor used by the plaintiffs. The defendants argue this leaves the existence of any person with a cause of action in relation to those products speculative [Ragoonanan Estate v. Imperial Tobacco Canada Ltd. </w:t>
      </w:r>
      <w:hyperlink r:id="rId610" w:history="1">
        <w:r>
          <w:rPr>
            <w:rFonts w:ascii="arial" w:eastAsia="arial" w:hAnsi="arial" w:cs="arial"/>
            <w:i/>
            <w:color w:val="0077CC"/>
            <w:sz w:val="20"/>
            <w:u w:val="single"/>
            <w:shd w:val="clear" w:color="auto" w:fill="FFFFFF"/>
            <w:lang w:val="en-US" w:eastAsia="en-US" w:bidi="ar-SA"/>
          </w:rPr>
          <w:t>(2000), 51 O.R. (3d) 603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have clearly pleaded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manufacture and testing of the NSP and SLR products they actually purchased and used and that they allege caused them damage. The plaintiffs' position is that having shown a cause of action in relation to some of the products in issue, the balance is for the court to consider on the certification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fifteen described NSP and SLR products that were not used by the plaintiffs and which the defendants seek to strike from the pleadings, are alleged to be generically chemically equivalent to the three that were purchased and used by the plaintiffs, differing mainly in relation to pigmentation.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is not disputed the Amended Statement of Claim pleads a complete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three products the plaintiffs purchased and used. It appears most of the other described product is likely generically equivalent to that purchased by the plaintiffs. The issue of whether all described product is in fact generically equivalent seems an appropriate factor for consideration on representation issues in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Many class actions have been approved where different products are involved or where the product has changed over time [Endean v. Canadian Red Cross Society, </w:t>
      </w:r>
      <w:hyperlink r:id="rId611" w:history="1">
        <w:r>
          <w:rPr>
            <w:rFonts w:ascii="arial" w:eastAsia="arial" w:hAnsi="arial" w:cs="arial"/>
            <w:i/>
            <w:color w:val="0077CC"/>
            <w:sz w:val="20"/>
            <w:u w:val="single"/>
            <w:shd w:val="clear" w:color="auto" w:fill="FFFFFF"/>
            <w:lang w:val="en-US" w:eastAsia="en-US" w:bidi="ar-SA"/>
          </w:rPr>
          <w:t>[2002] B.C.J. No. 1610</w:t>
        </w:r>
      </w:hyperlink>
      <w:r>
        <w:rPr>
          <w:rFonts w:ascii="arial" w:eastAsia="arial" w:hAnsi="arial" w:cs="arial"/>
          <w:color w:val="000000"/>
          <w:sz w:val="20"/>
          <w:lang w:val="en-US" w:eastAsia="en-US" w:bidi="ar-SA"/>
        </w:rPr>
        <w:t xml:space="preserve">; Chace v. Crane Canada Inc., </w:t>
      </w:r>
      <w:hyperlink r:id="rId612" w:history="1">
        <w:r>
          <w:rPr>
            <w:rFonts w:ascii="arial" w:eastAsia="arial" w:hAnsi="arial" w:cs="arial"/>
            <w:i/>
            <w:color w:val="0077CC"/>
            <w:sz w:val="20"/>
            <w:u w:val="single"/>
            <w:shd w:val="clear" w:color="auto" w:fill="FFFFFF"/>
            <w:lang w:val="en-US" w:eastAsia="en-US" w:bidi="ar-SA"/>
          </w:rPr>
          <w:t>[1996] B.C.J. No. 1606</w:t>
        </w:r>
      </w:hyperlink>
      <w:r>
        <w:rPr>
          <w:rFonts w:ascii="arial" w:eastAsia="arial" w:hAnsi="arial" w:cs="arial"/>
          <w:color w:val="000000"/>
          <w:sz w:val="20"/>
          <w:lang w:val="en-US" w:eastAsia="en-US" w:bidi="ar-SA"/>
        </w:rPr>
        <w:t xml:space="preserve">; Harrington v. Dow Corning Corp., </w:t>
      </w:r>
      <w:hyperlink r:id="rId613" w:history="1">
        <w:r>
          <w:rPr>
            <w:rFonts w:ascii="arial" w:eastAsia="arial" w:hAnsi="arial" w:cs="arial"/>
            <w:i/>
            <w:color w:val="0077CC"/>
            <w:sz w:val="20"/>
            <w:u w:val="single"/>
            <w:shd w:val="clear" w:color="auto" w:fill="FFFFFF"/>
            <w:lang w:val="en-US" w:eastAsia="en-US" w:bidi="ar-SA"/>
          </w:rPr>
          <w:t>[2000] B.C.J. No. 2237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may be that technically to conform to strict pleading rules the class of product in the pleading should be limited to the product purchased and used by the plaintiffs, and that on the certification motion that class could be expanded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the present method however helpful where generic or practically similar product is in question. There is a practical efficacy for the parties to be focused from the beginning on the products actually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would for example seem folly in a proposed class action to limit a plaintiff who purchased a vehicle with a defective transmission to restrict his claim only to the "white" vehicle he purchased rather than have application to all the other vehicles of that make regardless of color.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circumstances here I consider the application to strike the specified products, other than the three actually purchased and used by the plaintiffs, to be premature. That issue should abide the certification application and is adjourned to be dealt with on that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WARRANTY; PARAGRAPHS 13-17, 41 AND 47-49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Warranty is a contract based claim but the breach of warranty does not go to the root of the contract [Fraser-Reid et al. v. Droumtsekas et al., </w:t>
      </w:r>
      <w:hyperlink r:id="rId614" w:history="1">
        <w:r>
          <w:rPr>
            <w:rFonts w:ascii="arial" w:eastAsia="arial" w:hAnsi="arial" w:cs="arial"/>
            <w:i/>
            <w:color w:val="0077CC"/>
            <w:sz w:val="20"/>
            <w:u w:val="single"/>
            <w:shd w:val="clear" w:color="auto" w:fill="FFFFFF"/>
            <w:lang w:val="en-US" w:eastAsia="en-US" w:bidi="ar-SA"/>
          </w:rPr>
          <w:t>[1980] 1 S.C.R. 720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None of the plaintiffs are alleged to have purchased product from the defendants, and a claim for breach of warranty may only be made by a purchaser. The pleadings do not contain material facts which are necessary to plead a cause of action for breach of warranty. There is no close proximity between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shown by the plaintiffs and the claims for breach of warranty where it might be said one encompasses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pleadings do not indicate the plaintiffs knew of any warranty and therefore were neither induced to purchase or relied in any sense upon a warranty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can draw no comfort from the line of authorities which included Murray v. Sperry Rand Corporation et al. </w:t>
      </w:r>
      <w:hyperlink r:id="rId414" w:history="1">
        <w:r>
          <w:rPr>
            <w:rFonts w:ascii="arial" w:eastAsia="arial" w:hAnsi="arial" w:cs="arial"/>
            <w:i/>
            <w:color w:val="0077CC"/>
            <w:sz w:val="20"/>
            <w:u w:val="single"/>
            <w:shd w:val="clear" w:color="auto" w:fill="FFFFFF"/>
            <w:lang w:val="en-US" w:eastAsia="en-US" w:bidi="ar-SA"/>
          </w:rPr>
          <w:t>(1979), 23 O.R. (2d) 456</w:t>
        </w:r>
      </w:hyperlink>
      <w:r>
        <w:rPr>
          <w:rFonts w:ascii="arial" w:eastAsia="arial" w:hAnsi="arial" w:cs="arial"/>
          <w:color w:val="000000"/>
          <w:sz w:val="20"/>
          <w:lang w:val="en-US" w:eastAsia="en-US" w:bidi="ar-SA"/>
        </w:rPr>
        <w:t xml:space="preserve">); Shanklin Pier LD. v. Detel Products LD., [1951] 2 K.B. 854; and Haley v. Ford Motor Co. of Canada Ltd. </w:t>
      </w:r>
      <w:hyperlink r:id="rId410" w:history="1">
        <w:r>
          <w:rPr>
            <w:rFonts w:ascii="arial" w:eastAsia="arial" w:hAnsi="arial" w:cs="arial"/>
            <w:i/>
            <w:color w:val="0077CC"/>
            <w:sz w:val="20"/>
            <w:u w:val="single"/>
            <w:shd w:val="clear" w:color="auto" w:fill="FFFFFF"/>
            <w:lang w:val="en-US" w:eastAsia="en-US" w:bidi="ar-SA"/>
          </w:rPr>
          <w:t>(1966), 57 D.L.R. (2d) 15</w:t>
        </w:r>
      </w:hyperlink>
      <w:r>
        <w:rPr>
          <w:rFonts w:ascii="arial" w:eastAsia="arial" w:hAnsi="arial" w:cs="arial"/>
          <w:color w:val="000000"/>
          <w:sz w:val="20"/>
          <w:lang w:val="en-US" w:eastAsia="en-US" w:bidi="ar-SA"/>
        </w:rPr>
        <w:t xml:space="preserve"> (S.C.C.); were an indirect form of inducement and reliance was found. Those circumstances are not pleaded and do not exist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cited and relied upon Committee on Children's Television, Inc. v. General Foods Corp. (1983), 35 Cal. 3d 197 as authority in support of their pleadings being sufficient. I have not found the decision helpful. Counsel for the defendants in reply noted that the California statue law in issue differed substantially from that in British Columbia and that the basis of the defendants' application here is not the detail of statements concerning warranty, rather it is the more fundamental issue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here must allege that a statement intended by the defendants to be a warranty induced them to purchase. Reliance by the plaintiff purchaser on the alleged inducing statements of the defendant manufacturers is the essence of the requisite cause of action for breach of warranty. The pleadings do not indicate that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of no assistance to refer to brochures or other written material of the defendants alleged to have effect as a warranty where there is no nexus alleged between such material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present pleading appears in this regard to postulate a cause of action available to phantom persons and in circumstances that are different from the plaintiffs. In Kimpton v. Canada (Attorney General) et al., </w:t>
      </w:r>
      <w:hyperlink r:id="rId615" w:history="1">
        <w:r>
          <w:rPr>
            <w:rFonts w:ascii="arial" w:eastAsia="arial" w:hAnsi="arial" w:cs="arial"/>
            <w:i/>
            <w:color w:val="0077CC"/>
            <w:sz w:val="20"/>
            <w:u w:val="single"/>
            <w:shd w:val="clear" w:color="auto" w:fill="FFFFFF"/>
            <w:lang w:val="en-US" w:eastAsia="en-US" w:bidi="ar-SA"/>
          </w:rPr>
          <w:t>[2002] B.C.J. No. 2691</w:t>
        </w:r>
      </w:hyperlink>
      <w:r>
        <w:rPr>
          <w:rFonts w:ascii="arial" w:eastAsia="arial" w:hAnsi="arial" w:cs="arial"/>
          <w:color w:val="000000"/>
          <w:sz w:val="20"/>
          <w:lang w:val="en-US" w:eastAsia="en-US" w:bidi="ar-SA"/>
        </w:rPr>
        <w:t>, Macaulay J., in somewhat analogous circumstances, held at [paragraph]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enough for a plaintiff to plead causes of action that may be available to other persons in different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would allow the defendants' application to strike the warranty allegations if the plaintiffs do not move within thirty days to amend to plead a complete cause of action in warranty by an existing or added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 PRACTICE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have correctly argued that a party must plead material facts as to the elements of a statutory cause of action as delineated in Mikulas v. Milo European Car Specialists Ltd., </w:t>
      </w:r>
      <w:hyperlink r:id="rId616" w:history="1">
        <w:r>
          <w:rPr>
            <w:rFonts w:ascii="arial" w:eastAsia="arial" w:hAnsi="arial" w:cs="arial"/>
            <w:i/>
            <w:color w:val="0077CC"/>
            <w:sz w:val="20"/>
            <w:u w:val="single"/>
            <w:shd w:val="clear" w:color="auto" w:fill="FFFFFF"/>
            <w:lang w:val="en-US" w:eastAsia="en-US" w:bidi="ar-SA"/>
          </w:rPr>
          <w:t>[1993] B.C.J. No. 2818</w:t>
        </w:r>
      </w:hyperlink>
      <w:r>
        <w:rPr>
          <w:rFonts w:ascii="arial" w:eastAsia="arial" w:hAnsi="arial" w:cs="arial"/>
          <w:color w:val="000000"/>
          <w:sz w:val="20"/>
          <w:lang w:val="en-US" w:eastAsia="en-US" w:bidi="ar-SA"/>
        </w:rPr>
        <w:t xml:space="preserve">; McKay v. CDI Career Development Institutes Ltd., </w:t>
      </w:r>
      <w:hyperlink r:id="rId617" w:history="1">
        <w:r>
          <w:rPr>
            <w:rFonts w:ascii="arial" w:eastAsia="arial" w:hAnsi="arial" w:cs="arial"/>
            <w:i/>
            <w:color w:val="0077CC"/>
            <w:sz w:val="20"/>
            <w:u w:val="single"/>
            <w:shd w:val="clear" w:color="auto" w:fill="FFFFFF"/>
            <w:lang w:val="en-US" w:eastAsia="en-US" w:bidi="ar-SA"/>
          </w:rPr>
          <w:t>[1999] B.C.J. No. 561</w:t>
        </w:r>
      </w:hyperlink>
      <w:r>
        <w:rPr>
          <w:rFonts w:ascii="arial" w:eastAsia="arial" w:hAnsi="arial" w:cs="arial"/>
          <w:color w:val="000000"/>
          <w:sz w:val="20"/>
          <w:lang w:val="en-US" w:eastAsia="en-US" w:bidi="ar-SA"/>
        </w:rPr>
        <w:t>. A summary of the necessary material facts to be pleaded to base a statutory cause of action under s. 22 of the Trade Practice Act 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 "consumer";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a "supplier";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defendant participated in a "consumer transaction;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engaged in a "deceptive" (s. 3) or "unconscionable" (s. 4) act or practice in respect of the consumer transaction;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in reliance on the defendant's deceptive or unconscionable act or practice, to his or her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obvious from the pleadings that in particular there are no material facts to support the plaintiffs acting in reliance upon any "deceptive" or "unconscionable"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Despite the apparent absence of the reliance required to support the statutory claim there may be a general basis on which the plaintiffs could properly invoke the statutory cause of action and remedy under the Trade Practice Act. [Robson v. Chrysler Canada Ltd., </w:t>
      </w:r>
      <w:hyperlink r:id="rId618" w:history="1">
        <w:r>
          <w:rPr>
            <w:rFonts w:ascii="arial" w:eastAsia="arial" w:hAnsi="arial" w:cs="arial"/>
            <w:i/>
            <w:color w:val="0077CC"/>
            <w:sz w:val="20"/>
            <w:u w:val="single"/>
            <w:shd w:val="clear" w:color="auto" w:fill="FFFFFF"/>
            <w:lang w:val="en-US" w:eastAsia="en-US" w:bidi="ar-SA"/>
          </w:rPr>
          <w:t>[2002] B.C.J. No. 1232</w:t>
        </w:r>
      </w:hyperlink>
      <w:r>
        <w:rPr>
          <w:rFonts w:ascii="arial" w:eastAsia="arial" w:hAnsi="arial" w:cs="arial"/>
          <w:color w:val="000000"/>
          <w:sz w:val="20"/>
          <w:lang w:val="en-US" w:eastAsia="en-US" w:bidi="ar-SA"/>
        </w:rPr>
        <w:t xml:space="preserve"> (C.A.) (leave to appeal filed </w:t>
      </w:r>
      <w:hyperlink r:id="rId619" w:history="1">
        <w:r>
          <w:rPr>
            <w:rFonts w:ascii="arial" w:eastAsia="arial" w:hAnsi="arial" w:cs="arial"/>
            <w:i/>
            <w:color w:val="0077CC"/>
            <w:sz w:val="20"/>
            <w:u w:val="single"/>
            <w:shd w:val="clear" w:color="auto" w:fill="FFFFFF"/>
            <w:lang w:val="en-US" w:eastAsia="en-US" w:bidi="ar-SA"/>
          </w:rPr>
          <w:t>[2002] S.C.C.A. No. 332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Robson, supra, was not directly decided under the provisions of Rule 19(24), the implication is clear that an action under the Trade Practice Act may be supported by the mere silence of a manufacturer with knowledge of a product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that circumstance reliance by a purchaser might be assumed as all purchasers would expect to be told of known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there is a sufficient basis to sustain a pleading under the Trade Practice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 pleading purposes the defendants can assume that all particulars pleaded are alleged to be misleading, deceptive and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issue of whether the existing plaintiffs are appropriate representatives for any portion of the class claiming under a specific particular alleged is of course for determination on the certification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No cause of action under s. 36 of the Competition Act can be proven based upon an alleged breach of s. 52 of the Act, unless the claimant establishes that he or she has relied upon the representation in issue and that the representation caused the loss claimed. [Williams v. Mutual Life Assurance Co. of Canada, </w:t>
      </w:r>
      <w:hyperlink r:id="rId620" w:history="1">
        <w:r>
          <w:rPr>
            <w:rFonts w:ascii="arial" w:eastAsia="arial" w:hAnsi="arial" w:cs="arial"/>
            <w:i/>
            <w:color w:val="0077CC"/>
            <w:sz w:val="20"/>
            <w:u w:val="single"/>
            <w:shd w:val="clear" w:color="auto" w:fill="FFFFFF"/>
            <w:lang w:val="en-US" w:eastAsia="en-US" w:bidi="ar-SA"/>
          </w:rPr>
          <w:t>[2000] O.J. No. 3821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clear that reliance is a material fact that must be pleaded as part of the cause of action. There is no allegation the plaintiffs knew of any alleged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attempt to justify this pleading on the basis that their claim is novel and novel claims ought not to be struck out. [Apotex Inc. v. Hoffmann La-Roche Ltd., </w:t>
      </w:r>
      <w:hyperlink r:id="rId621" w:history="1">
        <w:r>
          <w:rPr>
            <w:rFonts w:ascii="arial" w:eastAsia="arial" w:hAnsi="arial" w:cs="arial"/>
            <w:i/>
            <w:color w:val="0077CC"/>
            <w:sz w:val="20"/>
            <w:u w:val="single"/>
            <w:shd w:val="clear" w:color="auto" w:fill="FFFFFF"/>
            <w:lang w:val="en-US" w:eastAsia="en-US" w:bidi="ar-SA"/>
          </w:rPr>
          <w:t>[2000] O.J. No. 4732</w:t>
        </w:r>
      </w:hyperlink>
      <w:r>
        <w:rPr>
          <w:rFonts w:ascii="arial" w:eastAsia="arial" w:hAnsi="arial" w:cs="arial"/>
          <w:color w:val="000000"/>
          <w:sz w:val="20"/>
          <w:lang w:val="en-US" w:eastAsia="en-US" w:bidi="ar-SA"/>
        </w:rPr>
        <w:t xml:space="preserve">; Carom v. Bre-X Minerals Ltd., </w:t>
      </w:r>
      <w:hyperlink r:id="rId622" w:history="1">
        <w:r>
          <w:rPr>
            <w:rFonts w:ascii="arial" w:eastAsia="arial" w:hAnsi="arial" w:cs="arial"/>
            <w:i/>
            <w:color w:val="0077CC"/>
            <w:sz w:val="20"/>
            <w:u w:val="single"/>
            <w:shd w:val="clear" w:color="auto" w:fill="FFFFFF"/>
            <w:lang w:val="en-US" w:eastAsia="en-US" w:bidi="ar-SA"/>
          </w:rPr>
          <w:t>[1998] O.J. No. 1428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that novel claims existed in Apotex and Carom. This is not the case here. The plaintiffs have simply not alleged all the elements necessary to a cause of action known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If the failure to perfect the statutory cause of action by pleading reliance was inadvertent, leave to amend is granted. Failing an amendment pleading reliance the Competition Act pleading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When two persons are alleged jointly to have committed a tort or other wrong, a plea of conspiracy adds nothing and therefore is redundant. [Normart Management Ltd. v. West Hill Redevelopment Co., </w:t>
      </w:r>
      <w:hyperlink r:id="rId623" w:history="1">
        <w:r>
          <w:rPr>
            <w:rFonts w:ascii="arial" w:eastAsia="arial" w:hAnsi="arial" w:cs="arial"/>
            <w:i/>
            <w:color w:val="0077CC"/>
            <w:sz w:val="20"/>
            <w:u w:val="single"/>
            <w:shd w:val="clear" w:color="auto" w:fill="FFFFFF"/>
            <w:lang w:val="en-US" w:eastAsia="en-US" w:bidi="ar-SA"/>
          </w:rPr>
          <w:t>[2000] O.J. No. 1988</w:t>
        </w:r>
      </w:hyperlink>
      <w:r>
        <w:rPr>
          <w:rFonts w:ascii="arial" w:eastAsia="arial" w:hAnsi="arial" w:cs="arial"/>
          <w:color w:val="000000"/>
          <w:sz w:val="20"/>
          <w:lang w:val="en-US" w:eastAsia="en-US" w:bidi="ar-SA"/>
        </w:rPr>
        <w:t>; Ward v. Lewis [1955] 1 All E.R.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allegations of tortuous and other wrongs addressed in paragraph 46 of the Amended Statement of Claim are duplicitous of claims generally in the Amended Statement of Claim which are alleged to have been committed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application to strike paragraph 46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26 AND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allegation in paragraph 26 of the Amended Statement of Claim appears to float and not attach or connect as pleas of relevant fact with any other relevant portion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application to strike paragraph 26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complain that paragraph 55 contains no limiting or defining particulars. Without particularity the paragraph is unfairly wide, general and vague. If the plaintiffs do not amend to provide meaningful particularity within thirty days the paragraph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26,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My Reasons for Judgment dated March 20, 2003 in these matters are hereby amended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3 of the reasons, the word "plaintiff" shall be replaced with the word "defendants", so the paragraph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 I agree with counsel for the defendants that to enhance the clarity of the pleading as no claim in negligent misrepresentation is intended, the references to "promises" and "representations" in paragraphs 41 and 42 should be struck out as embarrassing.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22 of the reasons, the word "defendants" shall be replaced with the word "plaintiffs", and the spelling of the word "included" is corrected, so the paragraph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plaintiffs can draw no comfort from the line of authorities which included Murray v. Sperry Rand Corporation et al. </w:t>
      </w:r>
      <w:hyperlink r:id="rId414" w:history="1">
        <w:r>
          <w:rPr>
            <w:rFonts w:ascii="arial" w:eastAsia="arial" w:hAnsi="arial" w:cs="arial"/>
            <w:i/>
            <w:color w:val="0077CC"/>
            <w:sz w:val="20"/>
            <w:u w:val="single"/>
            <w:shd w:val="clear" w:color="auto" w:fill="FFFFFF"/>
            <w:lang w:val="en-US" w:eastAsia="en-US" w:bidi="ar-SA"/>
          </w:rPr>
          <w:t>(1979), 23 O.R. (2d) 456</w:t>
        </w:r>
      </w:hyperlink>
      <w:r>
        <w:rPr>
          <w:rFonts w:ascii="arial" w:eastAsia="arial" w:hAnsi="arial" w:cs="arial"/>
          <w:color w:val="000000"/>
          <w:sz w:val="20"/>
          <w:lang w:val="en-US" w:eastAsia="en-US" w:bidi="ar-SA"/>
        </w:rPr>
        <w:t xml:space="preserve">); Shanklin Pier LD. v. Detel Products LD., [1951] 2 K.B. 854; and Haley v. Ford Motor Co. of Canada Ltd. </w:t>
      </w:r>
      <w:hyperlink r:id="rId410" w:history="1">
        <w:r>
          <w:rPr>
            <w:rFonts w:ascii="arial" w:eastAsia="arial" w:hAnsi="arial" w:cs="arial"/>
            <w:i/>
            <w:color w:val="0077CC"/>
            <w:sz w:val="20"/>
            <w:u w:val="single"/>
            <w:shd w:val="clear" w:color="auto" w:fill="FFFFFF"/>
            <w:lang w:val="en-US" w:eastAsia="en-US" w:bidi="ar-SA"/>
          </w:rPr>
          <w:t>(1966), 57 D.L.R. (2d) 15</w:t>
        </w:r>
      </w:hyperlink>
      <w:r>
        <w:rPr>
          <w:rFonts w:ascii="arial" w:eastAsia="arial" w:hAnsi="arial" w:cs="arial"/>
          <w:color w:val="000000"/>
          <w:sz w:val="20"/>
          <w:lang w:val="en-US" w:eastAsia="en-US" w:bidi="ar-SA"/>
        </w:rPr>
        <w:t xml:space="preserve"> (S.C.C.); were an indirect form of inducement and reliance was found. Those circumstances are not pleaded and do not exist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Oyelese v. Sorensen, [2013] B.C.J. No. 1116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S87264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R.P.R. (5th)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1175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1573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Olutoyese Olufemi Oyelese and Denise Marie Oyelese, Plaintiffs, and Kenneth Sorensen, Defendant, and Wayne Cecil Dion and Lynda Maureen Dion,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2" w:name="Keywords_21"/>
      <w:bookmarkEnd w:id="192"/>
      <w:r>
        <w:rPr>
          <w:rFonts w:ascii="arial" w:eastAsia="arial" w:hAnsi="arial" w:cs="arial"/>
          <w:b/>
          <w:color w:val="000000"/>
          <w:sz w:val="20"/>
          <w:lang w:val="en-US" w:eastAsia="en-US" w:bidi="ar-SA"/>
        </w:rPr>
        <w:t>Real property law — Interests in land — Title — Boundaries — Encroachment — Remedies — Action in trespass and ejectment — Action by next-door neighbours for declaration of encroachment and order defendant remove pool allowed — Counterclaim requiring plaintiffs to transfer encroached portion of land dismissed — Encroachment arose from mistaken fence line erected by prior owners — Encroachment contained pool, fence and hedge, was inaccessible to plaintiffs so s. 36(2) Property Law Act applied — Defendant largely innocent, but ignored red flags in survey when purchasing property and, while removing pool would cause lost amenity and costs, he could relocate it — Plaintiffs innocent and unable to carry out construction plans without encroached area, which was substantial portion of yard.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3" w:name="Case Summary_21"/>
            <w:bookmarkEnd w:id="1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next-door neighbours of defendant for a declaration of encroachment and an order requiring the defendant to immediately move the pool and landscaping off their property. Counterclaim by the defendant for an order requiring the plaintiffs to transfer the encroached land to him for nominal compensation. The defendant had also commenced a third party claim against the previous owners, who sold him the property, on the basis of breach of contract and misrepresentation. The previous owners of both properties believed the original chain link fence in place marked the boundary, which was what the defendant believed when he purchased the property. The defendant was attracted to the landscaping and pool and asserted he would not have bought the property without it. The plaintiffs purchased the property with the intention to make improvements to their backyard in 2009. The plaintiffs then discovered their lot extended well beyond the chain link fence and the size of the encroachment was 1,636 square feet. The defendant argued that he and the plaintiffs were either equally innocent or equally negligent. The plaintiffs had agreed to bear the costs of other landscaping on the encroached area as long as the defendant removed the pool.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4" w:name="Holdings of Court_17"/>
            <w:bookmarkEnd w:id="194"/>
            <w:r>
              <w:rPr>
                <w:rFonts w:ascii="arial" w:eastAsia="arial" w:hAnsi="arial" w:cs="arial"/>
                <w:color w:val="000000"/>
                <w:sz w:val="20"/>
                <w:lang w:val="en-US" w:eastAsia="en-US" w:bidi="ar-SA"/>
              </w:rPr>
              <w:t>HELD: A fence, retaining wall and mature trees enclosed the encroached area so it was inaccessible to the plaintiffs and 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36(2) of the Property Law Act applied. The defendant was largely not at fault for the encroachment, but was the author of his misfortune to some extent. The defendant requested additional clarification on the location of the structures in the yard prior to purchasing and was given an unofficial, hand drawn survey that clearly contained errors and should have raised red flags, yet proceeded with the transaction. The defendant would suffer cost of around $50,000 to move the pool and lose a substantial amenity that attracted him to the property and that he had used for six years. The plaintiffs were not at fault for the encroachment. They were unable to fully realize their backyard plans unless they could use the encroached space. When they purchased the property, they were told the lot was 1/3 an acre and it would not be fair to saddle them with the suggestion that they should have known they were only paying for the yard as viewings indicated. The plaintiffs would not receive a windfall by being granted the relief sought. The encroached area was a significant percentage of the total property and a particularly significant portion for the usable yard. The plaintiffs had made a reasonable offer to bear the cost of removing structures other than the pool and there was no evidence the defendant could not relocate the pool. The balance of convenience favoured the plaintiffs. The plaintiffs were granted a declaration of encroachment and the defendant was to remove the encroaching pool and deck area and restore the land to a level state within 75 days. The counterclaim was dismissed but the defendant could proceed with the third party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5" w:name="Legislation Cited_13"/>
      <w:bookmarkEnd w:id="1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Act, </w:t>
      </w:r>
      <w:hyperlink r:id="rId631" w:history="1">
        <w:r>
          <w:rPr>
            <w:rFonts w:ascii="arial" w:eastAsia="arial" w:hAnsi="arial" w:cs="arial"/>
            <w:i/>
            <w:color w:val="0077CC"/>
            <w:sz w:val="20"/>
            <w:u w:val="single"/>
            <w:shd w:val="clear" w:color="auto" w:fill="FFFFFF"/>
            <w:lang w:val="en-US" w:eastAsia="en-US" w:bidi="ar-SA"/>
          </w:rPr>
          <w:t>RSBC 1996, CHAPTER 238, s. 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Property Law Act, </w:t>
      </w:r>
      <w:hyperlink r:id="rId632" w:history="1">
        <w:r>
          <w:rPr>
            <w:rFonts w:ascii="arial" w:eastAsia="arial" w:hAnsi="arial" w:cs="arial"/>
            <w:i/>
            <w:color w:val="0077CC"/>
            <w:sz w:val="20"/>
            <w:u w:val="single"/>
            <w:shd w:val="clear" w:color="auto" w:fill="FFFFFF"/>
            <w:lang w:val="en-US" w:eastAsia="en-US" w:bidi="ar-SA"/>
          </w:rPr>
          <w:t>RSBC 1996, CHAPTER 377, s. 36</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6" w:name="Counsel_31"/>
      <w:bookmarkEnd w:id="1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D.M. Rush.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D.M. Frechette.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behalf of the Third Parties: Wayne Cecil Dion.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7" w:name="Judgment_31"/>
      <w:bookmarkEnd w:id="197"/>
      <w:r>
        <w:pict>
          <v:line id="_x0000_s1172"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8" w:name="S.C. FITZPATRICK J."/>
            <w:bookmarkEnd w:id="198"/>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Olutoyese Oyelese and Denise Oyelese, and the defendant, Kenneth Sorensen, are next door neighbours in a Kelowna subdivision. Both greatly value and enjoy spending time in their backyards. The difficulty is that it has recently come to light that a portion of the pool and adjacent fence and landscaping that Mr. Sorensen enjoys in his backyard is, in fact, located on the Oyeleses'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Oleyeses seek a declaration that the encroachment exists, which is undisputed. They also seek an order that Mr. Sorensen immediately move the pool off their property at 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Sorensen filed a counterclaim seeking an order that the Oyeleses transfer to him the property on which these encroachments lie or alternatively, grant him an easement over that area, so that he may continue to enjoy his backyard in its present state. He is prepared to pay nominal compensation for either a transfer or an easement relating to this land area. He is also prepared to pay the costs associated with either of those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matters proceeded as summary trials, without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parties, Wayne Cecil Dion and Lynda Maureen Dion, are the previous property owners who sold their property to Mr. Sorensen. They are the persons who constructed the pool and installed the adjacent landscaping in the backyard. In the third party notice, Mr. Sorensen claims that if an encroachment exists, the Dions are liable for breach of contract and misrepresentation arising from the sale of the property to him. He claims whatever monetary losses he might suffer in relation to any of the following: (i) if he is successful against the Oyeleses, paying for the easement or the transfer of the property; (ii) if the Oyeleses are successful, the cost of relocating the fence, pool and landscaping; or (iii) if he is unsuccessful against the Oyeleses and he chooses not to relocate the pool, fence and landscaping, any loss of value to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Sorensen also filed a summary trial application against the Dions in the third party proceedings. Unfortunately, Mr. and Mrs. Dion did not file any materials to respond to that summary trial application. As it turned out, there was insufficient time to consider Mr. Sorensen's claims in the third party proceedings and no arguments were made by any party. That matter will be addressed at a later time, particularly once the results of the main issues arising between the Oyeleses and Mr. Sorensen are decided. The Dions may choose to present evidence at that time and make arguments in support of their defence to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Accordingly, nothing in these reasons is intended to address the merits of the issues arising between Mr. Sorensen and the Dions.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1998, a developer created a new Kelowna subdivision, which included two adjacent lots on Raven Drive. At that time, the Dions purchased what was then the bare lot located at 288 Raven Drive. Mr. and Ms. Sarris purchased the lot adjacent to the Dion lot at 282 Raven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Sometime in the fall of 1998, a chain link fence was installed between the Dion lot and the Sarris lot. It is not clear who installed this fence, although it is my understanding that it is no longer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2001 or 2002, the Dions arranged for the construction and installation of an in-ground swimming pool on their property. As part of this new installation, they constructed a patio by the pool and performed landscaping in the area near the pool, including planting a cedar hedge along the fence line. Furthermore, as there was a natural slope from the Sarris lot down to the Dion property, they built a retaining wall in the area. The Dions also installed another chain link fence close to and along the original chain link fence. It is this second chain link fence that remains in place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Dions and the Sarrises always understood and believed that the original chain link fence marked the boundary between their properties. The Sarrises actually made some contribution to the cost of the chain link fence installed by the Dions.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July 2007, Mr. Sorensen purchased the property at 288 Raven Drive from the Dions.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2008, the Sarris family sold their property to the Curtis family who, in turn, sold it to the Oyeleses in June 2009. After they purchased the property, the Oyeleses completed certain improvements to the backyard. As part of their development efforts, they discovered in late 2009 that the size of their lot extended well beyond the Dion chain link fence that they had originally thought marked the northern boundary of their lot from that of Mr. Sorensen.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size of the encroachment area is 0.0376 acres (or 1,636 square feet or 152 square metres). It is a long and narrow pie-shape piece of land that begins at or near Raven Drive and gets gradually wider as you move further away from Raven Drive. Due to the natural slope going down from the Oyelese's property to Mr. Sorensen's property, the difference in elevation between the two properties is approximately 12 feet at the narrower end near Raven Drive and approximately 5 feet at the wider end of the encroachment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applicable statutory provision is s. 36(2)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36(2) If, on the survey of land, it is found that a building on it encroaches on adjoining land, or a fence has been improperly located so as to enclose adjoining land, the Supreme Court may on application</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that the owner of the land has for the period the court determines and on making the compensation to the owner of the adjoining land that the court determines, an easement on the land encroached on or enclosed,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vest title to the land encroached on or enclosed in the owner of the land encroaching or enclosing, on making the compensation that the court determines, or</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owner to remove the encroachment or the fence so that it no longer encroaches on or encloses any part of the adjoining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first issue that arises is whether s. 36(2)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engaged. If so, the court must then consider the relevant factors toward deciding where the balance of convenience lies, which party is entitled to a remedy, and what remedy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 there a "fence" that "encloses adjoining land", as contemplated by s.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36(2)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only engaged when the encroachment consists of a "building" or relates to a "fence" that has been "improperly located so as to enclose adjoining land". It is common ground that the encroachments here include the fence, a swimming pool, and landscaping around one end of the pool, and that they do not meet the definition of a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clear in this case that the chain link fence essentially cuts off an area of land from the Oyeleses' property. It extends from the correct property line between the two lots on Raven Drive, or near it, and continues for the length of the Oyelese lot to the property boundary of their neighbour to the west, creating a wedge of land as the encroaching area. The encroaching chain link fence does not itself truly "surround" the encroaching area, however. On that western boundary, the neighbour has his own chain link fence on his side of the property that borders the encroachment area. Mr. Sorensen also has a wooden fence from the end of that neighbour's fence which continues north along the back of his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Oyeleses argue that the encroaching fence must define or "enclose" the encroaching area in that the fence must be wholly located within that area. They say that the fence on the neighbour's lot to the west has nothing to do with the Oyeleses' lot, and thus it cannot be considered as part of the encroaching fence by which the area is "enclosed". Further, Mr. Sorensen's own wooden fence at the back does not extend to the encroachment area. Therefore, they say that the definition under s. 36(2)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cannot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in accordance with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to be construed as "remedial" and is to be given a "fair, large and liberal construction and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Svenson v. Hokhold</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[1993] B.C.J. No. 859</w:t>
        </w:r>
      </w:hyperlink>
      <w:r>
        <w:rPr>
          <w:rFonts w:ascii="arial" w:eastAsia="arial" w:hAnsi="arial" w:cs="arial"/>
          <w:color w:val="000000"/>
          <w:sz w:val="20"/>
          <w:lang w:val="en-US" w:eastAsia="en-US" w:bidi="ar-SA"/>
        </w:rPr>
        <w:t xml:space="preserve"> (C.A.), the court addressed the preliminary issue of whether a "fence" was present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that case, an encroaching fence was located between the two properties and had resulted in a driveway being constructed that was also encroaching. When the issue arose between the parties, however, some of the fence had fallen down. The trial judge found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still applied because the fence was still standing in part and s. 36(2) contemplated that the fence may no longer be present. The Court of Appeal, at para. 7, upheld this finding as being consistent with a purposive interpretation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Vineberg v. Rerick</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[1995] B.C.J. No. 2506</w:t>
        </w:r>
      </w:hyperlink>
      <w:r>
        <w:rPr>
          <w:rFonts w:ascii="arial" w:eastAsia="arial" w:hAnsi="arial" w:cs="arial"/>
          <w:color w:val="000000"/>
          <w:sz w:val="20"/>
          <w:lang w:val="en-US" w:eastAsia="en-US" w:bidi="ar-SA"/>
        </w:rPr>
        <w:t xml:space="preserve"> (S.C.), the lots were demarked by a fence, a hedge and trees. It was argued that since the fence had gaps and was no longer standing, no jurisdiction for relief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existed. Mr. Justice Leggatt rejected that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To interpret s. 32 in such a manner as to remove the Court's jurisdiction in this case is to defeat the purpose of the section. While the fence is no longer standing, it "had been improperly located" within the meaning of s. 32. Moreover, although the fence never did fully surround the area in question, I find that it did "enclose" the land for the purposes of the Act. To say otherwise would impose too strict a criteria on what has been construed as a section created to provide equitable relief. As in </w:t>
      </w:r>
      <w:r>
        <w:rPr>
          <w:rFonts w:ascii="arial" w:eastAsia="arial" w:hAnsi="arial" w:cs="arial"/>
          <w:i/>
          <w:color w:val="000000"/>
          <w:sz w:val="20"/>
          <w:lang w:val="en-US" w:eastAsia="en-US" w:bidi="ar-SA"/>
        </w:rPr>
        <w:t>Svenson</w:t>
      </w:r>
      <w:r>
        <w:rPr>
          <w:rFonts w:ascii="arial" w:eastAsia="arial" w:hAnsi="arial" w:cs="arial"/>
          <w:color w:val="000000"/>
          <w:sz w:val="20"/>
          <w:lang w:val="en-US" w:eastAsia="en-US" w:bidi="ar-SA"/>
        </w:rPr>
        <w:t>, the fence in this matter did cover "part of the area over which relief is sought". Also, it is clear the fence marked the boundaries as assumed by the parties. In constructing a new fence to link up the arbor, the respondent himself moved along the line delineated by the direction of the fence, and it was the position of the fence which provided the petitioner with the boundary line on which to build the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Barrow v. Landry</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[1998] B.C.J. No. 1601</w:t>
        </w:r>
      </w:hyperlink>
      <w:r>
        <w:rPr>
          <w:rFonts w:ascii="arial" w:eastAsia="arial" w:hAnsi="arial" w:cs="arial"/>
          <w:color w:val="000000"/>
          <w:sz w:val="20"/>
          <w:lang w:val="en-US" w:eastAsia="en-US" w:bidi="ar-SA"/>
        </w:rPr>
        <w:t xml:space="preserve"> (S.C.), a retaining wall encroached on the neighboring property along almost the full length of the lot line. Mr. Justice Clancy found that the retaining wall was a fence: see paras. 13-23. In addition, at para. 22, Clancy J. stated: "I think it self-evident that if the wall is a fence and it has the effect of incorporating some of Mr. Landry's property with that of Mrs. Barrow, it can be said to surround the encroached area and thus 'enclose' the adjoining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final case relevant to this issue is </w:t>
      </w:r>
      <w:r>
        <w:rPr>
          <w:rFonts w:ascii="arial" w:eastAsia="arial" w:hAnsi="arial" w:cs="arial"/>
          <w:i/>
          <w:color w:val="000000"/>
          <w:sz w:val="20"/>
          <w:lang w:val="en-US" w:eastAsia="en-US" w:bidi="ar-SA"/>
        </w:rPr>
        <w:t>Langley v. Yang</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2012 BCSC 1520</w:t>
        </w:r>
      </w:hyperlink>
      <w:r>
        <w:rPr>
          <w:rFonts w:ascii="arial" w:eastAsia="arial" w:hAnsi="arial" w:cs="arial"/>
          <w:color w:val="000000"/>
          <w:sz w:val="20"/>
          <w:lang w:val="en-US" w:eastAsia="en-US" w:bidi="ar-SA"/>
        </w:rPr>
        <w:t xml:space="preserve">. After citing </w:t>
      </w:r>
      <w:r>
        <w:rPr>
          <w:rFonts w:ascii="arial" w:eastAsia="arial" w:hAnsi="arial" w:cs="arial"/>
          <w:i/>
          <w:color w:val="000000"/>
          <w:sz w:val="20"/>
          <w:lang w:val="en-US" w:eastAsia="en-US" w:bidi="ar-SA"/>
        </w:rPr>
        <w:t>Epp v. Gartside</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2011 BCSC 1687</w:t>
        </w:r>
      </w:hyperlink>
      <w:r>
        <w:rPr>
          <w:rFonts w:ascii="arial" w:eastAsia="arial" w:hAnsi="arial" w:cs="arial"/>
          <w:color w:val="000000"/>
          <w:sz w:val="20"/>
          <w:lang w:val="en-US" w:eastAsia="en-US" w:bidi="ar-SA"/>
        </w:rPr>
        <w:t xml:space="preserve">, which described the "elasticity" of what constitutes a "building" or "fence" within the meaning of s. 36(2), the court had no difficulty in deciding that an aggregation of large stones around a patio constituted a "fence"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paras. 15-19.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encroaching fence here clearly demarks what the parties previously considered to be their property boundary. It is located along the entire width of the Oyelese property from Raven Drive to the western boundary. The fence is also supplemented by a retaining wall and what are now mature cedar trees along the fence line on Mr. Sorensen's "side" of the fence. To that extent, it is evident that as between the Oyeleses and Mr. Sorensen, all of these structures, including the fence, "enclose" the encroachment area so that it is contained in what was considered to be Mr. Sorensen's backyard. Beyond the fence, all of these structures are not accessible to the Oyeleses from their side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reject the suggestion that the chain link fence does not meet the definition of a "fence"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because it does not continue along the open end of the wedge area on the western boundary. As the court stated in </w:t>
      </w:r>
      <w:r>
        <w:rPr>
          <w:rFonts w:ascii="arial" w:eastAsia="arial" w:hAnsi="arial" w:cs="arial"/>
          <w:i/>
          <w:color w:val="000000"/>
          <w:sz w:val="20"/>
          <w:lang w:val="en-US" w:eastAsia="en-US" w:bidi="ar-SA"/>
        </w:rPr>
        <w:t>Barrow</w:t>
      </w:r>
      <w:r>
        <w:rPr>
          <w:rFonts w:ascii="arial" w:eastAsia="arial" w:hAnsi="arial" w:cs="arial"/>
          <w:color w:val="000000"/>
          <w:sz w:val="20"/>
          <w:lang w:val="en-US" w:eastAsia="en-US" w:bidi="ar-SA"/>
        </w:rPr>
        <w:t>, the placement of the chain link fence and the related structures had the effect of incorporating a portion of the Oyelese property with that of Mr. Sorensen.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interpretation proposed by the Oyeleses is not consistent with a fair, large and liberal construction and interpretation that ensures that the objects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attained -- namely, to resolve neighborhood disputes about encroachments based on equitable principles. Accordingly, I find that there is a "fence improperly located so as to enclose" the Oyeleses' property and that s. 36(2)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Applicable principles under s.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Vineberg</w:t>
      </w:r>
      <w:r>
        <w:rPr>
          <w:rFonts w:ascii="arial" w:eastAsia="arial" w:hAnsi="arial" w:cs="arial"/>
          <w:color w:val="000000"/>
          <w:sz w:val="20"/>
          <w:lang w:val="en-US" w:eastAsia="en-US" w:bidi="ar-SA"/>
        </w:rPr>
        <w:t xml:space="preserve"> at para. 20, the court articulated the balance of convenience test to be applied in considering an application under s. 36(2), outlining the relevant factors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comprehension of the property lines: Were the parties cognizant of the correct boundary line before the encroachment became an issue? There are three degrees of knowledge: honest belief,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The party seeking the easement should have an honest belief to be awarded this remedy.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encroachment: Was the encroachment a lasting improvement? What is the effort and cost involved in moving the improvement? What is its effect on the properties in question? The more fixed the improvement, and the more costly and cumbersome it would be to move it, the more these considerations will be weighed in favour of the petitioner.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encroachment: How does the encroachment affect the properties, in terms of both their present and future value and use? These questions serve to balance the potential losses and gains of the creation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Court has stated on numerous occasions that the court's discretion under s. 36(2) should be "lightly exercised" and that the moving party must show that the balance of convenience is "decidedly in its favour": see </w:t>
      </w:r>
      <w:r>
        <w:rPr>
          <w:rFonts w:ascii="arial" w:eastAsia="arial" w:hAnsi="arial" w:cs="arial"/>
          <w:i/>
          <w:color w:val="000000"/>
          <w:sz w:val="20"/>
          <w:lang w:val="en-US" w:eastAsia="en-US" w:bidi="ar-SA"/>
        </w:rPr>
        <w:t>Robertson v. Naramata Resorts Ltd.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2005 BCSC 467</w:t>
        </w:r>
      </w:hyperlink>
      <w:r>
        <w:rPr>
          <w:rFonts w:ascii="arial" w:eastAsia="arial" w:hAnsi="arial" w:cs="arial"/>
          <w:color w:val="000000"/>
          <w:sz w:val="20"/>
          <w:lang w:val="en-US" w:eastAsia="en-US" w:bidi="ar-SA"/>
        </w:rPr>
        <w:t xml:space="preserve"> at para. 12, citing </w:t>
      </w:r>
      <w:r>
        <w:rPr>
          <w:rFonts w:ascii="arial" w:eastAsia="arial" w:hAnsi="arial" w:cs="arial"/>
          <w:i/>
          <w:color w:val="000000"/>
          <w:sz w:val="20"/>
          <w:lang w:val="en-US" w:eastAsia="en-US" w:bidi="ar-SA"/>
        </w:rPr>
        <w:t>McNutt and McNutt v. Tedder and Tedder</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(1982), 34 B.C.L.R. 145</w:t>
        </w:r>
      </w:hyperlink>
      <w:r>
        <w:rPr>
          <w:rFonts w:ascii="arial" w:eastAsia="arial" w:hAnsi="arial" w:cs="arial"/>
          <w:color w:val="000000"/>
          <w:sz w:val="20"/>
          <w:lang w:val="en-US" w:eastAsia="en-US" w:bidi="ar-SA"/>
        </w:rPr>
        <w:t xml:space="preserve"> at 147 (S.C.), and </w:t>
      </w:r>
      <w:r>
        <w:rPr>
          <w:rFonts w:ascii="arial" w:eastAsia="arial" w:hAnsi="arial" w:cs="arial"/>
          <w:i/>
          <w:color w:val="000000"/>
          <w:sz w:val="20"/>
          <w:lang w:val="en-US" w:eastAsia="en-US" w:bidi="ar-SA"/>
        </w:rPr>
        <w:t>United City Properties Ltd. v. Tong</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2010 BCSC 111</w:t>
        </w:r>
      </w:hyperlink>
      <w:r>
        <w:rPr>
          <w:rFonts w:ascii="arial" w:eastAsia="arial" w:hAnsi="arial" w:cs="arial"/>
          <w:color w:val="000000"/>
          <w:sz w:val="20"/>
          <w:lang w:val="en-US" w:eastAsia="en-US" w:bidi="ar-SA"/>
        </w:rPr>
        <w:t xml:space="preserve"> at para. 86. These cases relied on the original comments of the Ontario Court of Appeal to that effect in </w:t>
      </w:r>
      <w:r>
        <w:rPr>
          <w:rFonts w:ascii="arial" w:eastAsia="arial" w:hAnsi="arial" w:cs="arial"/>
          <w:i/>
          <w:color w:val="000000"/>
          <w:sz w:val="20"/>
          <w:lang w:val="en-US" w:eastAsia="en-US" w:bidi="ar-SA"/>
        </w:rPr>
        <w:t>Gay v. Wierzbicki</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[1967] 2 O.R. 211</w:t>
        </w:r>
      </w:hyperlink>
      <w:r>
        <w:rPr>
          <w:rFonts w:ascii="arial" w:eastAsia="arial" w:hAnsi="arial" w:cs="arial"/>
          <w:color w:val="000000"/>
          <w:sz w:val="20"/>
          <w:lang w:val="en-US" w:eastAsia="en-US" w:bidi="ar-SA"/>
        </w:rPr>
        <w:t xml:space="preserve"> at 215 (C.A.), in support of what can be described as a restrictive approach to the application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Taylor v. Hoskin</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2006 BCCA 39</w:t>
        </w:r>
      </w:hyperlink>
      <w:r>
        <w:rPr>
          <w:rFonts w:ascii="arial" w:eastAsia="arial" w:hAnsi="arial" w:cs="arial"/>
          <w:color w:val="000000"/>
          <w:sz w:val="20"/>
          <w:lang w:val="en-US" w:eastAsia="en-US" w:bidi="ar-SA"/>
        </w:rPr>
        <w:t xml:space="preserve">, the court affirmed that the principles from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continue to be relevant to the interpretation and application of s. 36(2): paras. 50-53. The principles are to be applied in the context of the words and intent of that section. The court expressly held that the more restrictive approach cited in </w:t>
      </w:r>
      <w:r>
        <w:rPr>
          <w:rFonts w:ascii="arial" w:eastAsia="arial" w:hAnsi="arial" w:cs="arial"/>
          <w:i/>
          <w:color w:val="000000"/>
          <w:sz w:val="20"/>
          <w:lang w:val="en-US" w:eastAsia="en-US" w:bidi="ar-SA"/>
        </w:rPr>
        <w:t>Gay</w:t>
      </w:r>
      <w:r>
        <w:rPr>
          <w:rFonts w:ascii="arial" w:eastAsia="arial" w:hAnsi="arial" w:cs="arial"/>
          <w:color w:val="000000"/>
          <w:sz w:val="20"/>
          <w:lang w:val="en-US" w:eastAsia="en-US" w:bidi="ar-SA"/>
        </w:rPr>
        <w:t xml:space="preserve">, as adopted by many later British Columbia authorities, including those cited above, is to be rejected in favour of a "broad, equitable approach" to the application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also made it clear that each individual case must be determined based on the particular facts, circumstances and equities involved. As such, the exercise of the court's discretion will be dictated by the individual facts, circumstances and equities arising in each case: para. 51. Thus, as the court noted, Leggatt J.'s principles from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are only "predominant considerations" and will not foreclose a consideration of other relevant factors that may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will address all three factors cited in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Knowledge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stated above, after moving from Calgary in 2007, Mr. Sorensen purchased his property at 288 Raven Drive from the Dions. He indicates that when he first viewed the property, he was particularly attracted to the backyard, including the pool and the landscaping. He liked the privacy of the backyard, having noticed that it was "completely fenced". These were critical factors leading to his purchase; he says that he would not have bought the property if there was no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Unsurprisingly, he believed that the fence and the cedar hedge marked the southern boundary of the property adjacent to the property next door at 282 Raven Drive. He did not speak to anyone in the Sarris family regarding the boundary at the time or even after; it is well taken, however, that they were equally unaware of the actual property line and that they voiced no objections when the Dions completed the improvements to their backyard. Similarly, it appears that the Curtis family voiced no objections about the boundary, as they were unaware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extent and quality of Mr. Sorensen's due diligence before he purchased the property in relation to the actual boundary is somewhat in dispute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February 2007, Mr. Sorensen obtained a Property Disclosure Statement from the Dions, which stated that they were not aware of any encroachments, unregistered easements, or unregistered rights-of-way.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 May 25, 2007, the Dions and Mr. Sorensen executed a Contract of Purchase and Sale for the sale and purchase of the Dion property. The purchase price was $829,000, which is stated to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"any buildings, improvements, fixtures ... as viewed by the buyer at the time of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Nevertheless, it appears that Mr. Sorensen was not satisfied with the disclosure relating to the property. On July 20, 2007, in conjunction with the sale, the Dions produced a Statutory Declaration. Attached to that Declaration is a photocopy of a survey certificate prepared by a land surveyor on September 18, 1998. The Dions declare in this Declaration that this attached Survey Certificate "correctly reflects the current status of the Property", with the Property being defined as the lands and premises at 288 Raven Drive and by reference to the legal description of the property. Finally, the Dions declare that "there have been no additions, renovations or changes to the exterior of the house since the date of the original Survey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difficulty is that even a cursory review of the attached Survey Certificate suggests that it is less than an official document and is incorrect in a major respect particularly relevant to the encroachments. Having the original Survey Certificate in hand from 1998, it appears that someone (I am told Mr. Dion) proceeded to "hand draw" a swimming pool on that Survey Certificate along with further handwritten additions showing distances from the pool to the house, to the back property line, and finally, to the boundary with the adjacent lot. The handwriting appears to show a distance of some 12 feet from the pool to the southern lot boundary line. The drawing of the pool is even in the wrong shape -- it shows the pool as a rectangle, as opposed to the correct kidney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Despite this discrepancy, on July 24, 2007, Mr. Sorensen completed the sale. There is no evidence of whether he reviewed the Statutory Declaration and the attached Survey Certificate and, if so, whether he noticed these discrepancies. In any event, Mr. Sorensen states that he honestly believed that he was purchasing the property with the backyard area, including the pool and adjacent landscaping.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Some two years later in 2009, the Oyeleses were also coincidentally moving from Calgary and came to Kelowna looking to purchase a family home. They viewed 282 Raven Drive twice and would have observed, from the deck, the adjacent property at 288 Raven Drive to some extent, including what is known to be the encroachment area. When they purchased their property in June 2009, they had plans to develop the backyard area to include a swimming pool, gazebo, waterfall and gardens. They had been told that the property comprised about a third of an acre.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Oyeleses would not have purchased the property had they known that they could not make these improvements to the backyard. They did not obtain a survey of 288 Raven Drive, although the Contract of Purchase and Sale allowed them to either obtain one from the Curtis family or obtain one at their own expense. In any event, there was nothing arising from the purchase to indicate that any issues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September 2009, after purchasing the property, the Oyeleses set about arranging for the installation of their pool, including obtaining a building permit. As part of that process, they discovered the encroachments, including that part of Mr. Sorensen's pool was located on their property. They confirmed their initial discovery by obtaining a formal Encroachment Certificate, which was then forwarded to Mr. Sorensen on November 10, 2009. The Oyeleses requested that the encroachments be removed within 90 days or such other time as may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summer of 2010, the Oyeleses' swimming pool was finished. This construction involved the relocation of their septic field and tank to another area of the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Sorensen submits that two possibilities exist: (i) both he and the Oyeleses were equally innocent as far as their conduct at the time they purchased their respective properties; or (ii) they were equally negligent in failing to investigate and ascertain the boundaries of their respective properties before removing the conditions precedent to completing the sale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consider that, to a large extent, both the Oyeleses and Mr. Sorensen are equally innocent in this unfortunate situation. Both bought their properties thinking that the encroachments were part of Mr. Sorensen's property. The fault seems to lie with the original location of the chain link fence and the Dions' reliance on that fence to demarcate the property line, together with a lack of independent verification of the property line when the Dion pool was installed. In this regard, Mr. Sorensen relies on the following comments of the court in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...Furthermore, while it may be advisable for individuals to conduct a survey on property they intend to purchase, I do not find that the petitioner was negligent in not determining the proper boundary before he purchased the property. When he purchased the property, he had no specific reason to have a survey completed and, at the time, the property line seemed clearly marked.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Whether the Dions were negligent or not remains to be seen, although the remarks of the court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at para. 11, are apposite: "no reasonable person ... would have embarked upon an expensive landscaping project without establishing the boundary by means of a proper survey". Whether they were negligent stands to be determined, of course, in relation to their dealings with Mr. Sorensen.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Overall, however, I consider that Mr. Sorensen is, to some extent, the author of his own misfortune, since he specifically sought and obtained clarification concerning the location of the structures in the backyard, including the pool, and had the opportunity to see that the Survey Certificate was not an official document. The "homemade" Survey Certificate might have raised red flags for his consideration before proceeding to close the transaction. In essence, he knew or should have known that he was relying solely on the statements of the Dions concerning the location of the pool, rather than those of a land surveyor.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Sorensen clearly was alive to the issue of confirming not only the accuracy of the location of the house on the survey, but also the "current status of the Property", through this Survey Certificate. He clearly now has an issue with the Dions arising from his purchase of the property. While he may, as he states, be held responsible for the "mistakes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if he is unsuccessful in his counterclaim, he may also obtain relief through the third party proceedings. I have some sympathy for the position of the Oyeleses that they should not suffer in the circumstances, by the forced transfer of their land, in order to relieve Mr. Sorensen of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wish to emphasize that even if some fault can be laid at the feet of Mr. Sorensen, it is but one factor to consider and is not determinative of the disposition of the issue: </w:t>
      </w:r>
      <w:r>
        <w:rPr>
          <w:rFonts w:ascii="arial" w:eastAsia="arial" w:hAnsi="arial" w:cs="arial"/>
          <w:i/>
          <w:color w:val="000000"/>
          <w:sz w:val="20"/>
          <w:lang w:val="en-US" w:eastAsia="en-US" w:bidi="ar-SA"/>
        </w:rPr>
        <w:t>Gainer v. Widsten</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2006 BCCA 580</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Nature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more permanent the nature of the improvement, the more this factor will favour the party seeking to obtain rights to the encroachment area: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Buildings are obviously, for the most part, intended to be of such a lasting nature. Many of the cases cited to me involved buildings and support, at least in part, the relief granted: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Gainer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Bayer v. Kehran Farms Inc.</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(1996), 83 B.C.A.C. 109</w:t>
        </w:r>
      </w:hyperlink>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[1996] B.C.J. No. 2310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Epp v. Franson</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2008 BCSC 1133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Sidiropoulos v. Sullivan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2002 BCSC 1271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Even where there are multiple structures and an easement is held to be appropriate for the buildings, the court may order that certain less permanent structures, such as mobile buildings or fences, be removed: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at para. 24; and </w:t>
      </w:r>
      <w:r>
        <w:rPr>
          <w:rFonts w:ascii="arial" w:eastAsia="arial" w:hAnsi="arial" w:cs="arial"/>
          <w:i/>
          <w:color w:val="000000"/>
          <w:sz w:val="20"/>
          <w:lang w:val="en-US" w:eastAsia="en-US" w:bidi="ar-SA"/>
        </w:rPr>
        <w:t>Bayer</w:t>
      </w:r>
      <w:r>
        <w:rPr>
          <w:rFonts w:ascii="arial" w:eastAsia="arial" w:hAnsi="arial" w:cs="arial"/>
          <w:color w:val="000000"/>
          <w:sz w:val="20"/>
          <w:lang w:val="en-US" w:eastAsia="en-US" w:bidi="ar-SA"/>
        </w:rPr>
        <w:t xml:space="preserve"> at paras. 16-18.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little doubt that the pool can be described as a fixed and lasting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Oyeleses submit, however, that the same cannot be said about the fence, retaining wall and the mature cedar trees. They cite a number of cases dismissing applications for relief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where the structures were less "lasting".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Ferguson v. Lepine</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(1982), 31 B.C.L.R. 307</w:t>
        </w:r>
      </w:hyperlink>
      <w:r>
        <w:rPr>
          <w:rFonts w:ascii="arial" w:eastAsia="arial" w:hAnsi="arial" w:cs="arial"/>
          <w:color w:val="000000"/>
          <w:sz w:val="20"/>
          <w:lang w:val="en-US" w:eastAsia="en-US" w:bidi="ar-SA"/>
        </w:rPr>
        <w:t xml:space="preserve"> (S.C.), rev'd in large part for other relevant reasons </w:t>
      </w:r>
      <w:hyperlink r:id="rId648" w:history="1">
        <w:r>
          <w:rPr>
            <w:rFonts w:ascii="arial" w:eastAsia="arial" w:hAnsi="arial" w:cs="arial"/>
            <w:i/>
            <w:color w:val="0077CC"/>
            <w:sz w:val="20"/>
            <w:u w:val="single"/>
            <w:shd w:val="clear" w:color="auto" w:fill="FFFFFF"/>
            <w:lang w:val="en-US" w:eastAsia="en-US" w:bidi="ar-SA"/>
          </w:rPr>
          <w:t>(1982) 41 B.C.L.R. 263</w:t>
        </w:r>
      </w:hyperlink>
      <w:r>
        <w:rPr>
          <w:rFonts w:ascii="arial" w:eastAsia="arial" w:hAnsi="arial" w:cs="arial"/>
          <w:color w:val="000000"/>
          <w:sz w:val="20"/>
          <w:lang w:val="en-US" w:eastAsia="en-US" w:bidi="ar-SA"/>
        </w:rPr>
        <w:t xml:space="preserve"> (C.A.), the court found that a fence, movable tool shed and partially in-ground swimming pool were moveable and did not justify relief: paras. 5-7. In </w:t>
      </w:r>
      <w:r>
        <w:rPr>
          <w:rFonts w:ascii="arial" w:eastAsia="arial" w:hAnsi="arial" w:cs="arial"/>
          <w:i/>
          <w:color w:val="000000"/>
          <w:sz w:val="20"/>
          <w:lang w:val="en-US" w:eastAsia="en-US" w:bidi="ar-SA"/>
        </w:rPr>
        <w:t>Manita Investments v. T.T.D. Management Services</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2001 BCCA 334</w:t>
        </w:r>
      </w:hyperlink>
      <w:r>
        <w:rPr>
          <w:rFonts w:ascii="arial" w:eastAsia="arial" w:hAnsi="arial" w:cs="arial"/>
          <w:color w:val="000000"/>
          <w:sz w:val="20"/>
          <w:lang w:val="en-US" w:eastAsia="en-US" w:bidi="ar-SA"/>
        </w:rPr>
        <w:t xml:space="preserve">, the court upheld an order refusing to transfer certain parking spots, which could be accommodated on the other property: paras. 14-15. In </w:t>
      </w:r>
      <w:r>
        <w:rPr>
          <w:rFonts w:ascii="arial" w:eastAsia="arial" w:hAnsi="arial" w:cs="arial"/>
          <w:i/>
          <w:color w:val="000000"/>
          <w:sz w:val="20"/>
          <w:lang w:val="en-US" w:eastAsia="en-US" w:bidi="ar-SA"/>
        </w:rPr>
        <w:t>McNutt</w:t>
      </w:r>
      <w:r>
        <w:rPr>
          <w:rFonts w:ascii="arial" w:eastAsia="arial" w:hAnsi="arial" w:cs="arial"/>
          <w:color w:val="000000"/>
          <w:sz w:val="20"/>
          <w:lang w:val="en-US" w:eastAsia="en-US" w:bidi="ar-SA"/>
        </w:rPr>
        <w:t xml:space="preserve">, the court refused to order a transfer of property which simply included certain rock retaining walls, a chain link fence, and lawn and shrubs: paras. 6-7.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improvements such as a tennis court, fence and lamp posts were ordered removed where they could be easily relocated, though at "significant" cost: paras. 14-19. In </w:t>
      </w:r>
      <w:r>
        <w:rPr>
          <w:rFonts w:ascii="arial" w:eastAsia="arial" w:hAnsi="arial" w:cs="arial"/>
          <w:i/>
          <w:color w:val="000000"/>
          <w:sz w:val="20"/>
          <w:lang w:val="en-US" w:eastAsia="en-US" w:bidi="ar-SA"/>
        </w:rPr>
        <w:t>United City Properties</w:t>
      </w:r>
      <w:r>
        <w:rPr>
          <w:rFonts w:ascii="arial" w:eastAsia="arial" w:hAnsi="arial" w:cs="arial"/>
          <w:color w:val="000000"/>
          <w:sz w:val="20"/>
          <w:lang w:val="en-US" w:eastAsia="en-US" w:bidi="ar-SA"/>
        </w:rPr>
        <w:t>, the court found that the encroaching driveway and granite wall could be relocated to the other property despite the significant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therefore, some basis for the Oyeleses to suggest that but for the pool, the court would be more inclined to order that the encroaching structures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absolutely no evidence, however, to suggest that the pool cannot be moved over to Mr. Sorensen's true backyard. In fact, in September 2011, Mr. Sorensen obtained a quote in the amount of $52,006 plus taxes to fill in the old pool and construct a new pool. Mr. Sorensen also obtained a quote in October 2011 in the amount of $51,230 plus tax to remove all the other structures -- the chain link fence, retaining wall and cedar hedges -- and relocate them over to his property. The total cost of relocating all the encroaching structures therefore exceeds $109,000.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Sorensen states that he has no financial resources to pay for this work and that he is not able to obtain financing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response, and in an attempt to ameliorate any prejudice to Mr. Sorensen, the Oyeleses have now indicated that they do not require Mr. Sorensen to remove anything other than the pool. They will deal with the remaining structures on their own and will pay for the removal of any of the remaining structures should they choose to do so. I consider that this is a reasonable attempt to bridge the impasse and to find a "neighbourly" solution to this difficult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such, in order to remedy the encroachment problem, the only true financial consequences to Mr. Sorensen relates to removing the pool. Although one might suppose that it would be far less than $52,000, what that cost would be has not been addressed in the evidence. Nor has Mr. Sorensen stated whether he has the financial means to complete just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should be noted too that even if Mr. Sorensen is successful, he would be responsible to pay for all the survey and legal work that would be required to accomplish a transfer of or easement on the encroachment area. The estimated cost of that work was not in evidence; nonetheless, that amount can be balanced against the cost of removing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Furthermore, even if Mr. Sorensen chooses not to relocate the pool and other structures, there may be other financial consequences to him. He purchased the property as having a pool and the adjacent landscaping. There was no evidence on the point, but there may be a loss in value to his property in the event that the pool is removed. In addition, there will be a loss of privacy given that the existing cedar hedges will likely be removed, although that matter may be resolved over time if the correct boundary is established and both parties install some other means of protecting their respective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no doubt that the cost to Mr. Sorensen of relocating the pool and reinstalling similar other fixtures, such as the landscaping, would be substantial; but again, Mr. Sorensen has a claim against the Dions for any loss in that respect.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Size and Effect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pool, the size of the backyard, and the landscaping and the sense of privacy it created were the selling features that motivated Mr. Sorensen to purchase the property in the first place. As he stated, he would not have bought the property if it did not have the pool. Nor, of course, would he have paid the price that he did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Just how much effect the removal of the pool would have on Mr. Sorensen is somewhat uncertain. He has enjoyed his backyard now for some six years. He states that the pool has a special value to him and that a "lot of activity, especially in the summer, is centered around the pool". This statement is somewhat lacking in detail. Nevertheless, I accept that if Mr. Sorensen is required to remove the pool and allow the Oyeleses to take over the encroachment area, he will be substantially affected in terms of his enjoyment of his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already stated, the area of the encroachment is 0.0376 acres. Mr. Sorensen obtained an appraisal of the portion of the Oyelese's property that contains the encroachments. That appraised amount of this land value is in the range of $6,600-$7,800. His appraisal is consistent with the one obtained by the Oyeleses, which indicated a land value of $7,100. Mr. Sorensen proposes that he pay this appraised amount to obtain a transfer of the encroachment area or alternatively, an easement over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addition of this encroachment area to Mr. Sorensen's property stands as a significant improvement to his property. The Oyelese's appraisal indicates a value to Mr. Sorensen of retaining the encroachment area of $121,550, which comprises the costs saved from having to relocate all the structures and having to pay a management fee to perform the work, together with an increase in the value of the land. Notionally, however, Mr. Sorensen already "paid" for these improvements when he purchased the land from the Dions. Thus, a transfer or easement would simply confirm what he already thought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However, the potential harm (or potential benefit) to Mr. Sorensen must be balanced against the potential harm (or potential benefit) to the Oyeleses.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Sorensen asserts that the encroachment area has great value to him. I have no doubt about that. But he also states that this land would add little or no value to the Oyelese property and would be of "little use" to them, something which the Oyeleses adamantly deny.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Oyelese's evidence is that the use of the encroachment area is important to him and his family. He would never have purchased the property if he could not make his planned improvements to the property. Mr. Sorensen suggested in his evidence that the Oyeleses' plan to construct these other improvements in the area would require a substantial amount of work, including the building of a new retaining wall. Mr. Sorensen even submitted that this land was "inaccessible". Mr. Oyelese sees no problem with undertaking such efforts and, subject to the outcome of this action, he wishes to proceed with construction and bear the cost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their development work has progressed, the value of the encroachment area to the Oyeleses has increased substantially. The new swimming pool and septic field take up a large portion of their current backyard. They cannot construct anything upon or near the septic field, including their planned gazebo, waterfall and garden area. Mr. Oyelese states that "the only remaining area of our backyard where we can build these structures are the areas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review of the survey of the area confirms that, at present, the encroachment area is hardly insignificant to the Oyeleses. Mr. Oyelese says that the encroachment area takes up 13% of their total overall land and 60% of their remaining usable backyard (excluding the pool and septic area). Given these figures, and the undisputed plans of the Oyeleses for their property, it is clear that if they do not regain use of the encroachment area, their enjoyment of their backyard will be greatly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size of the encroachment area in relation to the Oyelese property is of concern here. In </w:t>
      </w:r>
      <w:r>
        <w:rPr>
          <w:rFonts w:ascii="arial" w:eastAsia="arial" w:hAnsi="arial" w:cs="arial"/>
          <w:i/>
          <w:color w:val="000000"/>
          <w:sz w:val="20"/>
          <w:lang w:val="en-US" w:eastAsia="en-US" w:bidi="ar-SA"/>
        </w:rPr>
        <w:t>Gainer</w:t>
      </w:r>
      <w:r>
        <w:rPr>
          <w:rFonts w:ascii="arial" w:eastAsia="arial" w:hAnsi="arial" w:cs="arial"/>
          <w:color w:val="000000"/>
          <w:sz w:val="20"/>
          <w:lang w:val="en-US" w:eastAsia="en-US" w:bidi="ar-SA"/>
        </w:rPr>
        <w:t xml:space="preserve">, the size of the encroachment area which was ordered transferred to the Gainers was about the same (1,750 square feet), but that was balanced against the overall size of Mr. Widsten's lot (around 2.7 acres). The other mitigating factor in </w:t>
      </w:r>
      <w:r>
        <w:rPr>
          <w:rFonts w:ascii="arial" w:eastAsia="arial" w:hAnsi="arial" w:cs="arial"/>
          <w:i/>
          <w:color w:val="000000"/>
          <w:sz w:val="20"/>
          <w:lang w:val="en-US" w:eastAsia="en-US" w:bidi="ar-SA"/>
        </w:rPr>
        <w:t>Gainer</w:t>
      </w:r>
      <w:r>
        <w:rPr>
          <w:rFonts w:ascii="arial" w:eastAsia="arial" w:hAnsi="arial" w:cs="arial"/>
          <w:color w:val="000000"/>
          <w:sz w:val="20"/>
          <w:lang w:val="en-US" w:eastAsia="en-US" w:bidi="ar-SA"/>
        </w:rPr>
        <w:t xml:space="preserve"> was that the cost of moving the encroaching workshop well exceeded the entire cost of Mr. Widsten's lot. Here, as Mr. Oyelese was told, his total lot size is about 1/3 of an acre. In </w:t>
      </w:r>
      <w:r>
        <w:rPr>
          <w:rFonts w:ascii="arial" w:eastAsia="arial" w:hAnsi="arial" w:cs="arial"/>
          <w:i/>
          <w:color w:val="000000"/>
          <w:sz w:val="20"/>
          <w:lang w:val="en-US" w:eastAsia="en-US" w:bidi="ar-SA"/>
        </w:rPr>
        <w:t>Manita Investments</w:t>
      </w:r>
      <w:r>
        <w:rPr>
          <w:rFonts w:ascii="arial" w:eastAsia="arial" w:hAnsi="arial" w:cs="arial"/>
          <w:color w:val="000000"/>
          <w:sz w:val="20"/>
          <w:lang w:val="en-US" w:eastAsia="en-US" w:bidi="ar-SA"/>
        </w:rPr>
        <w:t>, the court refused to transfer the encroachment area, which comprised some 25 percent of the affected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the Oyeleses purchased their property, it did not contain a pool. It was only after the installation of the pool and the relocation of the septic field that the need for more space for their planned improvements became apparent. I accept the proposition that when they purchased their property, they did not specifically know whether they would have the room for all of their dreamed improvements. That may be the case, but these improvements were always planned, if possible, and the need for more space, particularly from the encroachment area, is now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the petitioners were aware that the respondent's tennis court encroached on their property, yet they allowed it to continue without objection for some 13 years. Only later did they plan further developments on their own property, which required this extra space in the encroachment area. Madam Justice Garson found that it was not fatal to the application that the petitioners had not earlier demanded the removal of the encroaching structures: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Sorensen has relied on a number of cases where the court ordered a transfer of the property or granted an easement. In all these cases, the relative effect of the loss of the encroaching area to the original owner was an important factor in the exercise of the court's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Svenson</w:t>
      </w:r>
      <w:r>
        <w:rPr>
          <w:rFonts w:ascii="arial" w:eastAsia="arial" w:hAnsi="arial" w:cs="arial"/>
          <w:color w:val="000000"/>
          <w:sz w:val="20"/>
          <w:lang w:val="en-US" w:eastAsia="en-US" w:bidi="ar-SA"/>
        </w:rPr>
        <w:t xml:space="preserve">, the trial judge ordered a transfer of the property after finding that the strip of land had no "functional use" to the party who owned that strip of land: para. 13. In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the court granted an easement after finding that the party losing their rights to the land was not being forced to give up an "inordinate" amount of their total property and that they still had room in which to undertake an expansion of their home: paras. 25-27. In </w:t>
      </w:r>
      <w:r>
        <w:rPr>
          <w:rFonts w:ascii="arial" w:eastAsia="arial" w:hAnsi="arial" w:cs="arial"/>
          <w:i/>
          <w:color w:val="000000"/>
          <w:sz w:val="20"/>
          <w:lang w:val="en-US" w:eastAsia="en-US" w:bidi="ar-SA"/>
        </w:rPr>
        <w:t>Barrow</w:t>
      </w:r>
      <w:r>
        <w:rPr>
          <w:rFonts w:ascii="arial" w:eastAsia="arial" w:hAnsi="arial" w:cs="arial"/>
          <w:color w:val="000000"/>
          <w:sz w:val="20"/>
          <w:lang w:val="en-US" w:eastAsia="en-US" w:bidi="ar-SA"/>
        </w:rPr>
        <w:t xml:space="preserve">, the court granted an easement after finding that Mrs. Barrow's retaining wall did not adversely affect the use or value of Mr. Landry's land: paras. 28-29.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the court also reluctantly granted relief to the encroaching party, the Yangs, but only after finding that the area in dispute was not accessible or usable by the Langleys for any practical purpose: paras. 13, 27.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the trial judge ordered a transfer of the property after finding that Mrs. Taylor's use of the land did not inconvenience the Hoskins or preclude them from doing certain other works on their land: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All of these cases demonstrate circumstances where the effect on the "losing" owner was considerably less than what will be suffered by the Oyeleses in this case if they are forced to give up the encroachment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Mr. Sorensen also raises the point that the Oyeleses could not have reasonably expected to buy the encroachment area because when they viewed the property, they would have assumed, as did many others, that the boundary was the chain link fence. He argues that the price paid by the Oyeleses to purchase their property was based on the understanding that the encroachment area was not part of the property. Accordingly, citing </w:t>
      </w:r>
      <w:r>
        <w:rPr>
          <w:rFonts w:ascii="arial" w:eastAsia="arial" w:hAnsi="arial" w:cs="arial"/>
          <w:i/>
          <w:color w:val="000000"/>
          <w:sz w:val="20"/>
          <w:lang w:val="en-US" w:eastAsia="en-US" w:bidi="ar-SA"/>
        </w:rPr>
        <w:t>Gainer</w:t>
      </w:r>
      <w:r>
        <w:rPr>
          <w:rFonts w:ascii="arial" w:eastAsia="arial" w:hAnsi="arial" w:cs="arial"/>
          <w:color w:val="000000"/>
          <w:sz w:val="20"/>
          <w:lang w:val="en-US" w:eastAsia="en-US" w:bidi="ar-SA"/>
        </w:rPr>
        <w:t xml:space="preserve"> in support, he says that they have suffered no loss or disadvantage as a result of the alleged encroachments. In that case, Mr. Widsten was complaining about an encroaching workshop that he alleged would impair his ability to build on his lot. The court pointed out, however, that he ought to have been aware of that difficulty even before he purchased the property: paras. 17,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not agree, however, that the Oyeleses should be saddled with the suggestion that that they knew or should have known that they were only purchasing the backyard, as their initial and brief viewings indicated. This is so in light of the fact that the Oyeleses really did not know what the true legal boundaries of their property were. They just had a general idea that they were getting 1/3 of an acre. There is also no evidence about what the price of the Oyelese property would have been had the true boundary been known by either the Curtis family or the Oyeleses. Both parties ascribe only a nominal incremental land value to the encroachment area, which may or may not have been relevant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I reject Mr. Sorensen's suggestion that the Oyeleses will receive a "windfall" if they obtain access to the encroachment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Oyelese's appraisal also indicates that if the encroachments remain for the benefit of Mr. Sorensen and an easement is granted, he will suffer a market decrease and loss of land value totaling $54,000. I would note, however, that a transfer of the encroachment area to Mr. Sorensen would remove any lingering issues about encroachments and any concerns about future issues between neighbours that might affect land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This is a difficult and unfortunate case. I consider that the balance of convenience is closely balanced as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Mr. Sorensen's side, he is largely not at fault. If he is required to remove the pool, he will suffer the cost of doing so and will lose a substantial recreational amenity that he thought he had purchased some time ago and which he has enjoyed for the last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for the Oyeleses, they are also not at fault. It is particularly important to me that there is no evidence that the pool cannot be relocated. Unfortunately, the Oyeleses are not equally in that position. Their plans for their backyard cannot be fully realized without access to the encroachment area. The loss of that area stands as a significant percentage of their total property area and, more particularly, the remaining usable area of their backyard. They have made a reasonable offer to bear the costs of removing the structures other than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Based on all the foregoing, I find that the balance of convenience favours the Oyeleses.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Accordingly, the Oyeleses are entitled to a declaration that the swimming pool, associated structures, fence and hedge encroach on their property at 282 Raven Drive, Kelowna, British Columbia. There will be an order that Mr. Sorensen remove the swimming pool and associated deck area only as it is located in the encroachment area. He will be required to restore the land now occupied by the encroaching end of the swimming pool and deck to a level state. No submissions were made on how long would be needed to accomplish that removal and filling in of the pool area, but I consider that 75 days should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Other than the removal and filling in of the pool area, Mr. Sorensen is not responsible for removing any of the remaining structures in the encroachment area. Nor is he required to restore the encroachment area to any state other than what currently exists. He is, however, granted a 30 day period in which he will have the option of removing any of these other structures in the encroachment area, including the fence and landscaping items, at 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Sorensen's counterclaim is dismissed. As I stated earlier in these reasons, Mr. Sorensen may continue with his third party proceedings. This includes the summary trial application that he has filed against the Dions, as previously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Oyeleses will have their costs of the action and counterclaim payable by Mr. Sorensen on Scale B after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Pet Supplies (USA) Inc. v. Pivotal Partners Inc., [2008] B.C.J. No. 2375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3-4 and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S074127 and S074128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91 B.C.L.R. (4th) 328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62 C.C.L.T. (3d)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5 W.W.R. 563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2615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 Supplies (USA) Inc. and Animal Welfare International Inc., Plaintiffs, and Pivotal Partners Inc., Defendant (Plaintiff by counterclaim), and Pet Supplies (USA) Inc., Animal Welfare International Inc., Steven Perissinotto, Vetshop Australia Pty. Ltd., Steven Perissinotto, Mark Perissinotto, W3 International Media Ltd., Myfanwy W.Y. Wong, Vasant Kumar Anvekar a.k.a. Vasant Kumar, Paulette Parry, Jane Doe and John Doe and other persons who have conspired with the named defendants by counterclaim, Defendants by Counterclaim And between Vetshopaustralia Pty. Ltd., Plaintiff, and Pivotal Partners Inc., Defendant (Plaintiff by Counterclaim), and Vetshopaustralia Pty. Ltd., Steven Perissinotto, Mark Perissinotto, Animal Welfare International Inc., W3 International Media Ltd., Myfanwy W.Y. Wong, Vasant Kumar Anvekar a.k.a. Vasant Kumar, Paulette Parry, Jane Doe, John Doe and other persons who have conspired with the named Defendants by Counterclaim,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9" w:name="Keywords_22"/>
      <w:bookmarkEnd w:id="199"/>
      <w:r>
        <w:rPr>
          <w:rFonts w:ascii="arial" w:eastAsia="arial" w:hAnsi="arial" w:cs="arial"/>
          <w:b/>
          <w:color w:val="000000"/>
          <w:sz w:val="20"/>
          <w:lang w:val="en-US" w:eastAsia="en-US" w:bidi="ar-SA"/>
        </w:rPr>
        <w:t>Civil Litigation — Civil procedure — Pleadings — Amendment of — Discovery — Production and inspection of documents — Application by Pivotal Partners Inc. to amend pleadings and for production of documents dismissed — The amendments contemplated that relate to a waiver of tort did not disclose a reasonable claim or cause of action — To allow waiver of tort to be pleaded and used as Pivotal sought would be unfair — The application for production of documents was too broadly and vaguely framed.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0" w:name="Case Summary_22"/>
            <w:bookmarkEnd w:id="2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Pivotal Partners Inc. to amend pleadings and for production of documents. Vetshopaustralia Pty. Ltd. ("Vetshop") and Pet Supplies (USA) Inc./Animal Welfare International Inc. ("AWI") brought separation actions claiming against Pivotal Partners Inc. ("Pivotal") for debt arising out of a contractual agreement which ended in 2005. Pivotal alleged that the plaintiffs and other defendants conspired to compete against it using a computer code to which it had some proprietary rights. Pivotal brought a counterclaim against the plaintiffs and various individual defendants for breach of contract, breach of confidence and negligent misrepresentation. Pivotal declined to produce its financial statements and instead sought to amend its counterclaim to plead "waiver of tort" in order to allow it to waive its claim for damages in respect of all of its causes of action and seek only disgorgement of profits from the defendants. Pivotal also sought an order either striking all defences to counterclaim or an order requiring certain parties to provide certain financial records and documentation.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1" w:name="Holdings of Court_18"/>
            <w:bookmarkEnd w:id="20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amendments contemplated that relate to a waiver of tort in respect of the breach of contract, breach of confidence and negligent misrepresentation were not allowed as in the context of those claims, waiver of tort did not disclose a reasonable claim or cause of action. To allow waiver of tort to be pleaded and used as Pivotal sought would be unfair. The application for production of documents was too broadly and vaguely framed.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Legislation Cited_14"/>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Copyright Act, </w:t>
      </w:r>
      <w:hyperlink r:id="rId657" w:history="1">
        <w:r>
          <w:rPr>
            <w:rFonts w:ascii="arial" w:eastAsia="arial" w:hAnsi="arial" w:cs="arial"/>
            <w:i/>
            <w:color w:val="0077CC"/>
            <w:sz w:val="20"/>
            <w:u w:val="single"/>
            <w:shd w:val="clear" w:color="auto" w:fill="FFFFFF"/>
            <w:lang w:val="en-US" w:eastAsia="en-US" w:bidi="ar-SA"/>
          </w:rPr>
          <w:t>R.S.C. 1985, c. C-42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32"/>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defendants by counterclaim: R.A. Millar.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Defendant/plaintiff by counterclaim: J.P. Taylor, Q.C. and Lana Tsang.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W3 and Myfanwy Wong: Robert Deane and Sarah McEachern.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Vasant Kumar Anvekar, a.k.a. Vansant Kumar: K.M. Stephens, J. Hughes and S. McHugh.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32"/>
      <w:bookmarkEnd w:id="204"/>
      <w:r>
        <w:pict>
          <v:line id="_x0000_s1177"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Pivotal's Motions to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Amend Pleadings and for Production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of Documents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M.A. HUMPHRIES J._0"/>
            <w:bookmarkEnd w:id="205"/>
            <w:r>
              <w:rPr>
                <w:rFonts w:ascii="arial" w:eastAsia="arial" w:hAnsi="arial" w:cs="arial"/>
                <w:b/>
                <w:color w:val="000000"/>
                <w:sz w:val="30"/>
                <w:lang w:val="en-US" w:eastAsia="en-US" w:bidi="ar-SA"/>
              </w:rPr>
              <w:t>M.A. 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subject to case management. There are two actions which are set for trial in February, 2009. These motions are brought by the defendant and plaintiff by counterclaim, Pivotal Partners Inc. ("Pivotal"), who has filed a counterclaim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very general terms, Vetshopaustralia Pty. Ltd. ("Vetshop"), in one action, and Pet Supplies (USA) Inc./Animal Welfare International Inc. ("AWI") in the other, are claiming against Pivotal for debt arising out of a contractual arrangement that came to an end in 2005. Pivotal alleges that the plaintiffs and the other defendants conspired, after the arrangement between it and Vetshop/AWI had ended, to compete against it using a computer code ("the Code") to which it had some proprietary rights. They sue Vetshop/AWI, directors Steven Perissinotto and Mark Perissinotto, W3 International Media Ltd. ("W3"), its director Myfanwy Wong ("Wong"), and Vasant Kumar Anvekar ("Kumar") in breach of contract, breach of confidence,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Pivotal seeks to add certain parties as defendants to the counterclaim. During discussion at the commencement of the hearing, it appeared that counsel reached agreement on the additional parties. Mr. Millar objected to the inclusion of John and Jane Doe defendants in the style of cause of the counterclaim, but full argument will be made in the plaintiff's outstanding motion to strike parts of the counterclaim and sever it from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amend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Pivotal brought a motion in September of this year to have production of financial documents for counsels' eyes only. Prior to the ruling on that motion, Pivotal advised the court and other counsel that it would not produce its financial statements and so would forego a claim for damages based on them. It would, however, demand an accounting and disgorgement of profits from the defendants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that end, Pivotal now seeks to amend its counterclaim to plead "waiver of tort." According to Pivotal, such a pleading would allow it to waive its claim for damages in respect of all of its causes of action and seek only disgorgement of profits from the defendants. The respondents to this motion take the position that waiver of tort does not apply to the causes of action in this case, the proposed amendments do not disclose a remedy or cause of action known to law, and the amendments should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submissions, Mr. Taylor did little more than outline the amendments he wanted to make. The substantive issues arose in the respondents' arguments and in Pivotal's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proposed amendments respecting the "waiver of tort" claims are the same for each action, so the arguments addressed in the context of action S-074127 apply equally to S-074128.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set out the proposed amendments in respect of "waiver of tort" in S-074127 to which Mr. Deane objects because they focus the argument on the issue of substance before the court on this motion. The bold type has been added to aid in quick reference of the relevant causes of action; the proposed amendments are underlined: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Paras. 79: The W3 Defendants used, and authorized others to use, Pivotal's Code, or a substantial part of Pivotal's Code, to develop the Competing Websites in conjunction with the Vetshop Defendants, Kumar and others presently unknown to Pivotal, for the specific purpose of competing with Pivotal and Pivotal's Websites. By doing so, the W3 Defendants, or either of them, </w:t>
      </w:r>
      <w:r>
        <w:rPr>
          <w:rFonts w:ascii="arial" w:eastAsia="arial" w:hAnsi="arial" w:cs="arial"/>
          <w:b/>
          <w:color w:val="000000"/>
          <w:sz w:val="20"/>
          <w:lang w:val="en-US" w:eastAsia="en-US" w:bidi="ar-SA"/>
        </w:rPr>
        <w:t>breached the Website Development Agreement and the W3 Consulting Agreement, as well as their duty of confidence and fiduciary obligations to Pivotal, and thus caused Pivotal to suffer loss and damage,</w:t>
      </w:r>
      <w:r>
        <w:rPr>
          <w:rFonts w:ascii="arial" w:eastAsia="arial" w:hAnsi="arial" w:cs="arial"/>
          <w:color w:val="000000"/>
          <w:sz w:val="20"/>
          <w:lang w:val="en-US" w:eastAsia="en-US" w:bidi="ar-SA"/>
        </w:rPr>
        <w:t xml:space="preserve"> the full particulars of which are not yet known. </w:t>
      </w:r>
      <w:r>
        <w:rPr>
          <w:rFonts w:ascii="arial" w:eastAsia="arial" w:hAnsi="arial" w:cs="arial"/>
          <w:color w:val="000000"/>
          <w:sz w:val="20"/>
          <w:u w:val="single"/>
          <w:lang w:val="en-US" w:eastAsia="en-US" w:bidi="ar-SA"/>
        </w:rPr>
        <w:t>Pivotal has elected to waive general damages for the torts or wrongs committed by the W3 Defendants and to claim the restitutionary remedies set out elsewhere in this Counterclaim.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 80 Further, or in the alternative, the W3 Defendants </w:t>
      </w:r>
      <w:r>
        <w:rPr>
          <w:rFonts w:ascii="arial" w:eastAsia="arial" w:hAnsi="arial" w:cs="arial"/>
          <w:b/>
          <w:color w:val="000000"/>
          <w:sz w:val="20"/>
          <w:lang w:val="en-US" w:eastAsia="en-US" w:bidi="ar-SA"/>
        </w:rPr>
        <w:t>negligently misrepresented</w:t>
      </w:r>
      <w:r>
        <w:rPr>
          <w:rFonts w:ascii="arial" w:eastAsia="arial" w:hAnsi="arial" w:cs="arial"/>
          <w:color w:val="000000"/>
          <w:sz w:val="20"/>
          <w:lang w:val="en-US" w:eastAsia="en-US" w:bidi="ar-SA"/>
        </w:rPr>
        <w:t xml:space="preserve"> that the W3 Defendants would not use Pivotal's Code or Confidential Information in competition with Pivotal. As a result of the circumstances particularized above, there was a special relationship between Pivotal and the W3 Defendants such that they owned Pivotal a duty of care. Prior to Pivotal's disclosure or use of some or all of the Confidential Information to the W3 Defendants and prior to the development of Pivotal's Code, the W3 Defendants assured Pivotal, both expressly or impliedly, that they would not use, or permit others to use, Pivotal's Code or Confidential Information in competition with Pivotal. </w:t>
      </w:r>
      <w:r>
        <w:rPr>
          <w:rFonts w:ascii="arial" w:eastAsia="arial" w:hAnsi="arial" w:cs="arial"/>
          <w:b/>
          <w:color w:val="000000"/>
          <w:sz w:val="20"/>
          <w:lang w:val="en-US" w:eastAsia="en-US" w:bidi="ar-SA"/>
        </w:rPr>
        <w:t>Such representations were untrue or inaccurate and induced Pivotal to continue to use thee W3 Defendant's web-development and hosting services.</w:t>
      </w:r>
      <w:r>
        <w:rPr>
          <w:rFonts w:ascii="arial" w:eastAsia="arial" w:hAnsi="arial" w:cs="arial"/>
          <w:color w:val="000000"/>
          <w:sz w:val="20"/>
          <w:lang w:val="en-US" w:eastAsia="en-US" w:bidi="ar-SA"/>
        </w:rPr>
        <w:t xml:space="preserve"> These representations were made by Myfanwy Wong, Benoy Koshy and Wayne (Nyguyen) Vo, and </w:t>
      </w:r>
      <w:r>
        <w:rPr>
          <w:rFonts w:ascii="arial" w:eastAsia="arial" w:hAnsi="arial" w:cs="arial"/>
          <w:b/>
          <w:color w:val="000000"/>
          <w:sz w:val="20"/>
          <w:lang w:val="en-US" w:eastAsia="en-US" w:bidi="ar-SA"/>
        </w:rPr>
        <w:t>were made negligently</w:t>
      </w:r>
      <w:r>
        <w:rPr>
          <w:rFonts w:ascii="arial" w:eastAsia="arial" w:hAnsi="arial" w:cs="arial"/>
          <w:color w:val="000000"/>
          <w:sz w:val="20"/>
          <w:lang w:val="en-US" w:eastAsia="en-US" w:bidi="ar-SA"/>
        </w:rPr>
        <w:t xml:space="preserve">. Pivotal's reliance upon the representations was reasonable in the circumstances. </w:t>
      </w:r>
      <w:r>
        <w:rPr>
          <w:rFonts w:ascii="arial" w:eastAsia="arial" w:hAnsi="arial" w:cs="arial"/>
          <w:b/>
          <w:color w:val="000000"/>
          <w:sz w:val="20"/>
          <w:lang w:val="en-US" w:eastAsia="en-US" w:bidi="ar-SA"/>
        </w:rPr>
        <w:t>Such reliance caused Pivotal to suffer loss and damage,</w:t>
      </w:r>
      <w:r>
        <w:rPr>
          <w:rFonts w:ascii="arial" w:eastAsia="arial" w:hAnsi="arial" w:cs="arial"/>
          <w:color w:val="000000"/>
          <w:sz w:val="20"/>
          <w:lang w:val="en-US" w:eastAsia="en-US" w:bidi="ar-SA"/>
        </w:rPr>
        <w:t xml:space="preserve"> the full particulars of which are not yet known. </w:t>
      </w:r>
      <w:r>
        <w:rPr>
          <w:rFonts w:ascii="arial" w:eastAsia="arial" w:hAnsi="arial" w:cs="arial"/>
          <w:color w:val="000000"/>
          <w:sz w:val="20"/>
          <w:u w:val="single"/>
          <w:lang w:val="en-US" w:eastAsia="en-US" w:bidi="ar-SA"/>
        </w:rPr>
        <w:t>Pivotal has elected to waive general damages for the tort committed by the W3 Defendants and claim the restitutionary remedies set out elsewhere in this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Deane for W3 takes the position that the concept of "waiver of tort" does not apply to claims for breach of contract, breach of confidence, or negligent misrepresentation and cannot be pleaded in an attempt by Pivotal to avoid having to prove that it has suffered any damage or loss as a result of the alleged conduct of the defendants. He addressed each cause of action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claim of negligent misrepresentation</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Reid v. Ford Motor Co.</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[2006] B.C.J. No. 993</w:t>
        </w:r>
      </w:hyperlink>
      <w:r>
        <w:rPr>
          <w:rFonts w:ascii="arial" w:eastAsia="arial" w:hAnsi="arial" w:cs="arial"/>
          <w:color w:val="000000"/>
          <w:sz w:val="20"/>
          <w:lang w:val="en-US" w:eastAsia="en-US" w:bidi="ar-SA"/>
        </w:rPr>
        <w:t xml:space="preserve">, Gerow J., refused to apply the principle of "waiver of tort" to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warn. She concluded that the action did not fall into the type of case where waiver of tort has been applied and there was no principled basis to extend it to the causes of action before her. She was particularly concerned that the pleading invoking "waiver of tort" alleged benefits to the defendant but contained no reference to a detriment to the plaintiff. She expressed concern about allowing a claim that was essentially based on an unjust enrichment but would eliminate the requirement to prove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Contract</w:t>
      </w:r>
      <w:r>
        <w:rPr>
          <w:rFonts w:ascii="arial" w:eastAsia="arial" w:hAnsi="arial" w:cs="arial"/>
          <w:color w:val="000000"/>
          <w:sz w:val="20"/>
          <w:lang w:val="en-US" w:eastAsia="en-US" w:bidi="ar-SA"/>
        </w:rPr>
        <w:t xml:space="preserve">: W3 submits that waiver of tort has no application to claims for breach of contract. Mr. Deane relies on the general statements and descriptions of waiver of tort contained in </w:t>
      </w:r>
      <w:r>
        <w:rPr>
          <w:rFonts w:ascii="arial" w:eastAsia="arial" w:hAnsi="arial" w:cs="arial"/>
          <w:b/>
          <w:i/>
          <w:color w:val="000000"/>
          <w:sz w:val="20"/>
          <w:lang w:val="en-US" w:eastAsia="en-US" w:bidi="ar-SA"/>
        </w:rPr>
        <w:t>Reid</w:t>
      </w:r>
      <w:r>
        <w:rPr>
          <w:rFonts w:ascii="arial" w:eastAsia="arial" w:hAnsi="arial" w:cs="arial"/>
          <w:i/>
          <w:color w:val="000000"/>
          <w:sz w:val="20"/>
          <w:lang w:val="en-US" w:eastAsia="en-US" w:bidi="ar-SA"/>
        </w:rPr>
        <w:t xml:space="preserve">, supra, </w:t>
      </w:r>
      <w:r>
        <w:rPr>
          <w:rFonts w:ascii="arial" w:eastAsia="arial" w:hAnsi="arial" w:cs="arial"/>
          <w:b/>
          <w:i/>
          <w:color w:val="000000"/>
          <w:sz w:val="20"/>
          <w:lang w:val="en-US" w:eastAsia="en-US" w:bidi="ar-SA"/>
        </w:rPr>
        <w:t>Pro-Sys Consultants Ltd. v. Microsoft Corp.</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(2006) 57 B.C.L.R. (4th) 323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19th ed. (London: Sweet &amp; Maxwell, 2006). A representative extract from the latter describes the concept: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of tort" is a term that has most commonly been used to refer to the situation where a claimant seeks a restitutionary remedy (reversing the defendant's wrongful enrichment) for a tort rather than the usual remedy of compensatory damages. Used in this sense "waiver of tort" is a misleading and unfortunate term for it has nothing to do with the tort being extinguished. On the contrary, the tort is the foundation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Deane contends the very description of the concept means it cannot apply to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Anticipating an argument that Pivotal might really be seeking restitutionary damages in contract, rather than a true "waiver of tort," Mr. Dean referred to </w:t>
      </w:r>
      <w:r>
        <w:rPr>
          <w:rFonts w:ascii="arial" w:eastAsia="arial" w:hAnsi="arial" w:cs="arial"/>
          <w:b/>
          <w:i/>
          <w:color w:val="000000"/>
          <w:sz w:val="20"/>
          <w:lang w:val="en-US" w:eastAsia="en-US" w:bidi="ar-SA"/>
        </w:rPr>
        <w:t>Bank of America v. Mutual Trust Co.</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[2002] 2 S.C.R. 601</w:t>
        </w:r>
      </w:hyperlink>
      <w:r>
        <w:rPr>
          <w:rFonts w:ascii="arial" w:eastAsia="arial" w:hAnsi="arial" w:cs="arial"/>
          <w:color w:val="000000"/>
          <w:sz w:val="20"/>
          <w:lang w:val="en-US" w:eastAsia="en-US" w:bidi="ar-SA"/>
        </w:rPr>
        <w:t>. The Supreme Court of Canada said "restitution damages", as differentiated from "expectation damages," could be invoked where a plaintiff can show that the normal measure of damages for breach of contact would provide inadequate compensation when the plaintiff's loss is compared to the defendant's gain. Obviously, this concept requires proof of the plaintiff's loss first before this assessment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Breach of confidence</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Cadbury Schweppes Inc. v. FBI Foods Ltd</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(1995) 1 B.C.L.R. (3d) 258</w:t>
        </w:r>
      </w:hyperlink>
      <w:r>
        <w:rPr>
          <w:rFonts w:ascii="arial" w:eastAsia="arial" w:hAnsi="arial" w:cs="arial"/>
          <w:color w:val="000000"/>
          <w:sz w:val="20"/>
          <w:lang w:val="en-US" w:eastAsia="en-US" w:bidi="ar-SA"/>
        </w:rPr>
        <w:t xml:space="preserve"> (S.C.), the court held that waiver of tort has no application to claims for breach of confidence. Huddard J. stated that the principle was developed to prevent retention by a tortfeasor of an unjust benefit, and does not apply to a breach of confidence case because such remedial flexibility is already present in that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Stephens adopts Mr. Deane's arguments, but also objects to existing pleadings containing allegations of breach of contract against Mr. Kumar, in view of the proposed amendment to paragraph 102, which refers to paragraphs 91, 92 and 101, all set out below:</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July 5, 2006, Kumar's employment with Pivotal was terminated for cause. It had been discovered in or about June of 2006 that Kumar was structuring Pivotal's business activities in a manner that would permit him to divert to himself secret profits and unauthorized commissions. At the time Kumar's employment was terminated he was specifically reminded of his post-employment obligations, including those of a contractual and fiduciary nature. Notwithstanding those post employment obligations, shortly after leaving the employment of Pivotal and his position as Director of Pivotal, and continuing to date, Kumar combined with, or in concert with, the W3 Defendants, the Vetshop Defendants and others presently unknown to Pivotal, or some or all of them, </w:t>
      </w:r>
      <w:r>
        <w:rPr>
          <w:rFonts w:ascii="arial" w:eastAsia="arial" w:hAnsi="arial" w:cs="arial"/>
          <w:b/>
          <w:color w:val="000000"/>
          <w:sz w:val="20"/>
          <w:lang w:val="en-US" w:eastAsia="en-US" w:bidi="ar-SA"/>
        </w:rPr>
        <w:t>engaged in competition</w:t>
      </w:r>
      <w:r>
        <w:rPr>
          <w:rFonts w:ascii="arial" w:eastAsia="arial" w:hAnsi="arial" w:cs="arial"/>
          <w:color w:val="000000"/>
          <w:sz w:val="20"/>
          <w:lang w:val="en-US" w:eastAsia="en-US" w:bidi="ar-SA"/>
        </w:rPr>
        <w:t xml:space="preserve"> with Pivotal, including by offering services similar to those provided by Pivotal, and disclosed the Confidential Information without the consent of Pivotal, </w:t>
      </w:r>
      <w:r>
        <w:rPr>
          <w:rFonts w:ascii="arial" w:eastAsia="arial" w:hAnsi="arial" w:cs="arial"/>
          <w:b/>
          <w:color w:val="000000"/>
          <w:sz w:val="20"/>
          <w:lang w:val="en-US" w:eastAsia="en-US" w:bidi="ar-SA"/>
        </w:rPr>
        <w:t>in breach of Kumar Employment Contract, Kumar's duties of good faith and fidelity and his fiduciary duties owned to Pivotal.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Kumar, </w:t>
      </w:r>
      <w:r>
        <w:rPr>
          <w:rFonts w:ascii="arial" w:eastAsia="arial" w:hAnsi="arial" w:cs="arial"/>
          <w:b/>
          <w:color w:val="000000"/>
          <w:sz w:val="20"/>
          <w:lang w:val="en-US" w:eastAsia="en-US" w:bidi="ar-SA"/>
        </w:rPr>
        <w:t>in breach of the terms of the Kumar Employment Contract and his duties of fidelity and fiduciary duties,</w:t>
      </w:r>
      <w:r>
        <w:rPr>
          <w:rFonts w:ascii="arial" w:eastAsia="arial" w:hAnsi="arial" w:cs="arial"/>
          <w:color w:val="000000"/>
          <w:sz w:val="20"/>
          <w:lang w:val="en-US" w:eastAsia="en-US" w:bidi="ar-SA"/>
        </w:rPr>
        <w:t xml:space="preserve"> directly or indirectly solicited or </w:t>
      </w:r>
      <w:r>
        <w:rPr>
          <w:rFonts w:ascii="arial" w:eastAsia="arial" w:hAnsi="arial" w:cs="arial"/>
          <w:b/>
          <w:color w:val="000000"/>
          <w:sz w:val="20"/>
          <w:lang w:val="en-US" w:eastAsia="en-US" w:bidi="ar-SA"/>
        </w:rPr>
        <w:t>induced or attempted to induce Paulette Parry</w:t>
      </w:r>
      <w:r>
        <w:rPr>
          <w:rFonts w:ascii="arial" w:eastAsia="arial" w:hAnsi="arial" w:cs="arial"/>
          <w:color w:val="000000"/>
          <w:sz w:val="20"/>
          <w:lang w:val="en-US" w:eastAsia="en-US" w:bidi="ar-SA"/>
        </w:rPr>
        <w:t xml:space="preserve"> [no longer a party] </w:t>
      </w:r>
      <w:r>
        <w:rPr>
          <w:rFonts w:ascii="arial" w:eastAsia="arial" w:hAnsi="arial" w:cs="arial"/>
          <w:b/>
          <w:color w:val="000000"/>
          <w:sz w:val="20"/>
          <w:lang w:val="en-US" w:eastAsia="en-US" w:bidi="ar-SA"/>
        </w:rPr>
        <w:t>to breach her post-employment obligations</w:t>
      </w:r>
      <w:r>
        <w:rPr>
          <w:rFonts w:ascii="arial" w:eastAsia="arial" w:hAnsi="arial" w:cs="arial"/>
          <w:color w:val="000000"/>
          <w:sz w:val="20"/>
          <w:lang w:val="en-US" w:eastAsia="en-US" w:bidi="ar-SA"/>
        </w:rPr>
        <w:t xml:space="preserve"> with Pivotal and facilitated an offer of employment or partnership or both in concert with the Vetshop and W3 Defendants, and each or either of them, to Parry to provide services </w:t>
      </w:r>
      <w:r>
        <w:rPr>
          <w:rFonts w:ascii="arial" w:eastAsia="arial" w:hAnsi="arial" w:cs="arial"/>
          <w:b/>
          <w:color w:val="000000"/>
          <w:sz w:val="20"/>
          <w:lang w:val="en-US" w:eastAsia="en-US" w:bidi="ar-SA"/>
        </w:rPr>
        <w:t>in competition</w:t>
      </w:r>
      <w:r>
        <w:rPr>
          <w:rFonts w:ascii="arial" w:eastAsia="arial" w:hAnsi="arial" w:cs="arial"/>
          <w:color w:val="000000"/>
          <w:sz w:val="20"/>
          <w:lang w:val="en-US" w:eastAsia="en-US" w:bidi="ar-SA"/>
        </w:rPr>
        <w:t xml:space="preserve"> to those provided by Pivotal and by said wrongful act (the breach) </w:t>
      </w:r>
      <w:r>
        <w:rPr>
          <w:rFonts w:ascii="arial" w:eastAsia="arial" w:hAnsi="arial" w:cs="arial"/>
          <w:b/>
          <w:color w:val="000000"/>
          <w:sz w:val="20"/>
          <w:lang w:val="en-US" w:eastAsia="en-US" w:bidi="ar-SA"/>
        </w:rPr>
        <w:t>cause economic harm to Pivotal.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reason of that wrongful conduct, Kumar, in </w:t>
      </w:r>
      <w:r>
        <w:rPr>
          <w:rFonts w:ascii="arial" w:eastAsia="arial" w:hAnsi="arial" w:cs="arial"/>
          <w:b/>
          <w:color w:val="000000"/>
          <w:sz w:val="20"/>
          <w:lang w:val="en-US" w:eastAsia="en-US" w:bidi="ar-SA"/>
        </w:rPr>
        <w:t>breach of his duties</w:t>
      </w:r>
      <w:r>
        <w:rPr>
          <w:rFonts w:ascii="arial" w:eastAsia="arial" w:hAnsi="arial" w:cs="arial"/>
          <w:color w:val="000000"/>
          <w:sz w:val="20"/>
          <w:lang w:val="en-US" w:eastAsia="en-US" w:bidi="ar-SA"/>
        </w:rPr>
        <w:t xml:space="preserve"> to Pivotal, caused or encouraged Parry to breach the Parry Employment Contract, her duty of confidence and fiduciary and post-employment obligations owed to Pivotal, or some of them.</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reason of the wrongful acts of Kumar, as set out in paragraphs 91, 92, and 101 of this Counterclaim, Pivotal has suffered and continues to suffer loss and damage, but Pivotal has elected to waive general damages for the torts or wrongs committed by Kumar and to claim the restitutionary remedies set out elsewhere in this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to these paragraphs, Mr. Stephens takes objection to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Vetshop Defendants and the W3 Defendants have been a party to and induced Kumar </w:t>
      </w:r>
      <w:r>
        <w:rPr>
          <w:rFonts w:ascii="arial" w:eastAsia="arial" w:hAnsi="arial" w:cs="arial"/>
          <w:b/>
          <w:color w:val="000000"/>
          <w:sz w:val="20"/>
          <w:lang w:val="en-US" w:eastAsia="en-US" w:bidi="ar-SA"/>
        </w:rPr>
        <w:t>to commit breaches of his contract of employment with Pivotal and his ongoing duties of fidelity and fiduciary duties owed to Pivotal and to thereby cause economic harm to Pivotal</w:t>
      </w:r>
      <w:r>
        <w:rPr>
          <w:rFonts w:ascii="arial" w:eastAsia="arial" w:hAnsi="arial" w:cs="arial"/>
          <w:color w:val="000000"/>
          <w:sz w:val="20"/>
          <w:lang w:val="en-US" w:eastAsia="en-US" w:bidi="ar-SA"/>
        </w:rPr>
        <w:t xml:space="preserve"> ... </w:t>
      </w:r>
      <w:r>
        <w:rPr>
          <w:rFonts w:ascii="arial" w:eastAsia="arial" w:hAnsi="arial" w:cs="arial"/>
          <w:color w:val="000000"/>
          <w:sz w:val="20"/>
          <w:u w:val="single"/>
          <w:lang w:val="en-US" w:eastAsia="en-US" w:bidi="ar-SA"/>
        </w:rPr>
        <w:t>Pivotal has elected to waive general damages for the torts or wrongs committed by the Vetshop Defendants and W3 Defendants and to claim the restitutionary remedies set out elsewhere in this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Millar agrees with the basic positions advanced by Mr. Deane and Mr. Stephens. He also took the position that, Pivotal having chosen to forego its claim for damages arising from breach of contract, breach of confidence,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any remaining pleadings purporting to refer to Pivotal's losses in respect of those causes of action can no longer remain. His basic position is that if Pivotal premises a remedy on the basis that the defendants caused it injury or damage, then his client must be able to test that assertion whether or not Pivotal, if successful in establishing its premise, eventually chooses to select a remedy other than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Millar took the court through the entire counterclaim, outlining extensive objections to whole paragraphs, some sentences, and some single words. It is much too complicated and time-consuming to deal with dozens of objections in a written judgment. If as a result of this decision, which will deal with the objections on a general and principled basis, details have to be addressed, counsel may do so. I understand that all respondents have outstanding motions to strike, either filed or contemplated,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Reply of Pivotal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Taylor replies that the arguments against the amendments would more properly be heard on a motion to strike, although he acknowledges that the standards are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submits that the court need only find that the amendments are not frivolous, and that novelty is not a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Taylor's first position is that despite his client's refusal to produce its financial statements, it does intend to prove loss and can do so without relying on those documents. He contends he can do so in three different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First, all he need show is an invasion of a legal right and loss is presumed. He does not need to show pecuniary damages. He relies on </w:t>
      </w:r>
      <w:r>
        <w:rPr>
          <w:rFonts w:ascii="arial" w:eastAsia="arial" w:hAnsi="arial" w:cs="arial"/>
          <w:b/>
          <w:i/>
          <w:color w:val="000000"/>
          <w:sz w:val="20"/>
          <w:lang w:val="en-US" w:eastAsia="en-US" w:bidi="ar-SA"/>
        </w:rPr>
        <w:t>Shaw v. Lewis</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[1948] 2 D.L.R. 189</w:t>
        </w:r>
      </w:hyperlink>
      <w:r>
        <w:rPr>
          <w:rFonts w:ascii="arial" w:eastAsia="arial" w:hAnsi="arial" w:cs="arial"/>
          <w:color w:val="000000"/>
          <w:sz w:val="20"/>
          <w:lang w:val="en-US" w:eastAsia="en-US" w:bidi="ar-SA"/>
        </w:rPr>
        <w:t xml:space="preserve"> (B.C.C.A.). In that case, the plaintiff alleged that she had been excommunicated from the Rosicrucean Order as a result of a conspiracy. The trial judge removed the case from the jury on the basis that pecuniary damages had not been proven. The Court of Appeal said he erred in doing so because "if a right is invaded, damage is presumed." Nominal damages would affirm the infraction of the legal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Taylor notes that legal commentators, if not the courts, have begun to toy with the issue of whether, where the victim of a breach of contract can show no loss by reason of the breach of contract, the contract-breaker should be able to keep the profits he made by the breach. (see, for example, </w:t>
      </w:r>
      <w:r>
        <w:rPr>
          <w:rFonts w:ascii="arial" w:eastAsia="arial" w:hAnsi="arial" w:cs="arial"/>
          <w:b/>
          <w:i/>
          <w:color w:val="000000"/>
          <w:sz w:val="20"/>
          <w:lang w:val="en-US" w:eastAsia="en-US" w:bidi="ar-SA"/>
        </w:rPr>
        <w:t>The Law of Contract in Canada</w:t>
      </w:r>
      <w:r>
        <w:rPr>
          <w:rFonts w:ascii="arial" w:eastAsia="arial" w:hAnsi="arial" w:cs="arial"/>
          <w:color w:val="000000"/>
          <w:sz w:val="20"/>
          <w:lang w:val="en-US" w:eastAsia="en-US" w:bidi="ar-SA"/>
        </w:rPr>
        <w:t xml:space="preserve"> (Fridman, 4th ed. at p. 807).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Secondly, he submits he can show a loss of opportunity to sell or licence the Code to CanadaVet.com. or to Vetshop.online. These are other entities connected in various ways to Vetshop that are alleged to have competed wrongfully with Pivotal. In support of this proposition, he refers to </w:t>
      </w:r>
      <w:r>
        <w:rPr>
          <w:rFonts w:ascii="arial" w:eastAsia="arial" w:hAnsi="arial" w:cs="arial"/>
          <w:b/>
          <w:i/>
          <w:color w:val="000000"/>
          <w:sz w:val="20"/>
          <w:lang w:val="en-US" w:eastAsia="en-US" w:bidi="ar-SA"/>
        </w:rPr>
        <w:t>Rodaro v. Royal Bank of Canada</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[2002] O.J. No. 1365</w:t>
        </w:r>
      </w:hyperlink>
      <w:r>
        <w:rPr>
          <w:rFonts w:ascii="arial" w:eastAsia="arial" w:hAnsi="arial" w:cs="arial"/>
          <w:color w:val="000000"/>
          <w:sz w:val="20"/>
          <w:lang w:val="en-US" w:eastAsia="en-US" w:bidi="ar-SA"/>
        </w:rPr>
        <w:t>. In that case, the plaintiff alleged that a particular project was taken from him improperly and he was deprived of the potential profit from it. The trial judge held for the plaintiff on a different ground that was not pleaded: he found that one of the defendants had improperly given confidential business information to another, causing the plaintiff to lose an opportunity to sell his interest in the project. The Court of Appeal decided that the "lost opportunity analysis" was theoretically sound, but as it had not been pleaded, the defendants were denied the right to a fair trial. They also found there was no evidence to support the theory. Had there been evidence, the trial judge would have had to determine the likelihood of the plaintiff taking the opportunity and reflect that likelihood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Thirdly, Mr. Taylor submits he can show loss of market share simply by asking the court to draw the inference that the improper competition by Vetshop, using Pivotal's operating platform, must have affected Pivotal's market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Turning to his proposed amendments, Mr. Taylor argues that waiver of tort is emerging as a separate cause of action. He referred to </w:t>
      </w:r>
      <w:r>
        <w:rPr>
          <w:rFonts w:ascii="arial" w:eastAsia="arial" w:hAnsi="arial" w:cs="arial"/>
          <w:b/>
          <w:i/>
          <w:color w:val="000000"/>
          <w:sz w:val="20"/>
          <w:lang w:val="en-US" w:eastAsia="en-US" w:bidi="ar-SA"/>
        </w:rPr>
        <w:t>Heward v. Eli Lilly &amp; Co.</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[2007] O.J. No. 404</w:t>
        </w:r>
      </w:hyperlink>
      <w:r>
        <w:rPr>
          <w:rFonts w:ascii="arial" w:eastAsia="arial" w:hAnsi="arial" w:cs="arial"/>
          <w:color w:val="000000"/>
          <w:sz w:val="20"/>
          <w:lang w:val="en-US" w:eastAsia="en-US" w:bidi="ar-SA"/>
        </w:rPr>
        <w:t xml:space="preserve"> (Ontario Superior Court of Justice, affirmed, </w:t>
      </w:r>
      <w:hyperlink r:id="rId665" w:history="1">
        <w:r>
          <w:rPr>
            <w:rFonts w:ascii="arial" w:eastAsia="arial" w:hAnsi="arial" w:cs="arial"/>
            <w:i/>
            <w:color w:val="0077CC"/>
            <w:sz w:val="20"/>
            <w:u w:val="single"/>
            <w:shd w:val="clear" w:color="auto" w:fill="FFFFFF"/>
            <w:lang w:val="en-US" w:eastAsia="en-US" w:bidi="ar-SA"/>
          </w:rPr>
          <w:t>[2008] O.J. No. 2610</w:t>
        </w:r>
      </w:hyperlink>
      <w:r>
        <w:rPr>
          <w:rFonts w:ascii="arial" w:eastAsia="arial" w:hAnsi="arial" w:cs="arial"/>
          <w:color w:val="000000"/>
          <w:sz w:val="20"/>
          <w:lang w:val="en-US" w:eastAsia="en-US" w:bidi="ar-SA"/>
        </w:rPr>
        <w:t xml:space="preserve"> (Ont. Div. Ct.), a class action in which the courts refused to adopt the approach taken by this court in </w:t>
      </w:r>
      <w:r>
        <w:rPr>
          <w:rFonts w:ascii="arial" w:eastAsia="arial" w:hAnsi="arial" w:cs="arial"/>
          <w:b/>
          <w:i/>
          <w:color w:val="000000"/>
          <w:sz w:val="20"/>
          <w:lang w:val="en-US" w:eastAsia="en-US" w:bidi="ar-SA"/>
        </w:rPr>
        <w:t>Reid</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The Divisional Court upheld the chambers judge's conclusion that the existence of a cause of action of waiver of tort is unsettled and uncertain and should be dealt with at trial, not on a motion to amend a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Taylor also argues that the type of loss leading to compensatory damages that might be established through an examination of financial statements is not necessarily required for a breach of contract or breach of confidentiality case. The appropriate remedy may simply be the restitutionary remedy of disgorgement. For this proposition, he relies on </w:t>
      </w:r>
      <w:r>
        <w:rPr>
          <w:rFonts w:ascii="arial" w:eastAsia="arial" w:hAnsi="arial" w:cs="arial"/>
          <w:b/>
          <w:i/>
          <w:color w:val="000000"/>
          <w:sz w:val="20"/>
          <w:lang w:val="en-US" w:eastAsia="en-US" w:bidi="ar-SA"/>
        </w:rPr>
        <w:t>Attorney General v. Blake</w:t>
      </w:r>
      <w:r>
        <w:rPr>
          <w:rFonts w:ascii="arial" w:eastAsia="arial" w:hAnsi="arial" w:cs="arial"/>
          <w:color w:val="000000"/>
          <w:sz w:val="20"/>
          <w:lang w:val="en-US" w:eastAsia="en-US" w:bidi="ar-SA"/>
        </w:rPr>
        <w:t xml:space="preserve"> [2000] 4 All E.R. 385 (H.L). This was an unusual case in which the defendant, a spy, had written a book disclosing official secrets and had received a large sum from his publishers. Even though the Crown had suffered only nominal or no damages from the breach by the defendant of obligations under the </w:t>
      </w:r>
      <w:r>
        <w:rPr>
          <w:rFonts w:ascii="arial" w:eastAsia="arial" w:hAnsi="arial" w:cs="arial"/>
          <w:i/>
          <w:color w:val="000000"/>
          <w:sz w:val="20"/>
          <w:lang w:val="en-US" w:eastAsia="en-US" w:bidi="ar-SA"/>
        </w:rPr>
        <w:t>Official Secrets Act</w:t>
      </w:r>
      <w:r>
        <w:rPr>
          <w:rFonts w:ascii="arial" w:eastAsia="arial" w:hAnsi="arial" w:cs="arial"/>
          <w:color w:val="000000"/>
          <w:sz w:val="20"/>
          <w:lang w:val="en-US" w:eastAsia="en-US" w:bidi="ar-SA"/>
        </w:rPr>
        <w:t>, the defendant was ordered to disgorge profits improperly made through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During reply, Mr. Taylor handed up a further proposed amendment, which follows upon para. 112 in which Pivotal alleges that the defendants have been unjustly enriched by their breaches of contract and confidence and misappropriation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thus holding profits subject to a constructive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Para 112A In the alternative, Pivotal claims waiver of tort for the tortious and other wrongs committed by the Defendants by Counterclaim as described in this Counterclaim and claims restitution, including an accounting and disgorgement, of the entire profits or gain of any kind earned by the Defendants by Counterclaim as a result of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surreply, the defendants simply took the position that, despite the comments of courts in Ontario or England, a plea of waiver of tort cannot succeed in British Columbia for claims for breach of contract, breach of confidence,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issue raised by Mr. Taylor is whether Pivotal may prove loss even if it refuses to provide its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Shaw v. Lewis</w:t>
      </w:r>
      <w:r>
        <w:rPr>
          <w:rFonts w:ascii="arial" w:eastAsia="arial" w:hAnsi="arial" w:cs="arial"/>
          <w:color w:val="000000"/>
          <w:sz w:val="20"/>
          <w:lang w:val="en-US" w:eastAsia="en-US" w:bidi="ar-SA"/>
        </w:rPr>
        <w:t xml:space="preserve"> provides support for the notion that nominal damages will be available to affirm the infraction of a right, even where there is no pecuniary loss. If properly pleaded, such an allegation might be made, but it does not appear to relate to the remedies sought by Pivotal in this instance. The loss of opportunity claim recognized in </w:t>
      </w:r>
      <w:r>
        <w:rPr>
          <w:rFonts w:ascii="arial" w:eastAsia="arial" w:hAnsi="arial" w:cs="arial"/>
          <w:b/>
          <w:i/>
          <w:color w:val="000000"/>
          <w:sz w:val="20"/>
          <w:lang w:val="en-US" w:eastAsia="en-US" w:bidi="ar-SA"/>
        </w:rPr>
        <w:t>Rodaro</w:t>
      </w:r>
      <w:r>
        <w:rPr>
          <w:rFonts w:ascii="arial" w:eastAsia="arial" w:hAnsi="arial" w:cs="arial"/>
          <w:color w:val="000000"/>
          <w:sz w:val="20"/>
          <w:lang w:val="en-US" w:eastAsia="en-US" w:bidi="ar-SA"/>
        </w:rPr>
        <w:t xml:space="preserve"> must also be pleaded specifically, but does not assist in the "waiver of tort" approach. Pivotal would have to prove the likelihood of its having taken advantage of the opportunity, and this, if proven, would be reflected in damages, not disgorgement. The third approach - asking the court to infer, without direct evidence, that a loss of market share occurred, with a corresponding loss of profit without any proof of it - appears to be fraught with uncertainty, to say nothing of the difficulty the court would face in determining if any damages would flow. Whether Pivotal will seek to approach its pleadings on those limited bases is not apparent at this time, and if so, the determination of the issues will have to await the trial or at least the outcome of the motions to strike. Again, though, none of these approaches would lead to a remedy of disgorgement.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turn now to the proposed amendments of "waiver of tort." This subject has become complicated because of the suggestion, as yet unresolved, in some of the recent cases such as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that these words could denote a separate cause of action rather than an approach to the election of remedies to prevent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An interesting discussion of the concept is set out in </w:t>
      </w:r>
      <w:r>
        <w:rPr>
          <w:rFonts w:ascii="arial" w:eastAsia="arial" w:hAnsi="arial" w:cs="arial"/>
          <w:b/>
          <w:i/>
          <w:color w:val="000000"/>
          <w:sz w:val="20"/>
          <w:lang w:val="en-US" w:eastAsia="en-US" w:bidi="ar-SA"/>
        </w:rPr>
        <w:t>United Australia Ltd. v. Barclay's Bank Ltd.</w:t>
      </w:r>
      <w:r>
        <w:rPr>
          <w:rFonts w:ascii="arial" w:eastAsia="arial" w:hAnsi="arial" w:cs="arial"/>
          <w:color w:val="000000"/>
          <w:sz w:val="20"/>
          <w:lang w:val="en-US" w:eastAsia="en-US" w:bidi="ar-SA"/>
        </w:rPr>
        <w:t xml:space="preserve"> 1941 A.C. 1 (H.L.) where the plaintiff company, whose cheque was fraudulently endorsed by their secretary to another entity and cashed by Barclay's Bank, sued the first entity for restitution of the money, but before obtaining judgment, commenced another action against Barclay's Bank for conversion. The Bank argued successfully before the Court of Appeal that the plaintiff had, by bringing the first action, elected to "waive the tort" and therefore could not sue the bank in conversion. The House of Lords disagreed, holding that the choice of remedies existed despite the first action, which had never proceeded to judgment. The historical origin of the term is set out at pp.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"waiving the tort" was possible, it was nothing more than a choice between possible remedies derived from a time when it was not permitted to combine them or to pursue them in the alternative, and when there were procedural advantages in selecting the form of </w:t>
      </w:r>
      <w:r>
        <w:rPr>
          <w:rFonts w:ascii="arial" w:eastAsia="arial" w:hAnsi="arial" w:cs="arial"/>
          <w:i/>
          <w:color w:val="000000"/>
          <w:sz w:val="20"/>
          <w:lang w:val="en-US" w:eastAsia="en-US" w:bidi="ar-SA"/>
        </w:rPr>
        <w:t>assumpsit</w:t>
      </w:r>
      <w:r>
        <w:rPr>
          <w:rFonts w:ascii="arial" w:eastAsia="arial" w:hAnsi="arial" w:cs="arial"/>
          <w:color w:val="000000"/>
          <w:sz w:val="20"/>
          <w:lang w:val="en-US" w:eastAsia="en-US" w:bidi="ar-SA"/>
        </w:rPr>
        <w:t xml:space="preserve"> [described earlier as "a quasi-contractual liability to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reading of the entire case discloses that whichever remedy was chosen when the plaintiff applied for judgment, it did not relieve him of the responsibility of proving his loss. The basis of the election of remedies was to ensure he obtained full satisfaction for his loss, but no more than that (see pp. 20, 30, 34,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Thus the House of Lords set out a distinction between choosing between two rights or causes of action, which never did involve the concept of "waiver of tort," and electing between two remedies, which did, but only because at one time such an archaic convention was necessary. Nevertheless, discussion about waiver of tort as a distinct cause of action has emerged in recent cases, (e.g.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apparently as a result of academic commentary, and cannot be resolved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any event, none of the authorities presented by Pivotal support the proposition that, in a claim for breach of contract, a plaintiff may, having expressly refused to prove whether it suffered a loss or not, claim only disgorgement of the defendant's profits by purporting to "waive the tort." The cases and text authorities relied on the by the respondents support the contrary position, although none expressly state that "waiver of tort" does not apply to a claim of breach of contract. That may be because any attempt to discuss the concept within the contractual context leads to absurdity. Pivotal has already pleaded a range of remedies, including an accounting and disgorgement, and would be required to elect at the end of the day if it pursues and proves its claim of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If Pivotal is actually or alternatively seeking restitution damages, the respondents correctly point out that such a concept entails the proof of the plaintiff's loss in order to show that ordinary compensation, when compared to the defendant's gain, is not appropriate. As the Supreme Court of Canada noted in </w:t>
      </w:r>
      <w:r>
        <w:rPr>
          <w:rFonts w:ascii="arial" w:eastAsia="arial" w:hAnsi="arial" w:cs="arial"/>
          <w:b/>
          <w:i/>
          <w:color w:val="000000"/>
          <w:sz w:val="20"/>
          <w:lang w:val="en-US" w:eastAsia="en-US" w:bidi="ar-SA"/>
        </w:rPr>
        <w:t>Bank of America v. Mutual Trust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courts are reluctant to award additional damages where the plaintiff is fully compensated, even if the defendant comes out ahead, but once again, this issue, if pursued, will have to await determination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Even in </w:t>
      </w:r>
      <w:r>
        <w:rPr>
          <w:rFonts w:ascii="arial" w:eastAsia="arial" w:hAnsi="arial" w:cs="arial"/>
          <w:b/>
          <w:i/>
          <w:color w:val="000000"/>
          <w:sz w:val="20"/>
          <w:lang w:val="en-US" w:eastAsia="en-US" w:bidi="ar-SA"/>
        </w:rPr>
        <w:t>Blake</w:t>
      </w:r>
      <w:r>
        <w:rPr>
          <w:rFonts w:ascii="arial" w:eastAsia="arial" w:hAnsi="arial" w:cs="arial"/>
          <w:color w:val="000000"/>
          <w:sz w:val="20"/>
          <w:lang w:val="en-US" w:eastAsia="en-US" w:bidi="ar-SA"/>
        </w:rPr>
        <w:t xml:space="preserve">, the issue was the availability of restitutionary damages as a remedy for breach of contract, not the creation of a new cause of action or remedy of "waiver of tort" that would allow the plaintiff to avoid proving loss. In this unusual case, accepting that the plaintiff Crown could not prove financially measurable loss arising from a breach of contract (which the House of Lords decided had occurred as a result of Blake's breach of his undertaking signed under the </w:t>
      </w:r>
      <w:r>
        <w:rPr>
          <w:rFonts w:ascii="arial" w:eastAsia="arial" w:hAnsi="arial" w:cs="arial"/>
          <w:i/>
          <w:color w:val="000000"/>
          <w:sz w:val="20"/>
          <w:lang w:val="en-US" w:eastAsia="en-US" w:bidi="ar-SA"/>
        </w:rPr>
        <w:t>Official Secrets Act</w:t>
      </w:r>
      <w:r>
        <w:rPr>
          <w:rFonts w:ascii="arial" w:eastAsia="arial" w:hAnsi="arial" w:cs="arial"/>
          <w:color w:val="000000"/>
          <w:sz w:val="20"/>
          <w:lang w:val="en-US" w:eastAsia="en-US" w:bidi="ar-SA"/>
        </w:rPr>
        <w:t>), the court raised the issue of whether the Crown ought to be able to recover the profits that arose from Blake's breach of contract, and decided that it should. This case does not assist Pivotal.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Similarly, a plaintiff in a breach of confidence case may not choose to hide its own position and seek only disgorgement of the defendant's profits, because the focus of the cause of action is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Cadbury Schweppes</w:t>
      </w:r>
      <w:r>
        <w:rPr>
          <w:rFonts w:ascii="arial" w:eastAsia="arial" w:hAnsi="arial" w:cs="arial"/>
          <w:color w:val="000000"/>
          <w:sz w:val="20"/>
          <w:lang w:val="en-US" w:eastAsia="en-US" w:bidi="ar-SA"/>
        </w:rPr>
        <w:t xml:space="preserve">, Huddard J. referred to </w:t>
      </w:r>
      <w:r>
        <w:rPr>
          <w:rFonts w:ascii="arial" w:eastAsia="arial" w:hAnsi="arial" w:cs="arial"/>
          <w:b/>
          <w:i/>
          <w:color w:val="000000"/>
          <w:sz w:val="20"/>
          <w:lang w:val="en-US" w:eastAsia="en-US" w:bidi="ar-SA"/>
        </w:rPr>
        <w:t>LAC Minerals v. International Corona Resources</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xml:space="preserve"> on the issue of the interaction between law and equity. In that case, breach of confidence was said to be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relying on all three jurisdictional bases - contract, equity and property - to enforce the policy of the law that confidences be respected. On the issue of remedy, the court in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said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restitutionary remedy is appropriate in cases involving fiduciaries because they are required to disgorge any benefits derived from a breach of trust. In a breach of confidence case, </w:t>
      </w:r>
      <w:r>
        <w:rPr>
          <w:rFonts w:ascii="arial" w:eastAsia="arial" w:hAnsi="arial" w:cs="arial"/>
          <w:color w:val="000000"/>
          <w:sz w:val="20"/>
          <w:u w:val="single"/>
          <w:lang w:val="en-US" w:eastAsia="en-US" w:bidi="ar-SA"/>
        </w:rPr>
        <w:t>the focus is on the loss to the plaintiff and, as in tort actions, the particular position of the plaintiff must be examined. The object is to restore the plaintiff monetarily to the position he would have been in if no wrong had been committed.</w:t>
      </w:r>
      <w:r>
        <w:rPr>
          <w:rFonts w:ascii="arial" w:eastAsia="arial" w:hAnsi="arial" w:cs="arial"/>
          <w:color w:val="000000"/>
          <w:sz w:val="20"/>
          <w:lang w:val="en-US" w:eastAsia="en-US" w:bidi="ar-SA"/>
        </w:rPr>
        <w:t xml:space="preserve"> Accordingly this object is generally achieved by an award of damages, and a restitutionary remedy is inappropriate.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now turn to the proposed amendment with respect to the claim of negligent misrepresentation.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the Ontario case in which waiver of tort has been allowed to survive an application to strike, is a class action where the court considered whether the loss of individual plaintiffs might play a role in the eventual issues at trial. In that case, where the class plaintiff sought to have certified a class proceeding against a drug company for failure to disclose side effects of a medication it had developed and sold, the pleading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and plaintiff class plead </w:t>
      </w:r>
      <w:r>
        <w:rPr>
          <w:rFonts w:ascii="arial" w:eastAsia="arial" w:hAnsi="arial" w:cs="arial"/>
          <w:color w:val="000000"/>
          <w:sz w:val="20"/>
          <w:u w:val="single"/>
          <w:lang w:val="en-US" w:eastAsia="en-US" w:bidi="ar-SA"/>
        </w:rPr>
        <w:t>in the alternative to their claim for damages</w:t>
      </w:r>
      <w:r>
        <w:rPr>
          <w:rFonts w:ascii="arial" w:eastAsia="arial" w:hAnsi="arial" w:cs="arial"/>
          <w:color w:val="000000"/>
          <w:sz w:val="20"/>
          <w:lang w:val="en-US" w:eastAsia="en-US" w:bidi="ar-SA"/>
        </w:rPr>
        <w:t xml:space="preserve"> that they are entitled to "waive the tort"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instead elect to claim payment of the revenues generated by the defendants as a result of their failure and refusal to properly bring the risks associated with Zyprexa to the attention of the plaintiff and plaintiff class, which revenues were reflected in enormous profits earned by the defendants.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While acknowledging the British Columbia approach in </w:t>
      </w:r>
      <w:r>
        <w:rPr>
          <w:rFonts w:ascii="arial" w:eastAsia="arial" w:hAnsi="arial" w:cs="arial"/>
          <w:b/>
          <w:i/>
          <w:color w:val="000000"/>
          <w:sz w:val="20"/>
          <w:lang w:val="en-US" w:eastAsia="en-US" w:bidi="ar-SA"/>
        </w:rPr>
        <w:t>Reid</w:t>
      </w:r>
      <w:r>
        <w:rPr>
          <w:rFonts w:ascii="arial" w:eastAsia="arial" w:hAnsi="arial" w:cs="arial"/>
          <w:color w:val="000000"/>
          <w:sz w:val="20"/>
          <w:lang w:val="en-US" w:eastAsia="en-US" w:bidi="ar-SA"/>
        </w:rPr>
        <w:t xml:space="preserve"> that a cause of action of waiver of tort would eliminate the requirement to prove loss, and was not therefore sustainable in the context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Ontario Divisional Court noted that on the facts of their case, the only evidence that might be required to sustain a plea of waiver of tort was simply placing an unfit product on the market. Individual loss might be irrelevant - the pleadings stated that some plaintiffs had developed diabetes, and some had not - but on the facts as pleaded, both approaches (loss and no loss) were before the court, and determination of the issue had to await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courts at both levels decided that the issue of whether "waiver of tort" should be decided on a full record, not on a preliminary motion. Regardless of the extensive discussion in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xml:space="preserve"> of the concept of "waiver of tort" and whether it is a separate cause of action or a remedy, it was pleaded in the alternative. Both approaches to determining a remedy - damages and disgorgement - would be before the court. This was essential to the Ontario courts' respective decisions that waiver of tort should remain in the pleading in the particular circumstances of that case, because despite their hesitation to decide on a preliminary motion whether it was a cause of action or not, they recognized that the concept essentially involves an election as to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well,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xml:space="preserve"> is concerned with negligent failure to warn; the claim advanced by Pivotal is negligent misrepresentation, with requires a reliance </w:t>
      </w:r>
      <w:r>
        <w:rPr>
          <w:rFonts w:ascii="arial" w:eastAsia="arial" w:hAnsi="arial" w:cs="arial"/>
          <w:i/>
          <w:color w:val="000000"/>
          <w:sz w:val="20"/>
          <w:lang w:val="en-US" w:eastAsia="en-US" w:bidi="ar-SA"/>
        </w:rPr>
        <w:t>to their detriment</w:t>
      </w:r>
      <w:r>
        <w:rPr>
          <w:rFonts w:ascii="arial" w:eastAsia="arial" w:hAnsi="arial" w:cs="arial"/>
          <w:color w:val="000000"/>
          <w:sz w:val="20"/>
          <w:lang w:val="en-US" w:eastAsia="en-US" w:bidi="ar-SA"/>
        </w:rPr>
        <w:t>, thus strengthening the argument that proven harm to the plaintiff is a necessary element of the cause of action. As can be seen from the paragraphs set out above, Pivotal's pleadings contain repeated references to the harm and loss allegedly caused to them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court was asked to consider an application to strike out an alternative pleading of "waiver of tort" in respect of a claim of unjust enrichment. Tysoe J. (as he then was) considered whether "waiver of tort" was a cause of action or a remedy. If the latter, the plaintiff would have to prove damage in order to establish the existence of a tort before deciding to "waive the tort" and seek the benefit obtained by the defendant. If the former, that would not be necessary.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not necessary for me to deal with the issue of whether waiver of tort is an independent cause of action. I am not striking out all of the pleaded causes of action and the Plaintiffs will not necessarily be relying on waiver of tort as an independent cause of action. If the Plaintiffs are successful in proving one of the alleged torts, they will be in a position to argue that they can waive their damages and obtain disgorgement of the Defendants' benefit. In addition, the Plaintiffs have pleaded that they have suffered damages and they are not in the situation of having failed to plead damage as an element of a tort. As a result, their pleading of waiver of tort is appropriate and should not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discussion of waiver of tort in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did not arise, as here, in the context of breach of contract, breach of confidence, or negligent misrepresentation, so it is not of assistance to Pivotal in that sense. However, the court did allow the pleading to stand on an alternative basis, because the plaintiffs had pleaded a loss and were obliged to prove it before arguing that they could waive damages and claim disgorgement.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Tysoe J. did, however, refuse to strike out the pleading of waiver of tort on the basis of the reasoning in </w:t>
      </w:r>
      <w:r>
        <w:rPr>
          <w:rFonts w:ascii="arial" w:eastAsia="arial" w:hAnsi="arial" w:cs="arial"/>
          <w:b/>
          <w:i/>
          <w:color w:val="000000"/>
          <w:sz w:val="20"/>
          <w:lang w:val="en-US" w:eastAsia="en-US" w:bidi="ar-SA"/>
        </w:rPr>
        <w:t>Reid</w:t>
      </w:r>
      <w:r>
        <w:rPr>
          <w:rFonts w:ascii="arial" w:eastAsia="arial" w:hAnsi="arial" w:cs="arial"/>
          <w:color w:val="000000"/>
          <w:sz w:val="20"/>
          <w:lang w:val="en-US" w:eastAsia="en-US" w:bidi="ar-SA"/>
        </w:rPr>
        <w:t xml:space="preserve"> - that is that such a pleading could not be sustained because all three elements of unjust enrichment were not pleaded and could not be sustained. I will return to this aspect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Thus, the courts in both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allowed the pleading of waiver of tort to stand only on an alternative basis. In neither case was the concept of "waiver of tort" sought to be used as a stand-alone shield for the admitted purpose, as Pivotal would use it here, of protecting the plaintiff from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Pivotal has also pleaded various fiduciary breaches against the defendants, although they do not appear to be the principal causes of action and counsel did not address them specifically. Different considerations may exist in cases of fiduciary breach, as noted in </w:t>
      </w:r>
      <w:r>
        <w:rPr>
          <w:rFonts w:ascii="arial" w:eastAsia="arial" w:hAnsi="arial" w:cs="arial"/>
          <w:b/>
          <w:i/>
          <w:color w:val="000000"/>
          <w:sz w:val="20"/>
          <w:lang w:val="en-US" w:eastAsia="en-US" w:bidi="ar-SA"/>
        </w:rPr>
        <w:t>Blake</w:t>
      </w:r>
      <w:r>
        <w:rPr>
          <w:rFonts w:ascii="arial" w:eastAsia="arial" w:hAnsi="arial" w:cs="arial"/>
          <w:color w:val="000000"/>
          <w:sz w:val="20"/>
          <w:lang w:val="en-US" w:eastAsia="en-US" w:bidi="ar-SA"/>
        </w:rPr>
        <w:t xml:space="preserve">, and as discussed by the Supreme Court of Canada in </w:t>
      </w:r>
      <w:r>
        <w:rPr>
          <w:rFonts w:ascii="arial" w:eastAsia="arial" w:hAnsi="arial" w:cs="arial"/>
          <w:b/>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[2007] 281 D.L.R. (4th) 640</w:t>
        </w:r>
      </w:hyperlink>
      <w:r>
        <w:rPr>
          <w:rFonts w:ascii="arial" w:eastAsia="arial" w:hAnsi="arial" w:cs="arial"/>
          <w:color w:val="000000"/>
          <w:sz w:val="20"/>
          <w:lang w:val="en-US" w:eastAsia="en-US" w:bidi="ar-SA"/>
        </w:rPr>
        <w:t>, where disgorgement of profit arising from a fiduciary breach was ordered even though the beneficiary of the fiduciary relationship suffered no loss. This was done to deter fiduciary faithlessness and preserve the integrity of the fiduciary relationship. The court stated that the relevant causation in the particular circumstance of that relationship is the breach and the defendant's gain, not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However, even in that circumstance, the dissent in </w:t>
      </w:r>
      <w:r>
        <w:rPr>
          <w:rFonts w:ascii="arial" w:eastAsia="arial" w:hAnsi="arial" w:cs="arial"/>
          <w:b/>
          <w:i/>
          <w:color w:val="000000"/>
          <w:sz w:val="20"/>
          <w:lang w:val="en-US" w:eastAsia="en-US" w:bidi="ar-SA"/>
        </w:rPr>
        <w:t>Strother</w:t>
      </w:r>
      <w:r>
        <w:rPr>
          <w:rFonts w:ascii="arial" w:eastAsia="arial" w:hAnsi="arial" w:cs="arial"/>
          <w:color w:val="000000"/>
          <w:sz w:val="20"/>
          <w:lang w:val="en-US" w:eastAsia="en-US" w:bidi="ar-SA"/>
        </w:rPr>
        <w:t xml:space="preserve"> contains an interesting discussion of the relationship between remedies arising at common law and at equity where the cause of action arises from the same facts. The court notes the need to harmonize common law and equitable remedies so that an unfair result does not occur. For instance, as the court notes at p. 699, if an accounting is ordered without a corresponding loss to the plaintiff, the award takes on the appearance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These observations are helpful in showing why, even in a context where an accounting is recognized as a stand-alone remedy without proof of loss, a piecemeal approach to remedies could lead to an unfair result. The remarks are even more apt outside the fiduciary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Moreover, the words "waiver of tort," when used in conjunction with the causes of action here, do nothing more than confuse what is already apparent on the existing pleadings: Pivotal wishes to claim a wide range of remedies. An injunction, an accounting, disgorgement of profits, damages and several declarations are already sought in the counterclaim. New remedies of constructive trust, damages for conversion, and statutory damages under the </w:t>
      </w:r>
      <w:r>
        <w:rPr>
          <w:rFonts w:ascii="arial" w:eastAsia="arial" w:hAnsi="arial" w:cs="arial"/>
          <w:b/>
          <w:i/>
          <w:color w:val="000000"/>
          <w:sz w:val="20"/>
          <w:lang w:val="en-US" w:eastAsia="en-US" w:bidi="ar-SA"/>
        </w:rPr>
        <w:t>Copyright Act</w:t>
      </w:r>
      <w:r>
        <w:rPr>
          <w:rFonts w:ascii="arial" w:eastAsia="arial" w:hAnsi="arial" w:cs="arial"/>
          <w:color w:val="000000"/>
          <w:sz w:val="20"/>
          <w:lang w:val="en-US" w:eastAsia="en-US" w:bidi="ar-SA"/>
        </w:rPr>
        <w:t xml:space="preserve"> are sought to be added, as well as some related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an equitable or restitutionary remedy is the preferable result at the end of the day, this is something the court can only conclude if all the relevant facts are before it. The approach put forward by Pivotal through these proposed amendments would foreclose any knowledge by the other parties of Pivotal's financial position at any relevant time, while requiring the defendants by counterclaim to fully expose theirs. Pivotal pleads that it has indeed suffered harm and loss as a result of alleged breaches and misrepresentations, but would prevent the defendants from testing that assertion and the court from determining it. To allow the contemplated amendments and to give them the consequence contended for by Pivotal would mean the court would only have half the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may be that at the conclusion of the trial, Mr. Taylor could argue that, having proven the various breaches, he is entitled to ask for the remedy of an accounting and disgorgement of profits rather than damages related to Pivotal's loss but without the circumstances of his client's financial position before it, the court would be asked to make its decision on the remedy without knowing its relative significance or consequence and thus whether it is appropriate or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result, the amendments as contemplated that relate to a "waiver of tort" in respect of breach of contract, breach of confidence and negligent misrepresentation are not allowed. In the context of those claims, "waiver of tort" does not disclose a reasonable claim or cause of action. To allow the concept to be pleaded and used as Pivotal urges would be unfair, and to allow it to stand simply as a novel and alternative pleading to those claims (which is not Pivotal's approach in any event) would be confusing surplusage, given the remedies already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Paragraph 112A is framed in the alternative. It was handed up to the court in reply and received no particular consideration during argument by either side. Standing alone, however, and as an alternative pleading in the context of unjust enrichment, I am prepared to allow it on the basis of the reasoning of Tysoe J. at paras. 82 to 86 of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subject to the motions to strike which have not yet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are many details of the contemplated amendments that are left outstanding and that may require further discussion with counsel. If it is necessary to speak to any issues arising from this ruling, counsel can arrange for a case management conference through the Registry. At that time, the need for further motions can also be addressed. As I warned counsel last day, however, although I can continue to hold case management conferences, I no longer have the time to set aside more days for motions given the looming trial date and my own calendar, and will have to direct them to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Pivotal seeks an order striking all defences counterclaim, or in the alternative, that Vetshop, W3, Wong, and Kumar: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Produce all financial records and documentation relating to any business conducted by one or more of them generally from March 31, 2005 to date, and particularly, with respect to [certain websites defined as Competing websites] including financial statements, cash flow reports, all documents relating to any bank account of any nature used in operation of the Competing Websites, all monies received or paid and all other like documents;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[Vetshop] shall produce financial statements and cash flow reports during the period in which they were dealing with Pivotal after March 31, 2005;all to be done within seven days of the date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Pivotal also seeks orders in respect of production of the Code, but counsel have tentatively agreed between them on the terms of that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respect of Vetshop, Mr. Taylor has certain figures for gross revenues. He seeks documents to allow him to calculate net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Millar says his client has never allocated expenses among its various businesses. To attempt to reconstruct the documentary trail necessary to do such a task now would require the examination of thousands of documents, and any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allocation it would do now would be inconclusive. He suggests that only if Mr. Taylor succeeds on his remedy of an accounting should such a difficult and time-consuming task be undertaken. If it is necessary, it could be done through a reference to the Registrar following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response to Mr. Millar's suggestion that Pivotal attempt to prove entitlement to disgorgement of profits before this huge project is undertaken, Mr. Taylor says he should be entitled the this pre-trial discovery of documents in order to assess his position about taking the matter to trial at all. It does not seem reasonable, on the basis of the motion presently before me, to put Vetshop to extraordinary time and expense so that Pivotal can decide whether it wishes to abandon its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Stephens and Mr. Deane take the position the motion is framed too broadly to be capable of informed debate as to relevance, let alone whether the documents even exist. The court is being asked to go behind the lists of documents and order production of broad categories of undescribed documents. On the present application there is no way to tell if the documents exist, if the defendants have them, and if they are relevant. Insofar as Mr. Kumar is concerned, he was not employed by Pivotal until July of 2006 so the previous 15 months do not apply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They take the position that if Pivotal really wishes to pursue this, it should narrow its request to something reasonable and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Taylor did acknowledge that he could craft an order with some specificity if the defendants maintained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should do so. The court cannot be expected to struggle with these broadly framed motions (I include the previous motion for a confidentiality agreement as well) respecting large vaguely described categories of documents, attempting to find some pathway through to clarity and an organized process that is fair to all parties. The court should be asked, on a motion, to deal with identifiable points upon which counsel join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well, the application for production of documents may change once Pivotal's pleadings are settled. At present, the nature of their claim is in a state of flux.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present motion as framed is dismissed, with liberty to redraft it with respect to requests for specified documents or classes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Procon Mining &amp; Tunnelling Ltd. v. McNeil, [2010] B.C.J. No. 648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23-27, 30, December 1-4 and 14-18,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S066233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648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487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81 C.C.E.L. (3d) 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864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68 B.L.R. (4th) 232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Procon Mining &amp; Tunnelling Ltd., Procon Miners Inc. and Procon Leasing Inc., Plaintiffs, and Stephen McNeil, Leah Bonnar, Vantage Equipment Company Ltd. and Gladiator Equipment Inc., Defendants, and 747278 Alberta Ltd., 747280 Alberta Ltd. and Procon Holdings (Alberta) Inc.,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6" w:name="Keywords_23"/>
      <w:bookmarkEnd w:id="206"/>
      <w:r>
        <w:rPr>
          <w:rFonts w:ascii="arial" w:eastAsia="arial" w:hAnsi="arial" w:cs="arial"/>
          <w:b/>
          <w:color w:val="000000"/>
          <w:sz w:val="20"/>
          <w:lang w:val="en-US" w:eastAsia="en-US" w:bidi="ar-SA"/>
        </w:rPr>
        <w:t>Employment law — Implied duties of employee — Fiduciary duties — Honesty — Action to recover secret commissions received by senior management and his assistant allowed — Between 1992 and 2005, defendants collected secret commissions through a corporate vehicle unbeknownst to their employer, the plaintiffs — Scheme discovered post-resignation after $1.5 million buyout of manager's share in company — Court rescinded buyout agreement, as plaintiff would have dismissed defendant had it known of conduct when they entered underlying option agreement — Defendants jointly and severally liable for commissions due to breach of fiduciary, employment and good faith duties — Punitive damages of $20,000 justified — Plaintiff granted constructive trust and tracing order.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7" w:name="Case Summary_23"/>
            <w:bookmarkEnd w:id="2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Procon Mining and related companies, against the defendants, McNeil, Bonnar, Vantage Equipment and Gladiator Equipment, to recover secret commissions and bonuses paid to the defendants. In 1992, Procon retained McNeil to work on mining projects. He became the manager of Procon's equipment division and ultimately was part of the senior management team. In 2005, McNeil resigned and negotiated a buyout of his options in the company for $1.25 million pursuant to a settlement agreement. It subsequently surfaced that McNeil had accepted secret commissions from Procon's suppliers and clients. McNeil had a personal relationship with his assistant, Bonnar. Bonnar incorporated Gladiator as a vehicle for receipt of the commissions. One supplier, Vantage, paid more than $700,000 in secret commissions. The scheme was discovered following an inquiry from the Canada Revenue Agency. Procon sought to recover the funds advanced to McNeil pursuant to the settlement agreement. Procon also sought a tracing order and punitive damages. The defendants conceded commissions totaling $747,644 paid by Vantage. McNeil submitted by way of defence and counterclaim that Procon deprived him of benefits to which he was entitled under his employment agreement. The benefit in question was participation in the profits of Procon's leasing company. He submitted that Procon's breaches deprived it of any entitlement to equitable relief.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8" w:name="Holdings of Court_19"/>
            <w:bookmarkEnd w:id="208"/>
            <w:r>
              <w:rPr>
                <w:rFonts w:ascii="arial" w:eastAsia="arial" w:hAnsi="arial" w:cs="arial"/>
                <w:color w:val="000000"/>
                <w:sz w:val="20"/>
                <w:lang w:val="en-US" w:eastAsia="en-US" w:bidi="ar-SA"/>
              </w:rPr>
              <w:t>HELD: Action allowed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McNeil and Bonnar breached the terms of their employment, their fiduciary duty and their duty of good faith owed to Procon. They misappropriated corporate funds that belonged to the plaintiffs, conspired to unlawfully injure the plaintiffs, unlawfully received secret commissions, and converted Procon's corporate funds to their own use. In addition to the admitted payments, Procon established entitlement to a further $90,000 in undocumented commissions and commissions paid by entities other than Vantage. McNeil was accepting secret commissions at the time the option agreement was negotiated. Had Procon been aware of his conduct, it would have dismissed McNeil without having entered into the option agreement or the subsequent settlement agreement. There was no conduct by Procon that engaged the doctrine of "clean hands" to bar them from recovery. Consequently, the settlement agreement was rescinded and Procon was entitled to recovery of the $1.25 million paid to McNeil thereunder. Procon was further entitled to recover $557,845 in bonuses paid to McNeil. McNeil's conduct warranted an award of punitive damages in the amount of $20,000. In order to facilitate recovery, a declaration of constructive trust and a tracing order in the amount of $200,000 was placed over a residence owned by McNeil and Bonnar. There was no basis to find Vantage responsible for anything beyond the secret commissions it paid. That portion of the award was apportioned between Vantage and the other defendants on a 50/50 basis. The remainder of the award was payable by McNeil, Bonnar and Gladiator on a joint and several basis. The counterclaim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9" w:name="Legislation Cited_15"/>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Excise Tax Act, </w:t>
      </w:r>
      <w:hyperlink r:id="rId674"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75" w:history="1">
        <w:r>
          <w:rPr>
            <w:rFonts w:ascii="arial" w:eastAsia="arial" w:hAnsi="arial" w:cs="arial"/>
            <w:i/>
            <w:color w:val="0077CC"/>
            <w:sz w:val="20"/>
            <w:u w:val="single"/>
            <w:shd w:val="clear" w:color="auto" w:fill="FFFFFF"/>
            <w:lang w:val="en-US" w:eastAsia="en-US" w:bidi="ar-SA"/>
          </w:rPr>
          <w:t>RSBC 1996, CHAPTER 333,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0" w:name="Counsel_33"/>
      <w:bookmarkEnd w:id="2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Defendants by Counterclaim: James R. Schmidt and S.S. Galeski.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Stephen McNeil, Leah Bonnar and Gladiator Equipment Inc.: George F. Gregory.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1" w:name="Judgment_33"/>
      <w:bookmarkEnd w:id="211"/>
      <w:r>
        <w:pict>
          <v:line id="_x0000_s1182"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2" w:name="C.J. ROSS J."/>
            <w:bookmarkEnd w:id="212"/>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heart of this case concerns bribery, which was aptly described by Lord Templeman in </w:t>
      </w:r>
      <w:r>
        <w:rPr>
          <w:rFonts w:ascii="arial" w:eastAsia="arial" w:hAnsi="arial" w:cs="arial"/>
          <w:i/>
          <w:color w:val="000000"/>
          <w:sz w:val="20"/>
          <w:lang w:val="en-US" w:eastAsia="en-US" w:bidi="ar-SA"/>
        </w:rPr>
        <w:t>Attorney General for Hong Kong v. Reid</w:t>
      </w:r>
      <w:r>
        <w:rPr>
          <w:rFonts w:ascii="arial" w:eastAsia="arial" w:hAnsi="arial" w:cs="arial"/>
          <w:color w:val="000000"/>
          <w:sz w:val="20"/>
          <w:lang w:val="en-US" w:eastAsia="en-US" w:bidi="ar-SA"/>
        </w:rPr>
        <w:t>, [1994] 1 A.C. 324 at 330 (P.C.)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evil practice which threatens the foundations of any civilised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1991, Ed Yurkowski and Jim Dales, engineers with extensive experience in the mining industry, pooled their resources and formed the plaintiff Procon group of companies. Procon's first contract was obtained in 1992 to operate the Giant Mine during a labour dispute. Procon retained the defendant Stephen McNeil, through his corporation S.J.M., to work on the project. Later that year Procon obtained another major contract, which required the creation of an equipment division. Mr. Yurkowski and Dales were impressed with Mr. McNeil's performance and offered him the position. Part of the offer was an option for a 5% interest in Procon, to be realized on a future sale of the company to a third party. In addition, if and when management bonuses would be paid in the future, Mr. McNeil would be paid a proportionate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McNeil accepted and became the manager of the equipment division of Procon's operations. His role grew with the company. He became a trusted senior manager of the enterprise, one of a small group of senior employees. In addition to his salary, he received bonuses from Procon of over $500,000 between 1998 and 2005. Procon grew and prospered such that at present it employees between 400-500 people, with annual billings of $80,000,000. In 2005, Mr. McNeil resigned from Procon and negotiated an agreement with his employer for a buyout of his Option Agreement in the amount of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However, unbeknownst to Procon, virtually from the outset of his employment Mr. McNeil was accepting secret commissions from Procon's suppliers and clients. The commissions from one such supplier, Vantage, amounted to more than $700,000. Mr. McNeil had a personal relationship with his assistant, the defendant Leah Bonnar. In about 2000, he recruited her to the scheme and directed the secret commissions be paid to her. Later Ms. Bonnar incorporated the defendant Gladiator Equipment Inc. ("Gladiator") and Mr. McNeil directed secret commissions be paid to it. In 2005, as he was planning his departure from Procon, Mr. McNeil recruited James Fink, an employee in the equipment division who reported to Mr. McNeil, to participate in a corrupt scheme of payment of secret commissions to benefit Gladiator.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Mr. McNeil's resignation, Procon learned of these activities following an inquiry from the Canada Revenue Agency ("CRA"), who were investigating Ms. Bonnar for tax evasion. Procon investigated and this litigation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action, Procon seeks to recover the secret commissions, bonuses, and the funds advanced pursuant to the settlement agreement. Procon seeks in addition a tracing order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McNeil argues, both by way of defence and counterclaim, that Procon either fraudulently or in breach of contract, deprived him of benefits to which he was entitled under his employment agreement. He submits that Procon's breaches deprive it of any entitlement to equitable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Formation of Procon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Ed Yurkowski and Jim Dales, the founders of Procon, are engineers with extensive experience in the mining industry. They founded Procon in 1991, each investing $750,000. Three related companies were incorporated. Procon Mining &amp; Tunnelling Ltd. ("Mining") was the operational company. Procon Leasing Inc. ("Leasing") was the entity used to acquire and hold assets. Leasing operates and repairs the equipment and leases the equipment used in operations to Mining. Procon Holdings Ltd. ("Holdings") was the parent company used for financing. In the late 1990s, Holdings changed its name to Procon Holdings (Alberta) Ltd. when the company relocated to Alberta for tax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outset, Mr. Yurkowski and Mr. Dales were the only staff. From the beginning, Mr. Yurkowski has been the president of Procon. His duties have been to oversee the company's activities and support operations. Mr. Dales has been the vice president. His duties have been to supervise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David Lewis joined Procon shortly after to take the position of chief estimator. He received a 10% interest in the company; the first 5% of which was gifted, and the second 5% was paid for over the next five years. Mr. Lewis incorporated Procon Miners Inc. ("Miners") to serve as a pass-through company to handle payroll.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Two other senior employees were offered options in Procon. Michel Cauchon, the office manager, had an option to acquire 1-1/2% of the shares when the enterprise was sold. Michael Nadon, an area manager, had an option for 1/2% of the shares when the enterprise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Initial Retainer of Mr.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Procon successfully tendered its first contract with the Giant Mine. The contract was to provide mining services in a section of the mine for the owner of the mine to use to establish productivity benchmarks. Procon was to start work in mid-1992. However, Procon's role changed before operations commenced to that of providing a work force to operate the mine because of a labour dispute at the minesite.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person who had been hired by Procon to fill the role of mechanical superintendent at the project, left after a short time. The principals of Procon knew Mr. McNeil as a supplier. In 1992, Mr. McNeil, who also had extensive experience in the mining industry, was operating through a limited company, S.J.M. Mining Contractors Ltd. ("S.J.M."), incorporated by his then wife, Dawn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May 1992, Procon hired Mr. McNeil as a subcontractor through S.J.M. to serve as a mechanical superintendent at Giant Mine. It is common ground that Mr. McNeil did an excellent job and played a key role in enabling Procon to carry out the terms of its contract at the minesite in very difficult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McNeil was in difficult financial circumstances at the time. He had made a personal assignment in bankruptcy in February 1992, declaring assets of $5,540 and liabilities in excess of $200,000. Mr. McNeil did not obtain a discharge from bankruptcy until January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Unwritten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common ground that Mr. McNeil's status changed with Procon from that of subcontractor to full-time employee. It is also common ground that he was offered an interest in Procon on certain terms. The terms of employment were not committed to writing at the time of Mr. McNeil's employment. The parties differ with respect to both the terms of the offer and the circumstances under which it was made and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Yurkowski testified that in 1992 Procon had successfully tendered a contract with Goldstream. The contract required Procon to acquire equipment and, as a consequence, Procon needed someone to head the equipment division and to manage the re-build program that would permit Procon to purchase used equipment and refurbish it for the Goldstream contract. Mr. Yurkowski testified that they decided to offer Mr. McNeil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Yurkowski testified that the offer was made in 1992, likely October or November of that year. It was his evidence that Mr. McNeil was told that if he stayed on as an employee of Procon until the company was sold, he would receive an option to acquire 5% of the shares in Procon. In addition, in the meantime, if the company paid management bonuses, Mr. McNeil would receive a proportionate share. At the time, Procon was in its start-up phase. The company was not making any payments to shareholders or option holders, whether in the form of bonuses or dividends.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Dales' evidence was that he did not negotiate at all with Mr. McNeil concerning his employment. He learned of the arrangement from Mr. Yurkowski. His understanding of the arrangement was that Mr. McNeil was offered a 5% share of the business on the understanding that he would stay until the business was sold, exercising his option at that time, and realizing the 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Dales testified that during the period when Mr. McNeil was employed as a subcontractor, they had a conversation with respect to a specific request concerning equipment made to Mr. McNeil by Royal Oak, the operator of the Giant Mine. Mr. Dales encouraged caution because of the potential for conflict given Mr. McNeil's role in maintaining the equipment as part of the Procon engagement, but permitted Mr. McNeil to pursue the deal if he wished. His explanation was that at the time Mr. McNeil was a subcontractor on a job that might end at any moment. He was quite certain this discussion occurred before Mr. McNeil was hired as an employee of Procon. In addition, it was his evidence that the discussion was never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McNeil's evidence with respect to the unwritten agreement was that he made the deal on the site of the Giant Mine with Mr. Dales and confirmed it in telephone conversations with Mr. Yurkowski. It was his evidence that the deal was offered to him to induce him to stay at the Giant Mine. He stated that the deal was for a 5% ownership in the company "across the board". He stated that there was no discussion whatsoever about the 5% being an option. He said that the discussion was that "you are a partner, give up what you have and you will have 5% of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also Mr. McNeil's evidence that it was discussed, and Mr. Yurkowski and Mr. Dales agreed that he was entitled to do side deals on his own account while employed at Procon. Mr. McNeil stated that while he was at the minesite, the operators of the Giant Mine had asked him to supply some equipment. He discussed the matter with Mr. Dales who told him to go ahead, that it was not a problem, although to be careful since he was now employed to manage the equipment. It was his evidence that Mr. Dales agreed that he was able to maintain his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Whatever the terms, Mr. McNeil accepted Procon's offer of full-time employment and was employed as Procon's equipment manager. His salary was approximately $100,000 per year. In early 1993, Mr. McNeil wrote to industry contacts advising that effective February 1, 1993, Procon Mining would be handling all of S.J.M.'s business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Nisku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Procon set up the equipment facility at Nisku in Alberta for tax reasons. Initially Mr. McNeil commuted. Eventually he moved to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Nisku office grew to a staff of 30-40 by the late 1990s. Mr. McNeil was the senior officer. The equipment division was a major cost centre of the operations. Its responsibility was to provide and maintain all of the equipment for the operations of Procon. Mr. McNeil had authority to hire and fire the hourly labour under his supervision. While Mr. Yurkowski made the final decisions with respect to major capital purchases, Mr. McNeil recommended such purchases and his recommendations carried significant weight. Mr. McNeil had authority to purchase parts and components, which was a major part of the operation of the equipment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McNeil hired Leah Bonnar in January 1995 as a data entry clerk working at the Nisku office. Ms. Bonnar was subsequently promoted, at Mr. McNeil's recommendation, to the position of Mr. McNeil's personal assistant and given an increased salary. As a consequence of her position, Ms. Bonnar had access to considerable confidential corporate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Bonnar and Mr. McNeil commenced a personal relationship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Rental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Procon received tax advice from their accountants Price Waterhouse to the effect that the use of the small business deduction could be expanded by using the holding companies that the shareholders had established to hold their investment in Procon to rent equipment to Procon. The purpose was to reduce taxes and financing costs. The plan was initiated in 1995. Pursuant to this plan, the holding companies purchased equipment from Procon at book value and rented it back to Procon Mining. After taxes were paid by the holding companies, some but it appears, not all of the funds, were then loaned back to Procon Mining.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shareholders participated in this arrangement. The option holders did not. Mr. McNeil was not informed of this arrangement and, like the other option holders, did not participate. It was Mr. Yurkowski's evidence that Mr. McNeil was not offered the opportunity to participate in the rental arrangement because at this time he, like the other option holders, did not have a present share and had not contributed funds to the company. In addition, he did not have a holding company, which was a requirement to implement this tax-driven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Vantage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Hal Newmann is the president of Vantage Equipment Ltd. ("Vantage") which supplies heavy equipment to the mining industry. Mr. Newmann first met Mr. McNeil at Tamarack Canada where Mr. McNeil was employed as a mechanic and Mr. Newmann sold equipment from the Vancouver office. Later, Mr. Newmann had some dealings with Mr. McNeil's company S.J.M.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Newmann testified that in 1995 or 1996 he heard that Mr. McNeil was working for Procon. Mr. Newmann did not know Mr. Yurkowski or Mr. Dales at the time. He contacted Mr. McNeil and asked if there were any opportunities to do business with Procon. Mr. McNeil said that he could facilitate that, but that in return he wanted to receive half of any profit made by Vantage in transactions with Procon. Mr. Newmann testified that he had not encountered such a demand before and did not like it, but agreed. Sometime later, he started to receive work from Procon and commenced making payments to Mr. McNeil pursuant to the arrangement. The first such payment was made by cheque dated January 31, 1997. Neither Mr. McNeil nor Mr. Newmann disclosed these arrangements at any time to Procon.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Mr. Newmann's testimony that he paid these commissions to Mr. McNeil in relation to all business that Vantage conducted with Procon. In later years, he arranged some transactions directly with Mr. Yurkowski in which Mr. McNeil had no involvement, but paid commissions to Mr. McNeil nonetheless because he feared that he would lose the business relationship with Procon if he failed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was Mr. McNeil's evidence that when he and Mr. Newmann had a conversation about how Vantage might do business with Procon, Mr. Newmann told him that it was his practice to pay commissions. Mr. McNeil said that his reaction was to refuse because they were friends, but Mr. Newmann insisted and Mr. McNeil eventually agreed after he received an envelope with a cheque. Mr. McNeil agreed that he never disclosed these arrangements to Procon.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about 2000, Mr. McNeil directed Mr. Newmann to direct the commissions in relation to transactions between Vantage and Procon to Leah Bonnar and Mr. Newmann complied. It was about this time that she and Mr. McNeil commenced living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Written Option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1997, Mr. McNeil was pressing to have his agreement with Procon recorded in writing. A written agreement dated October 19, 1997 (the "Option Agreement") was entered into between Mr. McNeil and Procon Holdings (Alberta) Ltd., 747278 Alberta Ltd., Mr. Yurkowski's company, defined in the agreement as EY Co., and 747280 Alberta Ltd., Mr. Dale's company, defined in the agreement as JD Co. By this agreement, Mr. McNeil was granted an option to acquire shares in Procon Holdings (Alberta) Inc. that were held by EY Co. and JD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recitals reflected the notion that the option would be exercised at the time Procon was sold providing:</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intention of EY Co. and JD Co. to remain as shareholders of the Company until a purchaser makes an acceptable offer to purchase all of the issued shares of the Company at which time EY Co., JD Co., the Employee and all of the other shareholders will sell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whatever the parties' intentions, the Option Agreement granted Mr. McNeil the right to exercise the option any time up to the closing date for the sale of all of the shares of the company. Moreover, the option granted to Mr. McNeil was described in the Option Agreement as irrevocable. Clause 12 of the Option Agreement provided that Mr. McNeil continued to have the right to exercise the option in the event of his resignation or discharge from his employment with or without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respect to benefits, the Option Agreement provided:</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that the Employee has not exercised the EY Option or the JD Option and has not actually taken up and paid for the EY Optioned Shares or the JD Optioned Shares, the Employee will have all rights as a shareholder in respect of any of the EY Optioned Shares or the JD Optioned Shares (including any right to receive dividends or other distributions therefrom or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Mr. Yurkowski's testimony that the Option Agreement was different from the original verbal agreement with Mr. McNeil in several respects, most notably, that it could be exercised at any time. It was his testimony that such a provision had never been discussed or agreed to prior to that time. Mr. Yurkowski testified that Mr. McNeil requested the insertion of the provision relating to dismissal. He stated that they were agreeable to providing what Mr. McNeil wanted in an effort to keep him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Mr. McNeil's contention that the agreement was not in substance different from what it had been at the outset. It was now framed as an option in order not to trigger tax consequences because the shares had increased in value. It is however, noteworthy in that respect, that the agreement did not grant Mr. McNeil a 5% share of "everything" but rather, 5% of Procon Holdings (Alberta)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McNeil was not offered the opportunity to participate in the rental agreement arrangement after the Option Agreement was negotiated. Procon's explanation for this is twofold. First the rental agreement arrangement was for shareholders only and not option holders. Second, the rental agreement arrangement did not involve the holding company, Procon Holdings. Pursuant to the Option Agreement, Mr. McNeil was entitled to be treated as a shareholder of that entity, but that entity did not participate in the rental agreement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McNeil's explanation is that he was not aware of the rental agreement arrangements. Had he been aware he would have sought advice. It was his position that depriving him of the opportunity to participate constituted both fraud and breach of contract on the part of Procon.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the issue of management bonuses, Mr. Yurkowski testified that the amount of bonuses paid out was determined each year from the year-end financial statements. As part of Procon's tax planning, available profits were paid out by way of bonuses. The bonuses were then, for the most part, paid back to the company for use as working capital and recorded as shareholder loans. All shareholders and option holders were paid bonuses commencing in 1998. It is common ground that Mr. McNeil received his proportionate share of these bonuses, totalling $557,845.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Events in 2002-2004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Commencing in 2002, Procon Miners made a series of advances by way of loan with respect to the purchase of a condominium in Hawaii.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Bonnar's employment with Procon ended March 31, 2003. She was laid off as part of a general layoff in the Edmonton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mid-2003, there was an exchange of correspondence between Mr. McNeil's counsel and accounting and legal advisors of Procon with respect to the possibility of Mr. McNeil exercising his option prior to the eventual sale of Procon or Procon purchasing Mr. McNeil's option. At one point, Mr. McNeil indicated an intention to exercise his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 letter dated December 16, 2003, Bruce McKay, Procon's solicitor,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Stephen McNeil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represent the Proton Group of Companies. We have been given copies of the recent correspondence between your office and PricewaterhouseCoopers.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Stephen McNeil has been treated like the other Procon optionholders in all respects including bonuses. In addition he has been given additional financial assistance in times of need.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options were granted to Stephen McNeil it was contemplated that he would be a long term and loyal employee and would participate in the future sale of the business. Nothing has changed in that regard. The understanding among all the Procon shareholders has been, and continues to be, that the time to exercise the options is when the business is sold. At that time Stephen McNeil would have the funds available from such a sale to meet the tax obligation that occurs on the exercise of his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the Procon Group are in a position to provide a financial benefit to Stephen McNeil to forego his rights under the option agreement. To do so would be inconsistent with the understanding among the optionholders and shareholders and prejudicial to the other optionholders and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Simon Reneuf, Mr. McNeil's solicitor, responded by letter dated March 4, 2004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I expect you are aware that in October, 2003 I had a discussion with Neil Colquhoun of Pricewaterhouse Coopers concerning Mr. McNeil's situation. At that time I pointed out to Mr. Colquhoun that Mr. McNeil does not have access to current financial statements of Procon, and is not currently in a position to know whether he has been receiving his proportionate share of dividends in the form of bonuses on an ongoing basis. I pointed out that Mr. McNeil has no wish to leave the company and is enjoying his work and looking forward to even greater accomplishments with Procon. I did point out that Mr. McNeil would be prepared to look at receiving a cash payment instead of shares pursuant to the Option Agreement. There did not appear to be any interest on the part of Mr. Yurkowski or Mr. Dales with respect to that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McKay responded by letter dated March 22, 2004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your client has the Procon five year business plan and financial information to December 31, 2002. Procon's auditors, PricewaterhouseCoopers, are in the process of completing the financial statements for the year ended December 31, 2003. Mr. McNeil has also been advised by Mr. Yurkowski that he has been receiving his proportionate share of dividends in the form of bonuses throughout.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your client is seriously interested in a cash payment then it will have to be a matter of his accountant working out a valuation in discussions with PricewaterhouseCoopers. There will be some significant professional fees incurred in that process. If your client aborts the process is he prepared to indemnify Procon for fees paid or payable to PricewaterhouseCoopers? Any cash payment to your client would have to include a full and final release including any rights under the option agreement and a non-compete agreement that would be considered reasonable in the circumstances as regard to activities, duration and geographical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Kindly advise if your client is interested in pursuing this alternative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letter dated March 24, 2004 Mr. Reneuf responded,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"non compete" proposal in your letter is a new issue which my client has not yet considered in detail. Assuming that your client wishes to have Mr. McNeil continue in its employ, and in light of the fact that Mr. McNeil wishes to continue to work for Procon (as I indicated to you in my letter of March 4th, 2004) it might be prudent for us to look at a comprehensive employment contract between Mr. McNeil and Procon. Given the specific expertise of Mr. McNeil, I can tell you that there would be concerns about any non compete clause that would inhibit his ability to earn a living and realistically, Procon should realize that it will probably have to compensate Mr. McNeil appropriately in order to obtain a non compete clause in such a contract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McKay responded by letter dated March 30, 2004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Procon is not prepared to pay your client a sum of money only to see him terminate his employment with Procon and use the funds to finance a competitive business. The original intent of the Option was for your client to exercise his Option just prior to Procon being sold in the ordinary course and all the shareholders participating in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end, no agreement was reached and by letter dated June 9, 2004, Mr. Reneuf confirmed that Mr. McNeil had withdrawn his election to exercise his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McNeil had hired James Fink to work in the shipping and warehousing department of the Nisku office. Mr. Fink reported directly to Mr. McNeil. Procon had decided that it needed a salesman to market its repair services. Mr. Fink was promoted to that position on Mr. McNeil's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Mr. Fink's evidence that in late 2004 Mr. McNeil confided to him that he had plans to leave Procon and form his own business. He stated that Mr. McNeil suggested to him that after Mr. McNeil left Procon the two of them should work together. Mr. Fink would solicit work through Procon and share profits with Mr. McNeil through Ms. Bonnar's company, Gladiator. This scheme was put into operation with Mr. Fink receiving secret commissions from Gladiator.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Bonnar had incorporated Gladiator in 2004. After the incorporation of Gladiator, Mr. McNeil directed Mr. Newmann to send the commissions for transactions between Procon and Vantage to Gladiator.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Yurkowski testified that in October 2004, Mr. McNeil told Mr. Yurkowski that he had decided to leave Procon to go out on his own. Mr. Yurkowski persuaded him to stay, arguing that Procon would increase its value substantially in the next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 meeting on December 17, 2004, Mr. McNeil gave Mr. Yurkowski verbal notice of resignation. He provided written notice of resignation effective February 28, 2005 by letter dated January 25, 2005. Mr. McNeil agreed to continue in his position until his replacement could be found. Mr. McNeil's last day of employment with Procon was April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Yurkowski testified that in his mind Mr. McNeil had "broken the deal" by giving notice. Nevertheless, he realized that by virtue of the Option Agreement, Mr. McNeil was entitled to his option. However, Mr. Yurkowski also was of the view that there was no present market for a minority interest in Procon and the company had no obligation to purchase Mr. McNeil's interest. Procon entered into negotiations with Mr. McNeil to purchase the option and settle the shareholder's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McNeil entered into an agreement with Procon Holding (Alberta) Ltd., 747278 Alberta Ltd., 747280 Alberta Ltd. and Procon Mining dated July 2005 (the "Settlement Agreement"). The Settlement Agreement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Employee resigned and ceased to be an employee of Procon effective April 30, 2005;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Company, EY Co., JD Co., the Employee and Procon have settled all outstanding claims and obligations to each other as provided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w:t>
      </w:r>
      <w:r>
        <w:rPr>
          <w:rFonts w:ascii="arial" w:eastAsia="arial" w:hAnsi="arial" w:cs="arial"/>
          <w:color w:val="000000"/>
          <w:sz w:val="20"/>
          <w:u w:val="single"/>
          <w:lang w:val="en-US" w:eastAsia="en-US" w:bidi="ar-SA"/>
        </w:rPr>
        <w:t>OPTION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Option Agreement made as of October 10, 1997 attached hereto as Schedule "A" is hereby terminated effective as of the date of this Agreement in consideration of the payment to the Employee by Procon of the amount of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t>
      </w:r>
      <w:r>
        <w:rPr>
          <w:rFonts w:ascii="arial" w:eastAsia="arial" w:hAnsi="arial" w:cs="arial"/>
          <w:color w:val="000000"/>
          <w:sz w:val="20"/>
          <w:u w:val="single"/>
          <w:lang w:val="en-US" w:eastAsia="en-US" w:bidi="ar-SA"/>
        </w:rPr>
        <w:t>SHAREHOLDER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Employee hereby acknowledges receipt of the repayment to him by Procon of his shareholder loan in the amount of $116,000.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color w:val="000000"/>
          <w:sz w:val="20"/>
          <w:u w:val="single"/>
          <w:lang w:val="en-US" w:eastAsia="en-US" w:bidi="ar-SA"/>
        </w:rPr>
        <w:t>SEVERANCE PACKAGE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Employee hereby acknowledges receipt of a severance package paid to him by Procon in the amount of one million, two hundred and fifty thousand dollars ($1,250,000).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w:t>
      </w:r>
      <w:r>
        <w:rPr>
          <w:rFonts w:ascii="arial" w:eastAsia="arial" w:hAnsi="arial" w:cs="arial"/>
          <w:color w:val="000000"/>
          <w:sz w:val="20"/>
          <w:u w:val="single"/>
          <w:lang w:val="en-US" w:eastAsia="en-US" w:bidi="ar-SA"/>
        </w:rPr>
        <w:t>RELEASE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payments made to the Employee by Procon in Sections 2 and 3 of this Agreement, the Employee releases and forever discharges each of the Company, EY Co., JD Co. and Procon and each of their respective officers, directors, shareholders and employees from and against any and all actions, causes of action, suits, debts, costs, expenses, legal costs, demands and claims of every nature and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w:t>
      </w:r>
      <w:r>
        <w:rPr>
          <w:rFonts w:ascii="arial" w:eastAsia="arial" w:hAnsi="arial" w:cs="arial"/>
          <w:color w:val="000000"/>
          <w:sz w:val="20"/>
          <w:u w:val="single"/>
          <w:lang w:val="en-US" w:eastAsia="en-US" w:bidi="ar-SA"/>
        </w:rPr>
        <w:t>GOVERNING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will be governed by and constructed in accordance with the laws of the Province of Alberta and the federal laws of Canada applicable therein. The parties hereto will attorn to the exclusive jurisdiction of the courts of the Province of Alberta.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w:t>
      </w:r>
      <w:r>
        <w:rPr>
          <w:rFonts w:ascii="arial" w:eastAsia="arial" w:hAnsi="arial" w:cs="arial"/>
          <w:color w:val="000000"/>
          <w:sz w:val="20"/>
          <w:u w:val="single"/>
          <w:lang w:val="en-US" w:eastAsia="en-US" w:bidi="ar-SA"/>
        </w:rPr>
        <w:t>ENTIRE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constitutes the entire agreement among the parties pertaining to the subject matter hereof and supersedes all prior agreements, understandings, negotiations and discussions, whether oral or written, between the parties hereto with respect to the subject matter hereof. There are no representations, warranties, covenants or conditions with respect to the subject matter hereof except as contained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$1.25 million payment was styled as a severance payment for tax purposes. However, it is common ground that the payment represented the purchase by Procon of Mr. McNeil's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was Mr. Yurkowsi's evidence that the amounts in relation to the rental agreements and the Hawaii condominium were added back to the valuation of the company that was used to value Mr. McNeil's 5% interest for the purposes of the calculation of the $1.25 million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Post-Departure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Following Mr. McNeil's departure from Procon there were a number of transactions involving Mr. Fink with Gladiator in which Gladiator paid Mr. Fink secret commissions that were not disclosed to Procon.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January 2006, Gladiator leased premises on a three-year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July 2006, a representative of the CRA contacted Procon, requesting documents in connection with an investigation that it was conducting. At the outset, CRA did not inform Procon of the nature of the investigation. Later they provided a document and explained that they were investigating Ms. Bonnar for tax evasion. Procon became concerned and hired a forensic accountant to investigate. This action was then initiated in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On September 25, 2006, Ms. Bonnar entered a guilty plea to one count of unlawful evasion of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 in relation to commission income received from Vantage during the period January 1, 2000 to December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Around the time the lease on the property rented by Gladiator was ending, a holding company, SIS Holdings Ltd. ("SIS") was incorporated by Mr. McNeil and Mr. Reeves of Global Power Systems Inc. SIS acquired the lands and premises and is a holding company doing business only as Gladiator's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did not form a favourable view of Mr. McNeil's credibility. I formed the opinion that his evidence was not an honest effort to recall, but a contrivance designed to support his case. He was evasive and argumentative. He claimed remarkable memory for conversations in the distant past when such suited his purposes in the litigation, but the absence of recollection for recent events when such would be inconvenient. For example, he claimed to have virtually verbatim recollection of conversations that occurred in 1992, but no recollection of whether there was negotiation with respect to the quantum of the $1.25 million settlement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McNeil's pleadings advanced a justification for the receipt of secret commissions as customary practice in the industry. At trial, his counsel conceded that such a plea was not supportable. However, during the course of his testimony Mr. McNeil continued to advance various justifications for this conduct. His evidence was frequently inconsistent, for example with admissions he had made on Examination for Discovery. For example, Mr. McNeil was asked on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Q. So from 1992 to 2000 did you receive commissions whilst -- secret commissions, commissions undisclosed to Procon whilst you were in the employment of Procon?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McNeil stated in his testimony at trial that he did not think they were secret commissions because he had permission. This evidence, however, is at odds with his further admission at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456 Q. Okay. Let's talk about undisclosed commissions then, not secret commissions. They were undisclosed commissions, weren't they?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Undisclosed,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also admitted on Discovery (Q. 133-138) that he did not disclose to either Mr. Yurkowski or Mr. Dales that Ms. Bonnar was receiving secret commissions from 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was his testimony at trial that work for Procon was a nightmare. He was humiliated on a daily basis. Yet his solicitor at his instruction drafted a letter stating that he was enjoying his work, had no wish to leave and was looking forward to continuing. On Discovery, Mr. McNeil agreed that the letter was accurate. At trial, he took the position that he was incorrect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did form a generally favourable view of the credibility and reliability of the testimony of Mr. Yurkowski and Mr. Dales. They were each prepared to state the limits of their recollections. They appeared to be making a genuine effort to be responsive and to give their best and honest recollection of events. In addition, their accounts were consistent with, what in my view, would be reasonably plausible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resolution of the question of the nature of the original contractual arrangements between Procon and Mr. McNeil lies at the foundation of many of the issues in this litigation. As noted above, Procon contends that the original arrangement was for Mr. McNeil to receive a 5% option, exercisable on the sale of the company provided Mr. McNeil remained with Procon until that time, contributing to its growth and success. Mr. McNeil would receive his share of bonuses as and when they were paid. Mr. McNeil contended that the original agreement was for him to receive an immediate 5% share in the company and the opportunity to participate to his proportionate share in every form of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concluded that the original arrangement was as described by Mr. Yurkowski in his evidence. With respect to the terms of Mr. McNeil's interest in Procon, I find that when the arrangement was entered into in 1992, at the time of his employment Mr. McNeil was granted an option which could be exercised at the time Procon was sold if Mr. McNeil remained with the company until that event. The option was contingent upon Mr. McNeil's continued employment with Procon until the time of such a sale. Under the terms of the original agreement, if he had been dismissed, particularly if he was dismissed for cause prior to the sale, the option would not have been available for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McNeil has contended that the arrangement from the outset was not an option, but rather an immediate 5% interest in the company. However, as noted earlier, I did not form a favourable view of Mr. McNeil's credibility. In addition, Messrs. Yurkowski and Dales wanted to motivate Mr. McNeil to stay with the company and contribute to its success. Giving him an immediate share such that he could quit the next day, wait for the company to succeed and then cash in later when the company was sold, would not be consistent with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at the time this arrangement was entered into Mr. McNeil had not yet commenced accepting secret commissions. Procon hired Mr. McNeil as equipment manager to establish the equipment centre of the operation. It was this position that gave rise to the opportunity for the secret commissions. There is no evidence that he accepted secret commissions while at the Giant Mine. While he was at the Giant Mine, he was employed as a subcontractor and was, until such time as his employment status changed, free to conduct other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McNeil argued that the written Option Agreement simply recorded the arrangement entered into at the outset and as such evidences that arrangement. I find that that was not the case. I conclude that the nature of the arrangement changed when the parties entered into the Option Agreement in 1997. The relevant changes included the parties to the agreement, and that although the agreement still contemplated that the option would be exercised at the time of the sale of Procon, Mr. McNeil was granted the right to exercise it at any time prior to such a sale. The option was irrevocable, and in particular, remained available for exercise even if Mr. McNeil were to be dismissed for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McNeil initiated the negotiations for the Option Agreement. He had demonstrated his worth to the organization and Procon wanted to keep him. I accept Mr. Yurkowski's evidence that Procon was prepared to grant these terms to "make him happy". In any event, by that time, Procon was experiencing success and its shares had value. Thus, it was Mr. Yurkowski's understanding that any exercise of the option prior to a sale of Procon would trigger significant tax consequences for Mr. McNeil making the prospect of an early exercise of the option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time the Option Agreement was negotiated, Mr. McNeil was accepting secret commissions. Procon was not aware of this activity. I find that if Procon had been aware, it would not have entered into the Option Agreement and would have dismissed Mr. McNeil with the result that the option available under the original agreement would not have been available for Mr. McNeil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Option Agreement was then the foundation for the Settlement Agreement. under the terms of the original agreement, when Mr. McNeil resigned his position, he would no longer have had an option available to exercise. Under the terms of the Option Agreement, he did; and, while Procon was under no obligation to purchase Mr. McNeil's interest in the option, it concluded that it was beneficial for it do so. At the time the Settlement Agreement was negotiated Procon had no knowledge of the secret commissions or of Mr. McNeil's involvement with Mr. Fink in the receipt of secret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Liability with respect to the receipt of secret commissions can arise whether or not the employee is a fiduciary; see </w:t>
      </w:r>
      <w:r>
        <w:rPr>
          <w:rFonts w:ascii="arial" w:eastAsia="arial" w:hAnsi="arial" w:cs="arial"/>
          <w:i/>
          <w:color w:val="000000"/>
          <w:sz w:val="20"/>
          <w:lang w:val="en-US" w:eastAsia="en-US" w:bidi="ar-SA"/>
        </w:rPr>
        <w:t>Standard Life Assurance Co. v. Horsburgh</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2005 BCCA 108</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46 B.C.L.R. (4th) 88</w:t>
        </w:r>
      </w:hyperlink>
      <w:r>
        <w:rPr>
          <w:rFonts w:ascii="arial" w:eastAsia="arial" w:hAnsi="arial" w:cs="arial"/>
          <w:color w:val="000000"/>
          <w:sz w:val="20"/>
          <w:lang w:val="en-US" w:eastAsia="en-US" w:bidi="ar-SA"/>
        </w:rPr>
        <w:t>. However, in the present case, the question of whether the defendants Mr. McNeil and Ms. Bonnar were fiduciaries of their employer is relevant to Procon's claim for rescission of the Settlement Agreement and recovery of the bonuses as well as the claims relating to commissions from the transactions involving Mr. Fink.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Procon submits that the defendants, Mr. McNeil and Ms. Bonnar, breached the terms of their employment, their fiduciary duty, and their duty of good faith to the plaintiffs by: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misappropriating corporate funds that belonged to the plaintiffs;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conspiring to unlawfully injure the plaintiffs;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unlawfully receiving secret commissions unbeknownst to the plaintiffs;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converting the plaintiffs' corporate funds to their own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 fiduciary is not limited to an officer or director of the victim, assuming the victim is a company. A senior manager with more meaningful autonomy in supervising and carrying out the operations of the corporate victim, will be more likely to be found to be a fiduciary, see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(1983), 22 B.L.R. 255</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14 E.T.R. 269</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Binstead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57134 Manitoba Ltd. v. Palmer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(1985), 65 B.C.L.R. 355</w:t>
        </w:r>
      </w:hyperlink>
      <w:r>
        <w:rPr>
          <w:rFonts w:ascii="arial" w:eastAsia="arial" w:hAnsi="arial" w:cs="arial"/>
          <w:color w:val="000000"/>
          <w:sz w:val="20"/>
          <w:lang w:val="en-US" w:eastAsia="en-US" w:bidi="ar-SA"/>
        </w:rPr>
        <w:t xml:space="preserve"> (S.C.), varied </w:t>
      </w:r>
      <w:hyperlink r:id="rId679" w:history="1">
        <w:r>
          <w:rPr>
            <w:rFonts w:ascii="arial" w:eastAsia="arial" w:hAnsi="arial" w:cs="arial"/>
            <w:i/>
            <w:color w:val="0077CC"/>
            <w:sz w:val="20"/>
            <w:u w:val="single"/>
            <w:shd w:val="clear" w:color="auto" w:fill="FFFFFF"/>
            <w:lang w:val="en-US" w:eastAsia="en-US" w:bidi="ar-SA"/>
          </w:rPr>
          <w:t>(1989), 37 B.C.L.R. (2d) 50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Further, an employee in an administrative position may be found to have fiduciary obligations where that employee has discretionary access to the funds of the employer, see </w:t>
      </w:r>
      <w:r>
        <w:rPr>
          <w:rFonts w:ascii="arial" w:eastAsia="arial" w:hAnsi="arial" w:cs="arial"/>
          <w:i/>
          <w:color w:val="000000"/>
          <w:sz w:val="20"/>
          <w:lang w:val="en-US" w:eastAsia="en-US" w:bidi="ar-SA"/>
        </w:rPr>
        <w:t>South Nahanni Trading Co. v. Gravel</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(2007), 36 C.B.R. (5th) 115</w:t>
        </w:r>
      </w:hyperlink>
      <w:r>
        <w:rPr>
          <w:rFonts w:ascii="arial" w:eastAsia="arial" w:hAnsi="arial" w:cs="arial"/>
          <w:color w:val="000000"/>
          <w:sz w:val="20"/>
          <w:lang w:val="en-US" w:eastAsia="en-US" w:bidi="ar-SA"/>
        </w:rPr>
        <w:t xml:space="preserve"> (Ont. S.C.J.). As well, a junior employee who would not, in isolation, owe fiduciary obligations to the employer, will be fixed with those fiduciary obligations when he or she joins with a senior employee, who is a fiduciary, in the breach of the senior employee's duties to the employer, see </w:t>
      </w:r>
      <w:r>
        <w:rPr>
          <w:rFonts w:ascii="arial" w:eastAsia="arial" w:hAnsi="arial" w:cs="arial"/>
          <w:i/>
          <w:color w:val="000000"/>
          <w:sz w:val="20"/>
          <w:lang w:val="en-US" w:eastAsia="en-US" w:bidi="ar-SA"/>
        </w:rPr>
        <w:t>Hanson v. Clifford</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(1994), 21 B.L.R. (2d) 108</w:t>
        </w:r>
      </w:hyperlink>
      <w:r>
        <w:rPr>
          <w:rFonts w:ascii="arial" w:eastAsia="arial" w:hAnsi="arial" w:cs="arial"/>
          <w:color w:val="000000"/>
          <w:sz w:val="20"/>
          <w:lang w:val="en-US" w:eastAsia="en-US" w:bidi="ar-SA"/>
        </w:rPr>
        <w:t xml:space="preserve"> (B.C.S.C.), varied </w:t>
      </w:r>
      <w:hyperlink r:id="rId682" w:history="1">
        <w:r>
          <w:rPr>
            <w:rFonts w:ascii="arial" w:eastAsia="arial" w:hAnsi="arial" w:cs="arial"/>
            <w:i/>
            <w:color w:val="0077CC"/>
            <w:sz w:val="20"/>
            <w:u w:val="single"/>
            <w:shd w:val="clear" w:color="auto" w:fill="FFFFFF"/>
            <w:lang w:val="en-US" w:eastAsia="en-US" w:bidi="ar-SA"/>
          </w:rPr>
          <w:t>(1996), 28 B.C.L.R. (3d) 101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Procon submits that both Mr. McNeil and Ms. Bonnar should be found to have owed fiduciary duties to Procon by virtue of their positions and in the case of Ms. Bonnar, by virtue of her participation with Mr. McNeil's breach of duty. Procon notes that by Mr. McNeil's admission, he had a "very wide role" to "basically supervise the Nisku shop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Further, from the evidence of each of Mr. McNeil and Mr. Yurkowski and Mr. Dales, it is clear that the Nisku facility under Mr. McNeil's supervision, had between thirty and fifty employees and was a substantial cost centre for Procon, incurring millions of dollars of costs each year. Mr. McNeil also had substantial, although not total, authority for personnel decisions at Nisku and substantial, although not total, authority to procure parts, equipment, and repairs. He was one of the very small group of trusted senior managers of Procon.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With respect to Ms. Bonnar, she had access both to Procon's funds, through at least the Scrap Metal Fund, and its confidential information. She worked closely with Mr. McNeil and was his romantic partner for most of the time she was employed by Procon. From about 2000 forward, she participated in Mr. McNeil's fraudulent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submit that in fact, Mr. McNeil was not a director or senior officer, and as such, was not a fiduciary. It is submitted that Mr. McNeil's management responsibilities were much more circumscribed and limited. He was instructed not to make purchases without receiving purchase orders from the Vancouver office. The final negotiations concerning price with respect to major purchases occurred through Mr. Yurkowski or the purchasing department in Vancouver. Personnel decisions with respect to senior staff were made by the Vancouver office. Mr. McNeil's authority with respect to dealing with equipment and its maintenance on the job site was subject to Mr. Dales and to the project manager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While it is the case, as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that there were substantial management functions that Mr. McNeil did not perform, having regard to all the circumstances including the management functions he did perform, the fact that he was one of a small core of management, and the unique position he occupied managing the Nisku equipment center, I find that he was a fiduciary. As in </w:t>
      </w:r>
      <w:r>
        <w:rPr>
          <w:rFonts w:ascii="arial" w:eastAsia="arial" w:hAnsi="arial" w:cs="arial"/>
          <w:i/>
          <w:color w:val="000000"/>
          <w:sz w:val="20"/>
          <w:lang w:val="en-US" w:eastAsia="en-US" w:bidi="ar-SA"/>
        </w:rPr>
        <w:t>Binstead,</w:t>
      </w:r>
      <w:r>
        <w:rPr>
          <w:rFonts w:ascii="arial" w:eastAsia="arial" w:hAnsi="arial" w:cs="arial"/>
          <w:color w:val="000000"/>
          <w:sz w:val="20"/>
          <w:lang w:val="en-US" w:eastAsia="en-US" w:bidi="ar-SA"/>
        </w:rPr>
        <w:t xml:space="preserve"> the fact that the employee is not a director or senior officer is not a bar to a finding that he is a fiduciary. I find further that Ms. Bonnar was also under a fiduciary duty because of her participation with Mr. McNeil in his breaches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Issues relating to document production have been a chronic source of friction, directions, and applications in this litigation; see, for example, the history set out in </w:t>
      </w:r>
      <w:hyperlink r:id="rId683" w:history="1">
        <w:r>
          <w:rPr>
            <w:rFonts w:ascii="arial" w:eastAsia="arial" w:hAnsi="arial" w:cs="arial"/>
            <w:i/>
            <w:color w:val="0077CC"/>
            <w:sz w:val="20"/>
            <w:u w:val="single"/>
            <w:shd w:val="clear" w:color="auto" w:fill="FFFFFF"/>
            <w:lang w:val="en-US" w:eastAsia="en-US" w:bidi="ar-SA"/>
          </w:rPr>
          <w:t>2009 BCSC 1401</w:t>
        </w:r>
      </w:hyperlink>
      <w:r>
        <w:rPr>
          <w:rFonts w:ascii="arial" w:eastAsia="arial" w:hAnsi="arial" w:cs="arial"/>
          <w:color w:val="000000"/>
          <w:sz w:val="20"/>
          <w:lang w:val="en-US" w:eastAsia="en-US" w:bidi="ar-SA"/>
        </w:rPr>
        <w:t>. At trial, counsel for the defendants sought that the most severe of adverse inference be drawn against Procon on the basis of what he characterized as an abuse of the "licence" given to it by the order of Mr. Justice Davies who, in response to a series of motions dealing with document production, gave the plaintiffs the option to produce an affidavit of documents or submit to cross-examination with respect to the list of documents. The plaintiffs elected to submit an affidavit of documents which counsel for the defendants submits is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satisfied that there has been substantial compliance by the plaintiffs with their obligations with respect to document production. In my view, further production of documents would not have affected the outcome of trial. I am not prepared to draw any adverse inferences with respect to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Procon's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Documented Secret Commissions Paid by 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concede that liability has been established with respect to the commissions paid by Vantage, whether to Mr. McNeil, Ms. Bonnar or to Gladiator. These commissions total $747,644.45.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my view, they are correct to do so. The applicable principles with respect to secret commissions were stated in </w:t>
      </w:r>
      <w:r>
        <w:rPr>
          <w:rFonts w:ascii="arial" w:eastAsia="arial" w:hAnsi="arial" w:cs="arial"/>
          <w:i/>
          <w:color w:val="000000"/>
          <w:sz w:val="20"/>
          <w:lang w:val="en-US" w:eastAsia="en-US" w:bidi="ar-SA"/>
        </w:rPr>
        <w:t>Alberta Housing Corporation v. Achtem</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[1982] 2 W.W.R. 218</w:t>
        </w:r>
      </w:hyperlink>
      <w:r>
        <w:rPr>
          <w:rFonts w:ascii="arial" w:eastAsia="arial" w:hAnsi="arial" w:cs="arial"/>
          <w:color w:val="000000"/>
          <w:sz w:val="20"/>
          <w:lang w:val="en-US" w:eastAsia="en-US" w:bidi="ar-SA"/>
        </w:rPr>
        <w:t xml:space="preserve"> at 224-5 (Alta. Q.B.) [</w:t>
      </w:r>
      <w:r>
        <w:rPr>
          <w:rFonts w:ascii="arial" w:eastAsia="arial" w:hAnsi="arial" w:cs="arial"/>
          <w:i/>
          <w:color w:val="000000"/>
          <w:sz w:val="20"/>
          <w:lang w:val="en-US" w:eastAsia="en-US" w:bidi="ar-SA"/>
        </w:rPr>
        <w:t>Achtem</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Payment by Achtem to Orysiuk in the sum of $121,369 is admitted by both defendants. It was a secret payment, as no one within the corporation knew of the arrangement, and it was also clearly illegal. Under the authorities quoted to me, it was a bribe. In the case of A.G. N.S. v. Christian </w:t>
      </w:r>
      <w:hyperlink r:id="rId685" w:history="1">
        <w:r>
          <w:rPr>
            <w:rFonts w:ascii="arial" w:eastAsia="arial" w:hAnsi="arial" w:cs="arial"/>
            <w:i/>
            <w:color w:val="0077CC"/>
            <w:sz w:val="20"/>
            <w:u w:val="single"/>
            <w:shd w:val="clear" w:color="auto" w:fill="FFFFFF"/>
            <w:lang w:val="en-US" w:eastAsia="en-US" w:bidi="ar-SA"/>
          </w:rPr>
          <w:t>(1973), 35 D.L.R. (3d) 692</w:t>
        </w:r>
      </w:hyperlink>
      <w:r>
        <w:rPr>
          <w:rFonts w:ascii="arial" w:eastAsia="arial" w:hAnsi="arial" w:cs="arial"/>
          <w:color w:val="000000"/>
          <w:sz w:val="20"/>
          <w:lang w:val="en-US" w:eastAsia="en-US" w:bidi="ar-SA"/>
        </w:rPr>
        <w:t xml:space="preserve"> at 702, varied </w:t>
      </w:r>
      <w:hyperlink r:id="rId686" w:history="1">
        <w:r>
          <w:rPr>
            <w:rFonts w:ascii="arial" w:eastAsia="arial" w:hAnsi="arial" w:cs="arial"/>
            <w:i/>
            <w:color w:val="0077CC"/>
            <w:sz w:val="20"/>
            <w:u w:val="single"/>
            <w:shd w:val="clear" w:color="auto" w:fill="FFFFFF"/>
            <w:lang w:val="en-US" w:eastAsia="en-US" w:bidi="ar-SA"/>
          </w:rPr>
          <w:t>9 N.S.R. (2d) 209</w:t>
        </w:r>
      </w:hyperlink>
      <w:r>
        <w:rPr>
          <w:rFonts w:ascii="arial" w:eastAsia="arial" w:hAnsi="arial" w:cs="arial"/>
          <w:color w:val="000000"/>
          <w:sz w:val="20"/>
          <w:lang w:val="en-US" w:eastAsia="en-US" w:bidi="ar-SA"/>
        </w:rPr>
        <w:t xml:space="preserve"> (C.A.), the trial court quoted favourably from Hovenden &amp; Sons v. Millhoff (1900), 83 L.T. 41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may, therefore, be well to point out what is a bribe in the eyes of the law. Without attempting an exhaustive definition I may say that the following is one statement of what constitutes a bribe. If a gift be made to a confidential agent with the view of inducing the agent to act in favour of the donor in relation to transactions between the donor and the agent's principal and that gift is secret as between the donor and agent -- that is to say, without the knowledge and consent of the principal -- then the gift is a bribe in the view of the law. If a bribe be once established to the court's satisfaction, then certain rules apply. Amongst them the following are now established, and, in my opinion, rightly established, in the interests of morality with the view of discouraging the practice of bribery. First, the court will not inquire into the donor's motive in giving the bribe, nor allow evidence to be gone into as to the motive. Secondly, the court will presume in favour of the principal and as against the briber and the agent bribed, that the agent was influenced by the bribe; and this presumption is irrebuttable. Thirdly, if the agent be a confidential buyer of goods for his principal from the briber, the court will assume as against the briber that the true price of the goods as between him and the purchaser must be taken to be less than the price paid to, or charged by, the vendor by, at any rate, the amount or value of the bribe. If the purchaser alleges loss or damage beyond this, he must prove it. As to the above assumption, we need not determine now whether it could in any case be rebutted. As at present advised, I think in the interests of morality, the assumption should be held an irrebuttable one; but we need not finally decide this because in the present case there is nothing to rebut the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requisite elements are all clearly established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Documented Payments of Secret Commission by Entities other than 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claim $26,865 in this category comprising two payments: one dated June 7, 2002 from Global Power Systems Inc., and one dated June 6, 2005 from Driftech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defendants gave a variety of answers with respect to these payments. However, in cross-examination Mr. McNeil acknowledged that a commission was taken with respect to both transactions. He acknowledged further that with respect to the Driftech transaction this related to a transaction under which Procon acquired a piece of equipment from Driftech and that, while the payment of commission occurred after he left Procon, the transaction occurred while he was still employed by Procon. Mr. McNeil noted that half of the amount Gladiator received was sent to a certain Robin Tremblay at the direction of Mr. Allen of Driftech.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Bonnar agreed in cross-examination that the payment from Global looked to be a commission and that commissions from parties other than Vantage were deposited into the bank account in question. She agreed that Mr. McNeil received commissions from Global. She also agreed that the Driftech payment was a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McNeil and Ms. Bonnar later asserted that the Global amount related to repayment of vacation expenses. Counsel submitted that the funds were paid after Mr. McNeil left Procon's employment and accordingly, the Driftech commission could not be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the defendants' efforts to explain away their admissions to be unpersuasive. I am satisfied that the plaintiffs have established that these amounts were secret commissions paid with respect to transactions. In addition, I am satisfied that while the commission cheque in the Driftech matter was issued after Mr. McNeil left Procon, the transaction itself giving rise to the commission occurred while he was still employed at Procon. However, the actual commission received with respect to that transaction was $10,052.50 after deduction of the amount forwarded to Ms. Tremblay.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Accordingly, the correct amount under this category is $16,052.50.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Undocumented Secret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claim $135,000 or, in the alternative, $85,000 with respect to undocumented secret commissions received by Mr. McNeil. The first calculation is based upon $10,000 per year from 1992 to 2005, the second assumes $5,000 per year from 1992 until 2001, and $10,000 per year thereafter until 2005. It is submitted that Mr. McNeil admitted that he accepted commissions from payers other than Vantage over the years. He agreed that in the mid-2000s, $10,000 was a reasonable estimate of the amounts. His evidence was that $10,000 was high for the early years. Documents with respect to such transactions for the period prior to 2001, have not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Counsel for the plaintiffs relies upon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(1990), 76 D.L.R. (4th) 138</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51 B.C.L.R. (2d) 282</w:t>
        </w:r>
      </w:hyperlink>
      <w:r>
        <w:rPr>
          <w:rFonts w:ascii="arial" w:eastAsia="arial" w:hAnsi="arial" w:cs="arial"/>
          <w:color w:val="000000"/>
          <w:sz w:val="20"/>
          <w:lang w:val="en-US" w:eastAsia="en-US" w:bidi="ar-SA"/>
        </w:rPr>
        <w:t xml:space="preserve"> (C.A.), leave to appeal to S.C.C. refused, </w:t>
      </w:r>
      <w:hyperlink r:id="rId689" w:history="1">
        <w:r>
          <w:rPr>
            <w:rFonts w:ascii="arial" w:eastAsia="arial" w:hAnsi="arial" w:cs="arial"/>
            <w:i/>
            <w:color w:val="0077CC"/>
            <w:sz w:val="20"/>
            <w:u w:val="single"/>
            <w:shd w:val="clear" w:color="auto" w:fill="FFFFFF"/>
            <w:lang w:val="en-US" w:eastAsia="en-US" w:bidi="ar-SA"/>
          </w:rPr>
          <w:t>[1991] S.C.C.A. No.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xml:space="preserve"> cited to D.L.R.] in which the court stated at 149: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only are damages for fraud and breach of fiduciary duty the same for the purposes of calculation, they are also the same for the purposes of the treatment they should receive in relation to the issues of causation and remoteness and they are the same with respect to the discharge of the burden of proof. Once the fraud or breach of fiduciary duty is shown, then the court assessing damages will not be exacting in requiring proof of the precise loss in circumstances where all reasonable efforts have been made by the plaintiff to establish the amount of the loss and the cause of the loss. The burden of leading the evidence to disprove the amount of the loss and the cause of the loss will then fall on the defendant who has been found to have been fraudulent or in breach of fiduciary duty. Reference should be made to </w:t>
      </w:r>
      <w:r>
        <w:rPr>
          <w:rFonts w:ascii="arial" w:eastAsia="arial" w:hAnsi="arial" w:cs="arial"/>
          <w:i/>
          <w:color w:val="000000"/>
          <w:sz w:val="20"/>
          <w:lang w:val="en-US" w:eastAsia="en-US" w:bidi="ar-SA"/>
        </w:rPr>
        <w:t>Howard v. Cunliffe</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(1973), 36 D.L.R. (3d) 212</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Jacks v. Davis</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(1982), 141 D.L.R. (3d) 355</w:t>
        </w:r>
      </w:hyperlink>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22 C.C.L.T. 266</w:t>
        </w:r>
      </w:hyperlink>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[1983] 1 W.W.R. 327</w:t>
        </w:r>
      </w:hyperlink>
      <w:r>
        <w:rPr>
          <w:rFonts w:ascii="arial" w:eastAsia="arial" w:hAnsi="arial" w:cs="arial"/>
          <w:color w:val="000000"/>
          <w:sz w:val="20"/>
          <w:lang w:val="en-US" w:eastAsia="en-US" w:bidi="ar-SA"/>
        </w:rPr>
        <w:t xml:space="preserve"> (B.C.C.A.), particularly at pp. 360-1; </w:t>
      </w:r>
      <w:r>
        <w:rPr>
          <w:rFonts w:ascii="arial" w:eastAsia="arial" w:hAnsi="arial" w:cs="arial"/>
          <w:i/>
          <w:color w:val="000000"/>
          <w:sz w:val="20"/>
          <w:lang w:val="en-US" w:eastAsia="en-US" w:bidi="ar-SA"/>
        </w:rPr>
        <w:t>London Loan &amp; Savings Company of Canada v. Brickenden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[1934] 3 D.L.R. 465</w:t>
        </w:r>
      </w:hyperlink>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[1934] 2 W.W.R. 545</w:t>
        </w:r>
      </w:hyperlink>
      <w:r>
        <w:rPr>
          <w:rFonts w:ascii="arial" w:eastAsia="arial" w:hAnsi="arial" w:cs="arial"/>
          <w:color w:val="000000"/>
          <w:sz w:val="20"/>
          <w:lang w:val="en-US" w:eastAsia="en-US" w:bidi="ar-SA"/>
        </w:rPr>
        <w:t xml:space="preserve"> (P.C.), particularly at pp. 469-70; </w:t>
      </w:r>
      <w:r>
        <w:rPr>
          <w:rFonts w:ascii="arial" w:eastAsia="arial" w:hAnsi="arial" w:cs="arial"/>
          <w:i/>
          <w:color w:val="000000"/>
          <w:sz w:val="20"/>
          <w:lang w:val="en-US" w:eastAsia="en-US" w:bidi="ar-SA"/>
        </w:rPr>
        <w:t>Ruxton and Ruxton v. Kelly, Peters &amp; Associates Ltd.</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[1985] 1 W.W.R. 66</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58 B.C.L.R. 317</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(1983), 25 C.C.L.T. 159</w:t>
        </w:r>
      </w:hyperlink>
      <w:r>
        <w:rPr>
          <w:rFonts w:ascii="arial" w:eastAsia="arial" w:hAnsi="arial" w:cs="arial"/>
          <w:color w:val="000000"/>
          <w:sz w:val="20"/>
          <w:lang w:val="en-US" w:eastAsia="en-US" w:bidi="ar-SA"/>
        </w:rPr>
        <w:t>, 40 B.C.L.R. 240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Encorp Pacific (Canada) v. Rocky Mountain Return Center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Ltd.,</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2008 BCSC 779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Encorp</w:t>
      </w:r>
      <w:r>
        <w:rPr>
          <w:rFonts w:ascii="arial" w:eastAsia="arial" w:hAnsi="arial" w:cs="arial"/>
          <w:color w:val="000000"/>
          <w:sz w:val="20"/>
          <w:lang w:val="en-US" w:eastAsia="en-US" w:bidi="ar-SA"/>
        </w:rPr>
        <w:t>], Madam Justice Griffin stated at paras. 127-129 the applicable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way to calculate with certainty the precise amount that Encorp overpaid for returns. Encorp overpaid the difference between the returns reported on the inflated MAs and the returns actually delivered under those MAs. The number of returns actually delivered while the defendants were submitting inflated MAs cannot be known for certain because there are no records of actual returns. The defendants argue that it is the fault of Encorp's audit procedures if this information is not known. I do not agree. The defendants had the obligation to accurately report the number of returned containers to Encorp. It was within the defendants' knowledge and means to track the true numbers of containers at the time of the misrepresentations. If they did keep track of this information, they did not reveal the information in the course of this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cites the maxim that in assessing damages "everything is presumed against the spoiler or wrongdoer", or </w:t>
      </w:r>
      <w:r>
        <w:rPr>
          <w:rFonts w:ascii="arial" w:eastAsia="arial" w:hAnsi="arial" w:cs="arial"/>
          <w:i/>
          <w:color w:val="000000"/>
          <w:sz w:val="20"/>
          <w:lang w:val="en-US" w:eastAsia="en-US" w:bidi="ar-SA"/>
        </w:rPr>
        <w:t>omnia praesumuntur contra spoliatorem</w:t>
      </w:r>
      <w:r>
        <w:rPr>
          <w:rFonts w:ascii="arial" w:eastAsia="arial" w:hAnsi="arial" w:cs="arial"/>
          <w:color w:val="000000"/>
          <w:sz w:val="20"/>
          <w:lang w:val="en-US" w:eastAsia="en-US" w:bidi="ar-SA"/>
        </w:rPr>
        <w:t xml:space="preserve">. The authorities indicate that where the nature of the wrong itself makes it difficult for the plaintiff to establish a loss or where the critical facts are peculiarly within the defendant's knowledge, this maxim will be invoked for the plaintiff's benefit: </w:t>
      </w:r>
      <w:r>
        <w:rPr>
          <w:rFonts w:ascii="arial" w:eastAsia="arial" w:hAnsi="arial" w:cs="arial"/>
          <w:i/>
          <w:color w:val="000000"/>
          <w:sz w:val="20"/>
          <w:lang w:val="en-US" w:eastAsia="en-US" w:bidi="ar-SA"/>
        </w:rPr>
        <w:t>Ticketnet Corp v. Air Canada</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(1997), 154 D.L.R. (4th) 271</w:t>
        </w:r>
      </w:hyperlink>
      <w:r>
        <w:rPr>
          <w:rFonts w:ascii="arial" w:eastAsia="arial" w:hAnsi="arial" w:cs="arial"/>
          <w:color w:val="000000"/>
          <w:sz w:val="20"/>
          <w:lang w:val="en-US" w:eastAsia="en-US" w:bidi="ar-SA"/>
        </w:rPr>
        <w:t xml:space="preserve"> at para. 85, </w:t>
      </w:r>
      <w:hyperlink r:id="rId696" w:history="1">
        <w:r>
          <w:rPr>
            <w:rFonts w:ascii="arial" w:eastAsia="arial" w:hAnsi="arial" w:cs="arial"/>
            <w:i/>
            <w:color w:val="0077CC"/>
            <w:sz w:val="20"/>
            <w:u w:val="single"/>
            <w:shd w:val="clear" w:color="auto" w:fill="FFFFFF"/>
            <w:lang w:val="en-US" w:eastAsia="en-US" w:bidi="ar-SA"/>
          </w:rPr>
          <w:t>105 O.A.C. 87</w:t>
        </w:r>
      </w:hyperlink>
      <w:r>
        <w:rPr>
          <w:rFonts w:ascii="arial" w:eastAsia="arial" w:hAnsi="arial" w:cs="arial"/>
          <w:color w:val="000000"/>
          <w:sz w:val="20"/>
          <w:lang w:val="en-US" w:eastAsia="en-US" w:bidi="ar-SA"/>
        </w:rPr>
        <w:t xml:space="preserve"> (Ont. C.A.), leave to appeal to S.C.C. refused, </w:t>
      </w:r>
      <w:hyperlink r:id="rId697" w:history="1">
        <w:r>
          <w:rPr>
            <w:rFonts w:ascii="arial" w:eastAsia="arial" w:hAnsi="arial" w:cs="arial"/>
            <w:i/>
            <w:color w:val="0077CC"/>
            <w:sz w:val="20"/>
            <w:u w:val="single"/>
            <w:shd w:val="clear" w:color="auto" w:fill="FFFFFF"/>
            <w:lang w:val="en-US" w:eastAsia="en-US" w:bidi="ar-SA"/>
          </w:rPr>
          <w:t>161 D.L.R. (4th) viii</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[1998] S.C.C.A. No. 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general burden of proof lies upon a plaintiff to prove the loss for which compensation is claimed, courts have consistently held that if a plaintiff establishes that a loss has been suffered, the difficulty of determining the amount of it does not excuse the wrongdoer from paying damages: S.M. Waddams, </w:t>
      </w:r>
      <w:r>
        <w:rPr>
          <w:rFonts w:ascii="arial" w:eastAsia="arial" w:hAnsi="arial" w:cs="arial"/>
          <w:i/>
          <w:color w:val="000000"/>
          <w:sz w:val="20"/>
          <w:lang w:val="en-US" w:eastAsia="en-US" w:bidi="ar-SA"/>
        </w:rPr>
        <w:t>Law of Damages</w:t>
      </w:r>
      <w:r>
        <w:rPr>
          <w:rFonts w:ascii="arial" w:eastAsia="arial" w:hAnsi="arial" w:cs="arial"/>
          <w:color w:val="000000"/>
          <w:sz w:val="20"/>
          <w:lang w:val="en-US" w:eastAsia="en-US" w:bidi="ar-SA"/>
        </w:rPr>
        <w:t xml:space="preserve">, loose-leaf (Aurora, Ont.: Canada Law Book, 2007) at 13-2; </w:t>
      </w:r>
      <w:r>
        <w:rPr>
          <w:rFonts w:ascii="arial" w:eastAsia="arial" w:hAnsi="arial" w:cs="arial"/>
          <w:i/>
          <w:color w:val="000000"/>
          <w:sz w:val="20"/>
          <w:lang w:val="en-US" w:eastAsia="en-US" w:bidi="ar-SA"/>
        </w:rPr>
        <w:t>Webster v. Ernst &amp; Young</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2000 BCCA 229</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75 B.C.L.R. (3d) 169</w:t>
        </w:r>
      </w:hyperlink>
      <w:r>
        <w:rPr>
          <w:rFonts w:ascii="arial" w:eastAsia="arial" w:hAnsi="arial" w:cs="arial"/>
          <w:color w:val="000000"/>
          <w:sz w:val="20"/>
          <w:lang w:val="en-US" w:eastAsia="en-US" w:bidi="ar-SA"/>
        </w:rPr>
        <w:t xml:space="preserve"> at para. 22 leave to appeal to S.C.C. refused </w:t>
      </w:r>
      <w:hyperlink r:id="rId699" w:history="1">
        <w:r>
          <w:rPr>
            <w:rFonts w:ascii="arial" w:eastAsia="arial" w:hAnsi="arial" w:cs="arial"/>
            <w:i/>
            <w:color w:val="0077CC"/>
            <w:sz w:val="20"/>
            <w:u w:val="single"/>
            <w:shd w:val="clear" w:color="auto" w:fill="FFFFFF"/>
            <w:lang w:val="en-US" w:eastAsia="en-US" w:bidi="ar-SA"/>
          </w:rPr>
          <w:t>[2000] S.C.C.A. No. 263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McNeil admitted at trial and on Examination for Discovery that during the time he was employed at Procon he took payments in addition to those from Vantage. In the course of his testimony, at several junctures he suggested that his answers on Discovery did not sufficiently differentiate between commissions and what he described as "side deals". He suggested that during his time at Procon it was part of the terms of his employment contract that he was permitted to engage in such "side deals".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there was no such provision. The only time this issue came up was, on Mr. McNeil's own evidence, while he was a subcontractor pursuant to an arrangement that was subject to termination on very short notice in the event the job action was resolved and before he became an employee of Procon. It is clear that the employment with Procon represented a fundamental change in that relationship. Moreover, his correspondence with customers in early 1993 announcing that Procon would in future be handling all S.J.M. business was inconsistent with such an arrangement. It was no longer the case after his relationship with Procon changed that he was permitted to carry on business on his own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submit that the recovery of secret commissions received from parties other than Vantage does not fall within the scope of the pleadings. In my view, this issue falls within paragraph 22(c) of the Second Amended Statement of Claim, which states that "the Defendants, McNeil and Bonnar, breached the terms of their employment and fiduciary duty and duty of good faith to the Plaintiffs by ... unlawfully receiving secret commissions unbeknownst to the Plaintiffs". Further, I have concluded that the plaintiffs have established that, from his employment in 1992 until he departed in 2005, Mr. McNeil received secret commissions from other parties in addition to those documented from 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Considering all the evidence in light of the applicable principles, I am of the view that Mr. McNeil received at least $10,000 in undocumented commissions annually for the years 2002 to 2004 inclusive, and $5,000 for 2005 until the date of his departure. I find that he received at least $5,000 per year for the years 1997 to 2001 inclusive and $3,000 per year for the period 1992 to 1996 inclusive, reflecting the fact that he was establishing his presence and influence at Procon during this period. In the result, the total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Commissions Received in Connection with James Fink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Procon seeks to recover $29,642.50 in respect of transactions involving Mr. Fink. Procon does not dispute that after Mr. McNeil left Procon, he and Gladiator were permitted to compete with Procon. However, Mr. McNeil entered into a corrupt arrangement with Mr. Fink while he was still an employee of Procon. Clearly, the arrangement was a breach of Mr. McNeil's fiduciary duty. Procon does not seek return of the secret commissions paid to Mr. Fink, which appear to have amounted to some $22,628.79, but does seek the profits made by Gladiator from transactions that were in furtherance of an unlawful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position of the defendants was that this claim was not raised in the pleadings, both with respect to the timing and with respect to the involvement of Mr. Fink. I agree that this claim is not disclosed in the pleadings. Moreover, while it is clear that, assuming proper pleadings, Procon could recover from Gladiator amounts paid as secret commissions to Mr. Fink, that is not what the plaintiffs seek to recover. In addition, and in part perhaps because of the absence of discovery with respect to the issue, the evidence with respect to the transactions at issue is scant and unclear. In the result, I find that the plaintiffs are not entitled to recover with respect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Scrap Metal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Mr. Yurkowski testified that the Nisku office had maintained a cash fund that was made up of sales of scrap. The idea was that the fund would be used for staff functions such as barbeques, golf tournaments and the Christmas party. He stated that prior to Mr. McNeil's departure the fund was never sufficient for these activities. After Mr. McNeil left, he noted that the fund amounted to $20,000 to $30,000 even though activity was less. Counsel submits that it may be inferred that funds were misappropriated where there is a drastic change in cash amounts before or after the accused's tenure in which he or she had control of the funds, citing </w:t>
      </w:r>
      <w:r>
        <w:rPr>
          <w:rFonts w:ascii="arial" w:eastAsia="arial" w:hAnsi="arial" w:cs="arial"/>
          <w:i/>
          <w:color w:val="000000"/>
          <w:sz w:val="20"/>
          <w:lang w:val="en-US" w:eastAsia="en-US" w:bidi="ar-SA"/>
        </w:rPr>
        <w:t>Eagle Ridge Animal &amp; Bird Hospital (c.o.b. All Animal Grooming) v. Sharpe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2009 BCSC 1486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Eagle Ridge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Ms. Bonnar acknowledged that during the time when they were employed by Procon, she and Mr. McNeil had control over the Scrap Metal Fund, which was kept in a cash drawer. Counsel submits that Mr. McNeil and Ms. Bonnar had the exclusive opportunity to misappropriate the funds and that while the mere opportunity to commit the impugned act is relevant evidence, the exclusive opportunity to carry it out may establish culpability, citing </w:t>
      </w:r>
      <w:r>
        <w:rPr>
          <w:rFonts w:ascii="arial" w:eastAsia="arial" w:hAnsi="arial" w:cs="arial"/>
          <w:i/>
          <w:color w:val="000000"/>
          <w:sz w:val="20"/>
          <w:lang w:val="en-US" w:eastAsia="en-US" w:bidi="ar-SA"/>
        </w:rPr>
        <w:t>Smith v. Royal Insurance Co.</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[1983] 3 W.W.R. 577</w:t>
        </w:r>
      </w:hyperlink>
      <w:r>
        <w:rPr>
          <w:rFonts w:ascii="arial" w:eastAsia="arial" w:hAnsi="arial" w:cs="arial"/>
          <w:color w:val="000000"/>
          <w:sz w:val="20"/>
          <w:lang w:val="en-US" w:eastAsia="en-US" w:bidi="ar-SA"/>
        </w:rPr>
        <w:t xml:space="preserve"> (Alta.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plaintiffs' counsel submits that there were a number of substantial cash deposits in the bank accounts operated by Ms. Bonnar and Mr. McNeil for which there was no adequate explanation, totalling $34,065. Both showed a dishonest disposition through acceptance of undisclosed commissions during their employment. In addition, Ms. Bonnar intentionally evaded payment of taxes. Counsel submits that evidence of disposition is admissible in the circumstances, citing </w:t>
      </w:r>
      <w:r>
        <w:rPr>
          <w:rFonts w:ascii="arial" w:eastAsia="arial" w:hAnsi="arial" w:cs="arial"/>
          <w:i/>
          <w:color w:val="000000"/>
          <w:sz w:val="20"/>
          <w:lang w:val="en-US" w:eastAsia="en-US" w:bidi="ar-SA"/>
        </w:rPr>
        <w:t>R. v. Scopelliti</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(1981), 34 O.R. (2d) 524</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63 C.C.C. (2d) 481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Finally, counsel submits that where the facts lie particularly within the knowledge of one of the parties, it is necessary to give some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but very slight evidence may be sufficient to discharge the burden of proof resting on the opposite party, see </w:t>
      </w:r>
      <w:r>
        <w:rPr>
          <w:rFonts w:ascii="arial" w:eastAsia="arial" w:hAnsi="arial" w:cs="arial"/>
          <w:i/>
          <w:color w:val="000000"/>
          <w:sz w:val="20"/>
          <w:lang w:val="en-US" w:eastAsia="en-US" w:bidi="ar-SA"/>
        </w:rPr>
        <w:t>R. v. Welch</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(1931), 57 C.C.C. 202</w:t>
        </w:r>
      </w:hyperlink>
      <w:r>
        <w:rPr>
          <w:rFonts w:ascii="arial" w:eastAsia="arial" w:hAnsi="arial" w:cs="arial"/>
          <w:color w:val="000000"/>
          <w:sz w:val="20"/>
          <w:lang w:val="en-US" w:eastAsia="en-US" w:bidi="ar-SA"/>
        </w:rPr>
        <w:t xml:space="preserve"> (N.S.S.C.).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Counsel submits that once the fraud or breach of fiduciary duty is shown, then the court assessing damages is not exacting in requiring proof of the precise loss where the plaintiff has made reasonable efforts to establish the amount of the loss and the cause of the loss. The burden of leading evidence to disprove the amount and cause of the loss then falls on the defendant who has been found to have been fraudulent or in breach of fiduciary duty, citing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Eagle Ridge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Counsel submits that where the plaintiff is not able to establish precise amounts related to its loss, the court must attempt to determine it based on reasonable assumptions, citing </w:t>
      </w:r>
      <w:r>
        <w:rPr>
          <w:rFonts w:ascii="arial" w:eastAsia="arial" w:hAnsi="arial" w:cs="arial"/>
          <w:i/>
          <w:color w:val="000000"/>
          <w:sz w:val="20"/>
          <w:lang w:val="en-US" w:eastAsia="en-US" w:bidi="ar-SA"/>
        </w:rPr>
        <w:t>Encorp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submits that in regards to the Scrap Metal Fund, the plaintiff has established that it drastically increased by several thousand dollars immediately after Mr. McNeil's departure. Procon has also established that from 2001 until 2004, a total of $34,065 was deposited in cash into Ms. Bonnar's account. Therefore, it is reasonable to assume that Ms. Bonnar and Mr. McNeil took at least $34,065 from the Scrap Metal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submitted that it was not open to the plaintiffs to assert a claim with respect to the Scrap Metal Fund because no such claim was pleaded. However, the claims with respect to Vantage are set out in paragraphs 14 to 21 of the Second Amended Statement of Claim. Paragraph 22 states: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Defendants, McNeil and Bonnar, breached the terms of their employment and fiduciary duty and duty of good faith to the Plaintiffs by: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misappropriating corporate funds that belonged to the Plaintiffs;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conspiring with the Defendants to unlawfully injure the Plaintiffs;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unlawfully receiving secret commissions unbeknownst to the Plaintiffs;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converting the Plaintiffs' corporate funds to their own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To my mind, this paragraph expressly refers to aspects of wrongdoing in addition to claims involving Vantage. The allegation of theft of the scrap metal funds would fall within the scope of the allegations at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then submitted that the evidence relied upon by the plaintiffs with respect to this issue is deficient. The only evidence with respect to the fund was hearsay through Mr. Yurkowski. I agree with this submission. The plaintiffs' submission would have considerable force if the situation were that it was known that $30,000 was in the cash drawer at a time when the defendants had the sole access to the drawer and that it was later found to be missing. Here, however, the evidence does not establish with any precision what money was in the Scrap Metal Fund during the time that the defendants had control of it, or for that matter, what money was in the fund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If one makes the assumption that the fund was less during Mr. McNeil's tenure, theft is not the only possible explanation. It is possible that less diligence was exercised in reclaiming the scrap metal during Mr. McNeil's tenure. It is possible that there were fluctuations in the market that could explain the difference. Moreover, one cannot assume that because more money was sent from the Vancouver office to pay for staff functions during Mr. McNeil's tenure, that the Scrap Metal Fund was depleted during that time. It could be that staff functions were more frequent, costly or extravagant during Mr. McNeil's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the case that the defendants had exclusive knowledge of the amount of the Scrap Metal Fund during their tenure. However, there presumably was evidence that the plaintiffs could have produced to support the inference sought, for example, evidence of the amounts sent from the Vancouver office to Nisku during and after Mr. McNeil's tenure, evidence from his successor of what the fund has been since Mr. McNeil's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addition, it is not the case that the defendants had no innocent explanation for any of the cash deposits. Given the dates, it is not surprising that not all could be accounted for. In all the circumstances, I find that the evidence does not support the inference that the defendants, or either of them, stole from the Scrap Metal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Rescission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submit that Procon would not have honoured any claim by Mr. McNeil to an interest in the business had it known he was defrauding it and would not have made any payment to buy out his option had it known of the ongoing fraud. Procon submits that the Settlement Agreement was procured by Mr. McNeil's concealment of his fraud, whether active or passive.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Procon submits that disclosure by the fiduciary of breaches of fiduciary duty is required, citing </w:t>
      </w:r>
      <w:r>
        <w:rPr>
          <w:rFonts w:ascii="arial" w:eastAsia="arial" w:hAnsi="arial" w:cs="arial"/>
          <w:i/>
          <w:color w:val="000000"/>
          <w:sz w:val="20"/>
          <w:lang w:val="en-US" w:eastAsia="en-US" w:bidi="ar-SA"/>
        </w:rPr>
        <w:t>Laskin v. Bache &amp; Co. Inc.</w:t>
      </w:r>
      <w:r>
        <w:rPr>
          <w:rFonts w:ascii="arial" w:eastAsia="arial" w:hAnsi="arial" w:cs="arial"/>
          <w:color w:val="000000"/>
          <w:sz w:val="20"/>
          <w:lang w:val="en-US" w:eastAsia="en-US" w:bidi="ar-SA"/>
        </w:rPr>
        <w:t xml:space="preserve"> (1971), </w:t>
      </w:r>
      <w:hyperlink r:id="rId704" w:history="1">
        <w:r>
          <w:rPr>
            <w:rFonts w:ascii="arial" w:eastAsia="arial" w:hAnsi="arial" w:cs="arial"/>
            <w:i/>
            <w:color w:val="0077CC"/>
            <w:sz w:val="20"/>
            <w:u w:val="single"/>
            <w:shd w:val="clear" w:color="auto" w:fill="FFFFFF"/>
            <w:lang w:val="en-US" w:eastAsia="en-US" w:bidi="ar-SA"/>
          </w:rPr>
          <w:t>[1972] 1 O.R. 465</w:t>
        </w:r>
      </w:hyperlink>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23 D.L.R. (3d) 385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Laskin</w:t>
      </w:r>
      <w:r>
        <w:rPr>
          <w:rFonts w:ascii="arial" w:eastAsia="arial" w:hAnsi="arial" w:cs="arial"/>
          <w:color w:val="000000"/>
          <w:sz w:val="20"/>
          <w:lang w:val="en-US" w:eastAsia="en-US" w:bidi="ar-SA"/>
        </w:rPr>
        <w:t xml:space="preserve">], and the British decision of Smith J. in </w:t>
      </w:r>
      <w:r>
        <w:rPr>
          <w:rFonts w:ascii="arial" w:eastAsia="arial" w:hAnsi="arial" w:cs="arial"/>
          <w:i/>
          <w:color w:val="000000"/>
          <w:sz w:val="20"/>
          <w:lang w:val="en-US" w:eastAsia="en-US" w:bidi="ar-SA"/>
        </w:rPr>
        <w:t>Tesco Stores Ltd. v. Pook</w:t>
      </w:r>
      <w:r>
        <w:rPr>
          <w:rFonts w:ascii="arial" w:eastAsia="arial" w:hAnsi="arial" w:cs="arial"/>
          <w:color w:val="000000"/>
          <w:sz w:val="20"/>
          <w:lang w:val="en-US" w:eastAsia="en-US" w:bidi="ar-SA"/>
        </w:rPr>
        <w:t>, [2003] EWHC 823 (Ch.) [</w:t>
      </w:r>
      <w:r>
        <w:rPr>
          <w:rFonts w:ascii="arial" w:eastAsia="arial" w:hAnsi="arial" w:cs="arial"/>
          <w:i/>
          <w:color w:val="000000"/>
          <w:sz w:val="20"/>
          <w:lang w:val="en-US" w:eastAsia="en-US" w:bidi="ar-SA"/>
        </w:rPr>
        <w:t>Tesco</w:t>
      </w:r>
      <w:r>
        <w:rPr>
          <w:rFonts w:ascii="arial" w:eastAsia="arial" w:hAnsi="arial" w:cs="arial"/>
          <w:color w:val="000000"/>
          <w:sz w:val="20"/>
          <w:lang w:val="en-US" w:eastAsia="en-US" w:bidi="ar-SA"/>
        </w:rPr>
        <w:t xml:space="preserve">], as well as two subsequent decisions of Justice Smith's on the same issue, </w:t>
      </w:r>
      <w:r>
        <w:rPr>
          <w:rFonts w:ascii="arial" w:eastAsia="arial" w:hAnsi="arial" w:cs="arial"/>
          <w:i/>
          <w:color w:val="000000"/>
          <w:sz w:val="20"/>
          <w:lang w:val="en-US" w:eastAsia="en-US" w:bidi="ar-SA"/>
        </w:rPr>
        <w:t>Hance ATM Systems Ltd. v. Cashbox ATM Systems Ltd</w:t>
      </w:r>
      <w:r>
        <w:rPr>
          <w:rFonts w:ascii="arial" w:eastAsia="arial" w:hAnsi="arial" w:cs="arial"/>
          <w:color w:val="000000"/>
          <w:sz w:val="20"/>
          <w:lang w:val="en-US" w:eastAsia="en-US" w:bidi="ar-SA"/>
        </w:rPr>
        <w:t xml:space="preserve">., [2007] EWHC 1599 (Ch) and </w:t>
      </w:r>
      <w:r>
        <w:rPr>
          <w:rFonts w:ascii="arial" w:eastAsia="arial" w:hAnsi="arial" w:cs="arial"/>
          <w:i/>
          <w:color w:val="000000"/>
          <w:sz w:val="20"/>
          <w:lang w:val="en-US" w:eastAsia="en-US" w:bidi="ar-SA"/>
        </w:rPr>
        <w:t>Crown Dilmun v. Sutton</w:t>
      </w:r>
      <w:r>
        <w:rPr>
          <w:rFonts w:ascii="arial" w:eastAsia="arial" w:hAnsi="arial" w:cs="arial"/>
          <w:color w:val="000000"/>
          <w:sz w:val="20"/>
          <w:lang w:val="en-US" w:eastAsia="en-US" w:bidi="ar-SA"/>
        </w:rPr>
        <w:t>, [2004] EWHC 52 (Ch).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Procon submits further that it is entitled to rescission and that the court is entitled to refuse to restore the perpetrator of a fraud to the benefit of the pre-contractual position, citing </w:t>
      </w:r>
      <w:r>
        <w:rPr>
          <w:rFonts w:ascii="arial" w:eastAsia="arial" w:hAnsi="arial" w:cs="arial"/>
          <w:i/>
          <w:color w:val="000000"/>
          <w:sz w:val="20"/>
          <w:lang w:val="en-US" w:eastAsia="en-US" w:bidi="ar-SA"/>
        </w:rPr>
        <w:t>Colborne Capital Corp. v. 542775 Alberta Ltd.</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1999 ABCA 14</w:t>
        </w:r>
      </w:hyperlink>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[1999] 8 W.W.R. 222</w:t>
        </w:r>
      </w:hyperlink>
      <w:r>
        <w:rPr>
          <w:rFonts w:ascii="arial" w:eastAsia="arial" w:hAnsi="arial" w:cs="arial"/>
          <w:color w:val="000000"/>
          <w:sz w:val="20"/>
          <w:lang w:val="en-US" w:eastAsia="en-US" w:bidi="ar-SA"/>
        </w:rPr>
        <w:t xml:space="preserve"> at para. 221 and </w:t>
      </w:r>
      <w:r>
        <w:rPr>
          <w:rFonts w:ascii="arial" w:eastAsia="arial" w:hAnsi="arial" w:cs="arial"/>
          <w:i/>
          <w:color w:val="000000"/>
          <w:sz w:val="20"/>
          <w:lang w:val="en-US" w:eastAsia="en-US" w:bidi="ar-SA"/>
        </w:rPr>
        <w:t>Dalon v. Legal Services Society</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(1995), 10 C.C.E.L. (2d) 89</w:t>
        </w:r>
      </w:hyperlink>
      <w:r>
        <w:rPr>
          <w:rFonts w:ascii="arial" w:eastAsia="arial" w:hAnsi="arial" w:cs="arial"/>
          <w:color w:val="000000"/>
          <w:sz w:val="20"/>
          <w:lang w:val="en-US" w:eastAsia="en-US" w:bidi="ar-SA"/>
        </w:rPr>
        <w:t xml:space="preserve"> (B.C.S.C.). In the alternative, Procon submits that it is entitled to damages in the form of equitable compensation, citing </w:t>
      </w:r>
      <w:r>
        <w:rPr>
          <w:rFonts w:ascii="arial" w:eastAsia="arial" w:hAnsi="arial" w:cs="arial"/>
          <w:i/>
          <w:color w:val="000000"/>
          <w:sz w:val="20"/>
          <w:lang w:val="en-US" w:eastAsia="en-US" w:bidi="ar-SA"/>
        </w:rPr>
        <w:t>Rick v. Brandsema</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2009 SCC 10</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[2009] 1 S.C.R. 295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defendants submit that, with respect to the duty to disclose breaches of fiduciary duty, </w:t>
      </w:r>
      <w:r>
        <w:rPr>
          <w:rFonts w:ascii="arial" w:eastAsia="arial" w:hAnsi="arial" w:cs="arial"/>
          <w:i/>
          <w:color w:val="000000"/>
          <w:sz w:val="20"/>
          <w:lang w:val="en-US" w:eastAsia="en-US" w:bidi="ar-SA"/>
        </w:rPr>
        <w:t>Tesco</w:t>
      </w:r>
      <w:r>
        <w:rPr>
          <w:rFonts w:ascii="arial" w:eastAsia="arial" w:hAnsi="arial" w:cs="arial"/>
          <w:color w:val="000000"/>
          <w:sz w:val="20"/>
          <w:lang w:val="en-US" w:eastAsia="en-US" w:bidi="ar-SA"/>
        </w:rPr>
        <w:t xml:space="preserve"> is out of step with other United Kingdom decisions and wrongly decided. It is the defendants' submission that in the United Kingdom such a duty has been extended only to directors. Finally, the defendants submit that the law in British Columbia is to the contrary, citing </w:t>
      </w:r>
      <w:r>
        <w:rPr>
          <w:rFonts w:ascii="arial" w:eastAsia="arial" w:hAnsi="arial" w:cs="arial"/>
          <w:i/>
          <w:color w:val="000000"/>
          <w:sz w:val="20"/>
          <w:lang w:val="en-US" w:eastAsia="en-US" w:bidi="ar-SA"/>
        </w:rPr>
        <w:t>Wright v. British Columbia Trade Development Corp.</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(1994), 3 C.C.E.L. (2d) 254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Chisamore v. Molson Brewery of Canada Ltd.</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[1991] B.C.J. No. 3668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Laskin</w:t>
      </w:r>
      <w:r>
        <w:rPr>
          <w:rFonts w:ascii="arial" w:eastAsia="arial" w:hAnsi="arial" w:cs="arial"/>
          <w:color w:val="000000"/>
          <w:sz w:val="20"/>
          <w:lang w:val="en-US" w:eastAsia="en-US" w:bidi="ar-SA"/>
        </w:rPr>
        <w:t>, the plaintiff contracted with the defendant stockbroker to purchase shares on her behalf. The contract expressly contemplated the actual physical delivery of share certificates for the purchased securities. The agent was found to have breached this provision of the contract by accepting some other certificate in lieu of the share certificate. The market was falling and the plaintiff had an opportunity to sell the shares. She called for the certificates. The defendant did not tell the plaintiff what he had done, but rather led her to believe he would deliver the certificates. In the result, the plaintiff suffered damage when she was not able to take advantage of the opportunity to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Laskin</w:t>
      </w:r>
      <w:r>
        <w:rPr>
          <w:rFonts w:ascii="arial" w:eastAsia="arial" w:hAnsi="arial" w:cs="arial"/>
          <w:color w:val="000000"/>
          <w:sz w:val="20"/>
          <w:lang w:val="en-US" w:eastAsia="en-US" w:bidi="ar-SA"/>
        </w:rPr>
        <w:t xml:space="preserve"> did conclude at 392 that the "failure to disclose that they had taken a fail certificate" was a breach of a fiduciary obligation. However, it is clear that what occurred was a misrepresentation of the circumstances in response to the request by the plaintiff. I do not read </w:t>
      </w:r>
      <w:r>
        <w:rPr>
          <w:rFonts w:ascii="arial" w:eastAsia="arial" w:hAnsi="arial" w:cs="arial"/>
          <w:i/>
          <w:color w:val="000000"/>
          <w:sz w:val="20"/>
          <w:lang w:val="en-US" w:eastAsia="en-US" w:bidi="ar-SA"/>
        </w:rPr>
        <w:t>Laskin</w:t>
      </w:r>
      <w:r>
        <w:rPr>
          <w:rFonts w:ascii="arial" w:eastAsia="arial" w:hAnsi="arial" w:cs="arial"/>
          <w:color w:val="000000"/>
          <w:sz w:val="20"/>
          <w:lang w:val="en-US" w:eastAsia="en-US" w:bidi="ar-SA"/>
        </w:rPr>
        <w:t xml:space="preserve"> as authority for the proposition that fiduciaries are under a general duty to disclose their breaches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Bell v. Lever Brothers Ltd.</w:t>
      </w:r>
      <w:r>
        <w:rPr>
          <w:rFonts w:ascii="arial" w:eastAsia="arial" w:hAnsi="arial" w:cs="arial"/>
          <w:color w:val="000000"/>
          <w:sz w:val="20"/>
          <w:lang w:val="en-US" w:eastAsia="en-US" w:bidi="ar-SA"/>
        </w:rPr>
        <w:t xml:space="preserve"> (1931), [1932] A.C. 161 (H.L.)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the plaintiff Bell was employed to act as chairman of a company in which the defendant Lever held a controlling interest and the defendant Snelling acted as vice chair. While in these positions, the plaintiff entered into secret speculative transactions on his own accounts, which the jury found would have constituted grounds for dismissal with cause had the employer known of them. The appointment of the plaintiff was cancelled with compensation. The employers then found out about the breaches and sued to recover the amounts paid. The majority held that the action failed on the issue of mutual mistake. An alternate ground was argued; namely, that the plaintiff had been under a duty to disclose his wrongdoing. Lord Atkin and Lord Thankerton, in separate judgments, held that there was no such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xml:space="preserve"> was followed by this court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which was a wrongful dismissal case.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the plaintiff had worked as a Trade Development Officer. He was involved in a practical joke where he and another male employee went to a store where the other employee bought three items of women's underclothing, wrote the names of male employees on gift cards, and put the underwear and gift cards in inter-office envelopes addressed to female employees. The plaintiff was the one who dropped the envelopes into the inter-office mail. After an internal investigation, the other employee involved was dismissed. The plaintiff later disclosed his involvement in the prank and apologized to the women involved. Several days later, he too was dismissed. Mr. Justice Braidwood held that the employer had not established that there was cause for dismissal. In so concluding he held, citing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that the failure of an employee to disclose his wrongdoing does not amount to cause for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 different result was reached in </w:t>
      </w:r>
      <w:r>
        <w:rPr>
          <w:rFonts w:ascii="arial" w:eastAsia="arial" w:hAnsi="arial" w:cs="arial"/>
          <w:i/>
          <w:color w:val="000000"/>
          <w:sz w:val="20"/>
          <w:lang w:val="en-US" w:eastAsia="en-US" w:bidi="ar-SA"/>
        </w:rPr>
        <w:t>Tesco</w:t>
      </w:r>
      <w:r>
        <w:rPr>
          <w:rFonts w:ascii="arial" w:eastAsia="arial" w:hAnsi="arial" w:cs="arial"/>
          <w:color w:val="000000"/>
          <w:sz w:val="20"/>
          <w:lang w:val="en-US" w:eastAsia="en-US" w:bidi="ar-SA"/>
        </w:rPr>
        <w:t>. The defendant, Simon Pook, had been employed in a senior management position with the plaintiff. The plaintiff discovered that he had concocted false invoices on behalf of a company owned and controlled by him and approved them for payment. Mr. Pook was suspended while the matter was investigated. While suspended, Mr. Pook applied to exercise options which he held under an executive share plan for employees. The plaintiff refused to allow the options to be exercised. The plaintiff then sued to recover the sums paid out under the false invoices and to recover an amount paid to Mr. Pook as a bribe by a company which did business with them. Mr. Pook commenced a counterclaim arising out of his entitlement to exercise the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Justice Smith decided the case on the basis that there was an implied term of the option plan that it could not be exercised as long as the employee was in such breach of contract as would entitle the employer to terminate the contract of employment. Of course with respect to that element the case at bar is quite distinct since it was an express term of the Option Agreement that the option would survive a dismissal for cause. Smith J. then went on in dicta to conclude that Mr. Pook, as senior management, was under a fiduciary duty to disclose his breaches of duty to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U.K. Court of Appeal considered the issue in </w:t>
      </w:r>
      <w:r>
        <w:rPr>
          <w:rFonts w:ascii="arial" w:eastAsia="arial" w:hAnsi="arial" w:cs="arial"/>
          <w:i/>
          <w:color w:val="000000"/>
          <w:sz w:val="20"/>
          <w:lang w:val="en-US" w:eastAsia="en-US" w:bidi="ar-SA"/>
        </w:rPr>
        <w:t>Item Software (UK) Ltd. v. Fassihi</w:t>
      </w:r>
      <w:r>
        <w:rPr>
          <w:rFonts w:ascii="arial" w:eastAsia="arial" w:hAnsi="arial" w:cs="arial"/>
          <w:color w:val="000000"/>
          <w:sz w:val="20"/>
          <w:lang w:val="en-US" w:eastAsia="en-US" w:bidi="ar-SA"/>
        </w:rPr>
        <w:t>, [2004] EWCA Civ. 1244. In that case, the defendant was employed as the sales and marketing director of the plaintiff. In breach of his contract of employment and his duty as a director, he diverted a contact of his employer to his own company, took a hard line in negotiations on behalf of his employer to improve his own position and failed to disclose what he had done. The employer sued for damages for breach of duty and contract and the defendant sued for damages for wrongful dismissal and arrears of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court concluded that the defendant was under a duty to disclose his own misconduct, not as a separate duty, but rather as an aspect of his duty of loyalty. The court noted that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xml:space="preserve"> was not a case dealing with breach of fiduciary duty. Moreover, that it was not authority for the proposition that there are circumstances under which an employee will be found to have a duty to disclose his own wrongdoing. Lady Justice Arden noted that there were sound policy reasons to support holding that a director's duty of loyalty requires him to disclose his misconduct, including that such a duty makes the remedy for an existing liability of a director to account for secret profit more effective, and that the conclusion that a director owes no obligation to disclose his improper actions would also be inefficient in economic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my view, the duty of loyalty and the disclosure required of Mr. McNeil by that duty is the key to the resolution of this issue. The facts of the present case are distinguishable from those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because, in this case, unlike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the conduct at issue would amount to conduct entitling the employer to dismiss for cause. Further, unlike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the misconduct in this case was at the very heart of the employee's duty to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Paul Perell summarizes the duty of loyalty as follows in "</w:t>
      </w:r>
      <w:r>
        <w:rPr>
          <w:rFonts w:ascii="arial" w:eastAsia="arial" w:hAnsi="arial" w:cs="arial"/>
          <w:i/>
          <w:color w:val="000000"/>
          <w:sz w:val="20"/>
          <w:lang w:val="en-US" w:eastAsia="en-US" w:bidi="ar-SA"/>
        </w:rPr>
        <w:t>Remedies for the Victims of a Bribe</w:t>
      </w:r>
      <w:r>
        <w:rPr>
          <w:rFonts w:ascii="arial" w:eastAsia="arial" w:hAnsi="arial" w:cs="arial"/>
          <w:color w:val="000000"/>
          <w:sz w:val="20"/>
          <w:lang w:val="en-US" w:eastAsia="en-US" w:bidi="ar-SA"/>
        </w:rPr>
        <w:t>" (1999), 22 Advoc. Q. 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views a bribe as a serious civil wrong because of the following ideology. When a person is in a position of trust and confidence (agents, partners, employees, trustees, and fiduciaries are examples) and obliged by the common law or by equity to be loyal to another, then to support and protect the beneficiaries of the relationship of trust and confidence, the law imposes particular duties on that person, including the duty to keep confidences, the duty to avoid conflicts of interest, </w:t>
      </w:r>
      <w:r>
        <w:rPr>
          <w:rFonts w:ascii="arial" w:eastAsia="arial" w:hAnsi="arial" w:cs="arial"/>
          <w:color w:val="000000"/>
          <w:sz w:val="20"/>
          <w:u w:val="single"/>
          <w:lang w:val="en-US" w:eastAsia="en-US" w:bidi="ar-SA"/>
        </w:rPr>
        <w:t>and the duty to disclose fully all material circumstances that might operate on the employer's, principal's, partner's or beneficiary's judgment</w:t>
      </w:r>
      <w:r>
        <w:rPr>
          <w:rFonts w:ascii="arial" w:eastAsia="arial" w:hAnsi="arial" w:cs="arial"/>
          <w:color w:val="000000"/>
          <w:sz w:val="20"/>
          <w:lang w:val="en-US" w:eastAsia="en-US" w:bidi="ar-SA"/>
        </w:rPr>
        <w:t>. These duties of loyalty entail the further duty on the employee, agent, partner, trustee, or fiduciary not to make a secret profit or secret commission. [Footnotes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This principle was applied by our Court of Appeal in </w:t>
      </w:r>
      <w:r>
        <w:rPr>
          <w:rFonts w:ascii="arial" w:eastAsia="arial" w:hAnsi="arial" w:cs="arial"/>
          <w:i/>
          <w:color w:val="000000"/>
          <w:sz w:val="20"/>
          <w:lang w:val="en-US" w:eastAsia="en-US" w:bidi="ar-SA"/>
        </w:rPr>
        <w:t>Ocean City Realty Ltd. v. A &amp; M Holdings Ltd</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(1987), 36 D.L.R. (4th) 94</w:t>
        </w:r>
      </w:hyperlink>
      <w:r>
        <w:rPr>
          <w:rFonts w:ascii="arial" w:eastAsia="arial" w:hAnsi="arial" w:cs="arial"/>
          <w:color w:val="000000"/>
          <w:sz w:val="20"/>
          <w:lang w:val="en-US" w:eastAsia="en-US" w:bidi="ar-SA"/>
        </w:rPr>
        <w:t xml:space="preserve"> (B.C.C.A.) and see to the same effect </w:t>
      </w:r>
      <w:r>
        <w:rPr>
          <w:rFonts w:ascii="arial" w:eastAsia="arial" w:hAnsi="arial" w:cs="arial"/>
          <w:i/>
          <w:color w:val="000000"/>
          <w:sz w:val="20"/>
          <w:lang w:val="en-US" w:eastAsia="en-US" w:bidi="ar-SA"/>
        </w:rPr>
        <w:t>Canada Permanent Trust Co. v. Christie</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(1979), 16 B.C.L.R. 183</w:t>
        </w:r>
      </w:hyperlink>
      <w:r>
        <w:rPr>
          <w:rFonts w:ascii="arial" w:eastAsia="arial" w:hAnsi="arial" w:cs="arial"/>
          <w:color w:val="000000"/>
          <w:sz w:val="20"/>
          <w:lang w:val="en-US" w:eastAsia="en-US" w:bidi="ar-SA"/>
        </w:rPr>
        <w:t xml:space="preserve"> (S.C.). In addition, it is a fundamental principle noted by the Supreme Court of Canada in </w:t>
      </w:r>
      <w:r>
        <w:rPr>
          <w:rFonts w:ascii="arial" w:eastAsia="arial" w:hAnsi="arial" w:cs="arial"/>
          <w:i/>
          <w:color w:val="000000"/>
          <w:sz w:val="20"/>
          <w:lang w:val="en-US" w:eastAsia="en-US" w:bidi="ar-SA"/>
        </w:rPr>
        <w:t>Bank of Montreal v. Ng</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[1989] 2 S.C.R. 429</w:t>
        </w:r>
      </w:hyperlink>
      <w:r>
        <w:rPr>
          <w:rFonts w:ascii="arial" w:eastAsia="arial" w:hAnsi="arial" w:cs="arial"/>
          <w:color w:val="000000"/>
          <w:sz w:val="20"/>
          <w:lang w:val="en-US" w:eastAsia="en-US" w:bidi="ar-SA"/>
        </w:rPr>
        <w:t xml:space="preserve"> at 441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perpetrator of a wrongful act should not profit thereby, as that would encourage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Thus, Mr. McNeil was under a duty to disclose fully all material circumstances that might operate on his employer's judgment. This duty was central to the duties he owed to his employer. The misconduct at issue lies at the heart of what he was retained to do. Thus, the issue of disclosure is not a new duty superimposed upon existing duties, but at the heart of what the jurisprudence has long stated to be an integral part of the duty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Had Mr. McNeil disclosed what he was doing, Procon would not have entered into the Option Agreement and, in particular, would not have granted Mr. McNeil the right to exercise his option even if dismissed for cause. Rather, the option would have remained consistent with the original agreement, and would be eliminated in the event Mr. McNeil's employment ended prior to the company being sold. In the circumstances, I conclude that Mr. McNeil is not entitled to take advantage of the provision in the Option Agreement that the option endures in the event of cessation of employment. The plaintiffs are entitled to rescission of the Settlement Agreement and recovery of the $1,250,000 paid pursuant to it. Mr. McNeil is not entitled to be restored to the condition prescribed by the Option Agreement. He is not entitled to enforce the Option Agreement because of his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Bonuses Paid to Mr. McNeil and Ms. Bonnar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It is common ground that Mr. McNeil received $557,845 in bonuses during the course of his employment. The plaintiffs assert that Ms. Bonnar received bonuses in the amount of $17,000 during the course of her employment with Procon. The plaintiffs seek to recover these amounts on the grounds that no bonuses would have been paid had the employer been aware of the truth, citing </w:t>
      </w:r>
      <w:r>
        <w:rPr>
          <w:rFonts w:ascii="arial" w:eastAsia="arial" w:hAnsi="arial" w:cs="arial"/>
          <w:i/>
          <w:color w:val="000000"/>
          <w:sz w:val="20"/>
          <w:lang w:val="en-US" w:eastAsia="en-US" w:bidi="ar-SA"/>
        </w:rPr>
        <w:t>Noble Resources SA v. Gross</w:t>
      </w:r>
      <w:r>
        <w:rPr>
          <w:rFonts w:ascii="arial" w:eastAsia="arial" w:hAnsi="arial" w:cs="arial"/>
          <w:color w:val="000000"/>
          <w:sz w:val="20"/>
          <w:lang w:val="en-US" w:eastAsia="en-US" w:bidi="ar-SA"/>
        </w:rPr>
        <w:t>, [2009] EWHC 1435 (Comm), [2009] All E.R. 196 [</w:t>
      </w:r>
      <w:r>
        <w:rPr>
          <w:rFonts w:ascii="arial" w:eastAsia="arial" w:hAnsi="arial" w:cs="arial"/>
          <w:i/>
          <w:color w:val="000000"/>
          <w:sz w:val="20"/>
          <w:lang w:val="en-US" w:eastAsia="en-US" w:bidi="ar-SA"/>
        </w:rPr>
        <w:t>Noble Resources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Achtem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Imageview Management Ltd. v. Jack</w:t>
      </w:r>
      <w:r>
        <w:rPr>
          <w:rFonts w:ascii="arial" w:eastAsia="arial" w:hAnsi="arial" w:cs="arial"/>
          <w:color w:val="000000"/>
          <w:sz w:val="20"/>
          <w:lang w:val="en-US" w:eastAsia="en-US" w:bidi="ar-SA"/>
        </w:rPr>
        <w:t>, [2009] EWCA Civ 63, [2009] 2 All E.R. 666.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 accept that, had Mr. Yurkowski and Mr. Dales been aware of the secret commissions, they would have dismissed Mr. McNeil and Ms. Bonnar for cause. In my view, they would have been within their rights to do so, see </w:t>
      </w:r>
      <w:r>
        <w:rPr>
          <w:rFonts w:ascii="arial" w:eastAsia="arial" w:hAnsi="arial" w:cs="arial"/>
          <w:i/>
          <w:color w:val="000000"/>
          <w:sz w:val="20"/>
          <w:lang w:val="en-US" w:eastAsia="en-US" w:bidi="ar-SA"/>
        </w:rPr>
        <w:t>Canawest Shoes Ltd. v. Genesco Canada Inc</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(1988), 22 C.C.E.L. 131</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Rupert v. Greater Victoria School District No. 61,</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2001 BCSC 700</w:t>
        </w:r>
      </w:hyperlink>
      <w:r>
        <w:rPr>
          <w:rFonts w:ascii="arial" w:eastAsia="arial" w:hAnsi="arial" w:cs="arial"/>
          <w:color w:val="000000"/>
          <w:sz w:val="20"/>
          <w:lang w:val="en-US" w:eastAsia="en-US" w:bidi="ar-SA"/>
        </w:rPr>
        <w:t xml:space="preserve">, aff'd </w:t>
      </w:r>
      <w:hyperlink r:id="rId715" w:history="1">
        <w:r>
          <w:rPr>
            <w:rFonts w:ascii="arial" w:eastAsia="arial" w:hAnsi="arial" w:cs="arial"/>
            <w:i/>
            <w:color w:val="0077CC"/>
            <w:sz w:val="20"/>
            <w:u w:val="single"/>
            <w:shd w:val="clear" w:color="auto" w:fill="FFFFFF"/>
            <w:lang w:val="en-US" w:eastAsia="en-US" w:bidi="ar-SA"/>
          </w:rPr>
          <w:t>2003 BCCA 706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Achtem</w:t>
      </w:r>
      <w:r>
        <w:rPr>
          <w:rFonts w:ascii="arial" w:eastAsia="arial" w:hAnsi="arial" w:cs="arial"/>
          <w:color w:val="000000"/>
          <w:sz w:val="20"/>
          <w:lang w:val="en-US" w:eastAsia="en-US" w:bidi="ar-SA"/>
        </w:rPr>
        <w:t xml:space="preserve"> is authority for the proposition that the agent or fiduciary is not entitled to commissions or fees in relation to a transaction tainted by a secret commission. </w:t>
      </w:r>
      <w:r>
        <w:rPr>
          <w:rFonts w:ascii="arial" w:eastAsia="arial" w:hAnsi="arial" w:cs="arial"/>
          <w:i/>
          <w:color w:val="000000"/>
          <w:sz w:val="20"/>
          <w:lang w:val="en-US" w:eastAsia="en-US" w:bidi="ar-SA"/>
        </w:rPr>
        <w:t>Ocean City Realty Ltd. v. A &amp; M Holdings Ltd</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(1987), 36 D.L.R. (4th) 94</w:t>
        </w:r>
      </w:hyperlink>
      <w:r>
        <w:rPr>
          <w:rFonts w:ascii="arial" w:eastAsia="arial" w:hAnsi="arial" w:cs="arial"/>
          <w:color w:val="000000"/>
          <w:sz w:val="20"/>
          <w:lang w:val="en-US" w:eastAsia="en-US" w:bidi="ar-SA"/>
        </w:rPr>
        <w:t xml:space="preserve"> (B.C.C.A.) is to the same effect. However by this claim, the plaintiffs seek something different; namely to recover bonuses paid out to the employees during the course of their employment. It is the case that relief was granted on this basis by the court in </w:t>
      </w:r>
      <w:r>
        <w:rPr>
          <w:rFonts w:ascii="arial" w:eastAsia="arial" w:hAnsi="arial" w:cs="arial"/>
          <w:i/>
          <w:color w:val="000000"/>
          <w:sz w:val="20"/>
          <w:lang w:val="en-US" w:eastAsia="en-US" w:bidi="ar-SA"/>
        </w:rPr>
        <w:t>Noble Resources</w:t>
      </w:r>
      <w:r>
        <w:rPr>
          <w:rFonts w:ascii="arial" w:eastAsia="arial" w:hAnsi="arial" w:cs="arial"/>
          <w:color w:val="000000"/>
          <w:sz w:val="20"/>
          <w:lang w:val="en-US" w:eastAsia="en-US" w:bidi="ar-SA"/>
        </w:rPr>
        <w:t>; however, there was no discussion of the legal principles informing the decision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McNeil's bonuses flowed from his Option Agreement. They were not performance bonuses in the traditional sense of the term. I conclude that, for the reasons set out in relation to the Settlement Agreement, the plaintiff is entitled to recover these bonuses. Mr. McNeil's duty of loyalty required disclosure of the payments received from Vantage and others. Had Procon known of these payments, Mr. McNeil would have been dismissed, before any bonuses were paid out and before the parties negotiated the Option Agreement that provided for Mr. McNeil's treatment as a shareholder even in the event of dismissal for cause. The Option Agreement is unenforceable at the instance of Mr. McNeil because of his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situation is quite different with respect to Ms. Bonnar's bonuses. First, these appear to have been traditional performance bonuses. There is scant foundation in the evidence with respect to the basis for payment. In addition, the timing of the bonuses is unknown. There is an additional difficulty. Recovery is claimed for amounts paid between 1997 and 2003; however, there is no suggestion that Ms. Bonnar was involved in the receipt of the secret commissions or any other misconduct until 2000. Accordingly, any bonuses received prior to such involvement are not subject to any taint; see </w:t>
      </w:r>
      <w:r>
        <w:rPr>
          <w:rFonts w:ascii="arial" w:eastAsia="arial" w:hAnsi="arial" w:cs="arial"/>
          <w:i/>
          <w:color w:val="000000"/>
          <w:sz w:val="20"/>
          <w:lang w:val="en-US" w:eastAsia="en-US" w:bidi="ar-SA"/>
        </w:rPr>
        <w:t>Achtem</w:t>
      </w:r>
      <w:r>
        <w:rPr>
          <w:rFonts w:ascii="arial" w:eastAsia="arial" w:hAnsi="arial" w:cs="arial"/>
          <w:color w:val="000000"/>
          <w:sz w:val="20"/>
          <w:lang w:val="en-US" w:eastAsia="en-US" w:bidi="ar-SA"/>
        </w:rPr>
        <w:t>. I conclude that the plaintiffs have not discharged their burden of proof with respect to the claim for Ms. Bonnar's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Clean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have submitted that Procon is not entitled to any relief because it does not come to court with clean hands. In particular, the defendants submit that Procon defrauded Mr. McNeil with respect to the rental agreements and that this conduct is such as to disentitle it to relief. In addition, the defendants submitted that the rental agreement arrangement was itself in some way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respect to the propriety of the rental agreement arrangement, the evidence is that the arrangement was proposed by Procon's accountants as part of tax planning. Procon's financial statements were audited with no reservation of opinion. There is no expert evidence to support an assertion that these arrangements are anything other than legitimate tax planning arrangements. In the circumstances, there is no basis to conclude that the arrangements themselves are tainted with impropriety.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With respect to the allegations of fraud, as discussed later in relation to the counterclaim, I concluded that Procon did not defraud Mr. McNeil. Second, even if I am wrong in that conclusion, the "clean hands" doctrine is not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DeJesus v. Sharif</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2010 BCCA 121</w:t>
        </w:r>
      </w:hyperlink>
      <w:r>
        <w:rPr>
          <w:rFonts w:ascii="arial" w:eastAsia="arial" w:hAnsi="arial" w:cs="arial"/>
          <w:color w:val="000000"/>
          <w:sz w:val="20"/>
          <w:lang w:val="en-US" w:eastAsia="en-US" w:bidi="ar-SA"/>
        </w:rPr>
        <w:t xml:space="preserve"> summarized at para. 84 the principles to be applied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Ellis' </w:t>
      </w:r>
      <w:r>
        <w:rPr>
          <w:rFonts w:ascii="arial" w:eastAsia="arial" w:hAnsi="arial" w:cs="arial"/>
          <w:i/>
          <w:color w:val="000000"/>
          <w:sz w:val="20"/>
          <w:lang w:val="en-US" w:eastAsia="en-US" w:bidi="ar-SA"/>
        </w:rPr>
        <w:t>Fiduciary Duties in Canada</w:t>
      </w:r>
      <w:r>
        <w:rPr>
          <w:rFonts w:ascii="arial" w:eastAsia="arial" w:hAnsi="arial" w:cs="arial"/>
          <w:color w:val="000000"/>
          <w:sz w:val="20"/>
          <w:lang w:val="en-US" w:eastAsia="en-US" w:bidi="ar-SA"/>
        </w:rPr>
        <w:t>, looseleaf (Toronto: Carswell, 2009), at 20-38,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Fiduciary duty emerges from equity. Relief for breach of fiduciary duty is therefore subject to the equitable principle that ... "He who seeks equity must do equity. He who seeks equity must come with clean hands" which has been endorsed by the Supreme Court of Canada in Canson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If equitable relief can be established without reliance on the misconduct, then equitable recovery generally is not barred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30th ed. (London: Sweet &amp; Maxwell, 2000) states at p. 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maxim ... must not be taken too widely; 'Equity does not demand that its suitors shall have led blameless lives.' </w:t>
      </w:r>
      <w:r>
        <w:rPr>
          <w:rFonts w:ascii="arial" w:eastAsia="arial" w:hAnsi="arial" w:cs="arial"/>
          <w:color w:val="000000"/>
          <w:sz w:val="20"/>
          <w:u w:val="single"/>
          <w:lang w:val="en-US" w:eastAsia="en-US" w:bidi="ar-SA"/>
        </w:rPr>
        <w:t>What bars the claim is not a general depravity but one which has 'an immediate and necessary relation to the equity sued for</w:t>
      </w:r>
      <w:r>
        <w:rPr>
          <w:rFonts w:ascii="arial" w:eastAsia="arial" w:hAnsi="arial" w:cs="arial"/>
          <w:color w:val="000000"/>
          <w:sz w:val="20"/>
          <w:lang w:val="en-US" w:eastAsia="en-US" w:bidi="ar-SA"/>
        </w:rPr>
        <w:t>,' and is not balanced by any mitigating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The Principles of Equitable Remedies</w:t>
      </w:r>
      <w:r>
        <w:rPr>
          <w:rFonts w:ascii="arial" w:eastAsia="arial" w:hAnsi="arial" w:cs="arial"/>
          <w:color w:val="000000"/>
          <w:sz w:val="20"/>
          <w:lang w:val="en-US" w:eastAsia="en-US" w:bidi="ar-SA"/>
        </w:rPr>
        <w:t>, 6th ed. (UK: Sweet &amp; Maxwell, 2001) I.C.F. Spry states at pp. 169-170: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must be shown, in order to justify a refusal of relief, that there is such an "immediate and necessary relation" between the relief sought and the delinquent behaviour in question that it would be unjust to grant that particular relief. ... So it was once emphasised "that general fraudulent conduct signifies nothing; that general dishonesty of purpose signifies nothing; that attempts to overreach go for nothing; that an intention and design to deceive may go for nothing, </w:t>
      </w:r>
      <w:r>
        <w:rPr>
          <w:rFonts w:ascii="arial" w:eastAsia="arial" w:hAnsi="arial" w:cs="arial"/>
          <w:color w:val="000000"/>
          <w:sz w:val="20"/>
          <w:u w:val="single"/>
          <w:lang w:val="en-US" w:eastAsia="en-US" w:bidi="ar-SA"/>
        </w:rPr>
        <w:t>unless all this dishonesty of purpose, all this fraud, all this intention and design, can be connected with the particular transaction, and not only connected with the particular transaction, but must be made to be the very ground upon which the transaction took place</w:t>
      </w:r>
      <w:r>
        <w:rPr>
          <w:rFonts w:ascii="arial" w:eastAsia="arial" w:hAnsi="arial" w:cs="arial"/>
          <w:color w:val="000000"/>
          <w:sz w:val="20"/>
          <w:lang w:val="en-US" w:eastAsia="en-US" w:bidi="ar-SA"/>
        </w:rPr>
        <w:t>, and must have given rise to this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Finch C.J.B.C.]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present case the misconduct that Mr. McNeil complains of is not sufficiently connected to the matters for which Procon claims relief; therefore, Procon is not barred from equitable relief, even if the defendants' allegations with respect to the payments to which they say Mr. McNeil was entitled have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seek an order for $50,000 as against each of Mr. McNeil, Ms. Bonnar, and Gladiator. Counsel notes the serious nature of the breaches of duty, and the length of time during which the frauds were perpetrated. Counsel submits that punitive damages are needed to deter conduct which is inconsistent with the principles of ordinary commercial morality.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Counsel submits on behalf of the defendants that an award of punitive damages is not appropriate in the present case. Counsel notes that there is no evidence that Procon suffered damage as a result of the breaches. Rather, the evidence is that the transactions were at fair market value. In addition, counsel points a finger at what is characterized as fraudulent conduct by the plaintiff in relation to the rental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leading case on punitive damages is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In that decision, Mr. Justice Binnie, speaking for the majority, described the role of punitive damages and the circumstances in which they are appropriate as follows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awarded against a defendant in exceptional cases for "malicious, oppressive and high-handed" misconduct that "offends the court's sense of decency":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at para. 196. The test thus limits the award to misconduct that represents a marked departure from ordinary standards of decent behaviour. Because their objective is to punish the defendant rather than compensate a plaintiff (whose just compensation will already have been assessed), punitive damages straddle the frontier between civil law (compensation) and criminal law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court emphasized that punitive damages are the exception, and to be used with restraint. The governing rule with respect to quantum is proportionality. Specifically, Binnie J. outlined at paras. 111-25 that a proper award has to be proportionate: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blameworthiness of the defendant's conduct;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degree of vulnerability of the plaintiff;</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harm or potential harm directed specifically at the plaintiff;</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need for deterrence;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other penalties, both civil and criminal, which have been or are likely to be inflicted on the defendant for the same misconduct;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advantage wrongfully gained by a defendant from the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Mr. Justice Paris in </w:t>
      </w:r>
      <w:r>
        <w:rPr>
          <w:rFonts w:ascii="arial" w:eastAsia="arial" w:hAnsi="arial" w:cs="arial"/>
          <w:i/>
          <w:color w:val="000000"/>
          <w:sz w:val="20"/>
          <w:lang w:val="en-US" w:eastAsia="en-US" w:bidi="ar-SA"/>
        </w:rPr>
        <w:t>Ho v. Yip (c.o.b. Canada Contracting)</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(1995), 22 C.L.R. (2d) 66</w:t>
        </w:r>
      </w:hyperlink>
      <w:r>
        <w:rPr>
          <w:rFonts w:ascii="arial" w:eastAsia="arial" w:hAnsi="arial" w:cs="arial"/>
          <w:color w:val="000000"/>
          <w:sz w:val="20"/>
          <w:lang w:val="en-US" w:eastAsia="en-US" w:bidi="ar-SA"/>
        </w:rPr>
        <w:t xml:space="preserve"> at para. 41, described soliciting and receiving secret commissions as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gross breach of ordinary commercial morality. It deserves to be punished, especially so that others will understand that such conduct is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McNeil's conduct was highly blameworthy. He was the initiator of the scheme with Vantage. He accepted secret commissions from other business associates of his employer. He recruited Mr. Fink and Ms. Bonnar to participate in his corrupt transactions. He has not received any other civil and no criminal sanction for his conduct. The corrupt conduct was longstanding and, until discovery, highly profitable. However, the present award will have the effect of stripping the profit from Mr. McNeil. The award sought by the plaintiffs is in the circumstances, somewhat disproportionate to the magnitude of Mr. McNeil's misconduct. There will be an order for punitive damages of $20,000 against Mr.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With respect to Ms. Bonnar, I note that there is no suggestion that she initiated any of the wrongful conduct, although she was an active participant in the scheme. Her conduct, while not to be excused, is less blameworthy than that of Mr. McNeil. Although she has received a criminal sanction, it was for tax transgressions, not the conduct at issue here. Given the damages awarded in this action, I decline to make an award of punitive damages with respect to Ms. Bonnar.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While Gladiator is at law a separate legal person, the only actors who controlled its conduct were Mr. McNeil and Ms. Bonnar. I do not believe that a separate award of punitive damages with respect to Gladiator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Waiver of Contribution from 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its pleadings, Procon waived any right to recover from the defendants Mr. McNeil, Ms. Bonnar and Gladiator, any portion of the loss, including costs, which the court attributes to the fault of 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position of the defendants is that the effect of this provision is that Procon is entitled to recover only half of the amount of all successful claims from the remaining defendants. This is said to flow from the provisions of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Counsel notes that the term "fault" in this provision has been found to encompass both intentional and negligent torts, see for example </w:t>
      </w:r>
      <w:r>
        <w:rPr>
          <w:rFonts w:ascii="arial" w:eastAsia="arial" w:hAnsi="arial" w:cs="arial"/>
          <w:i/>
          <w:color w:val="000000"/>
          <w:sz w:val="20"/>
          <w:lang w:val="en-US" w:eastAsia="en-US" w:bidi="ar-SA"/>
        </w:rPr>
        <w:t>Anderson v. Stevens</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[1981] B.C.J. No. 463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a case of fraudulent misrepresentation. Counsel submits that the effect of the waiver is to halve all of Procon's claims because Vantage and McNeil were in essence partners in the scheme, citing </w:t>
      </w:r>
      <w:r>
        <w:rPr>
          <w:rFonts w:ascii="arial" w:eastAsia="arial" w:hAnsi="arial" w:cs="arial"/>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[2007] 2 S.C.R. 177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Strother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Procon submits that the pleading should have no impact on the award in the circumstances of the present case because the defendants have not pleaded any material facts or legal principles in the Statement of Defence that would have the effect of limiting Procon's recovery based upon the settlement with Vantage. In the alternative, counsel submits that the apportionment should be overwhelmingly against Mr. McNeil, Ms. Bonnar and Gladiator, suggesting a 90%-10%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my view,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together with the pleading in the Amended Statement of Claim with respect to the settlement with Vantage places the issue of apportionment of fault squarely before the court even in the absence of any pleading in the Statement of Defence. I agree with the submission of counsel for the plaintiffs that there is no basis upon which to conclude that Mr. McNeil and Vantage were in partnership and that that aspect of the analysis in </w:t>
      </w:r>
      <w:r>
        <w:rPr>
          <w:rFonts w:ascii="arial" w:eastAsia="arial" w:hAnsi="arial" w:cs="arial"/>
          <w:i/>
          <w:color w:val="000000"/>
          <w:sz w:val="20"/>
          <w:lang w:val="en-US" w:eastAsia="en-US" w:bidi="ar-SA"/>
        </w:rPr>
        <w:t>Strother</w:t>
      </w:r>
      <w:r>
        <w:rPr>
          <w:rFonts w:ascii="arial" w:eastAsia="arial" w:hAnsi="arial" w:cs="arial"/>
          <w:color w:val="000000"/>
          <w:sz w:val="20"/>
          <w:lang w:val="en-US" w:eastAsia="en-US" w:bidi="ar-SA"/>
        </w:rPr>
        <w:t xml:space="preserve"> has no application. I agree as well that there is no basis upon which to find Vantage responsible for any of the aspects of the plaintiffs' claim except for the secret commissions that it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With respect to the secret commissions that Vantage paid, in my view, an apportionment of liability of 50/50 as between Vantage as the briber and Mr. McNeil, Ms. Bonnar and Gladiator as the recipients, is in keeping with the principles established in the jurisprudence which establish that the briber and recipient of the bribe are liable to the victim jointly and severally for the amount of the bribe, see for example </w:t>
      </w:r>
      <w:r>
        <w:rPr>
          <w:rFonts w:ascii="arial" w:eastAsia="arial" w:hAnsi="arial" w:cs="arial"/>
          <w:i/>
          <w:color w:val="000000"/>
          <w:sz w:val="20"/>
          <w:lang w:val="en-US" w:eastAsia="en-US" w:bidi="ar-SA"/>
        </w:rPr>
        <w:t>Kranz Investments Ltd. v. S &amp; D Investments Ltd.</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(1984), 60 B.C.L.R. 21</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Macfarlane J. notes that the correct approach with respect to apportionment is to look at conduct in terms of relative blameworthiness or culpability. In my view, the relative culpability of the briber in this case is equal to that of the recipient. Accordingly, I apportion Vantage with 50% of the fault with respect to the claim for secret commissions that it paid. Thus, as a result of the settlement it reached with Vantage, Procon will recover only 50% of the award with respect to the secret commissions paid by Vantage from the remaining defendants. However, the balance of the relief claimed by the plaintiffs is not related to the conduct of Vantage and accordingly is not affected by the settlement with 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plaintiffs seek declarations of constructive trust and tracing orders. </w:t>
      </w:r>
      <w:r>
        <w:rPr>
          <w:rFonts w:ascii="arial" w:eastAsia="arial" w:hAnsi="arial" w:cs="arial"/>
          <w:i/>
          <w:color w:val="000000"/>
          <w:sz w:val="20"/>
          <w:lang w:val="en-US" w:eastAsia="en-US" w:bidi="ar-SA"/>
        </w:rPr>
        <w:t>Goodbody v. Bank of Montreal</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(1974), 4 O.R. (2d) 147</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47 D.L.R. (3d) 335</w:t>
        </w:r>
      </w:hyperlink>
      <w:r>
        <w:rPr>
          <w:rFonts w:ascii="arial" w:eastAsia="arial" w:hAnsi="arial" w:cs="arial"/>
          <w:color w:val="000000"/>
          <w:sz w:val="20"/>
          <w:lang w:val="en-US" w:eastAsia="en-US" w:bidi="ar-SA"/>
        </w:rPr>
        <w:t xml:space="preserve"> (H.C.J.) [cited to O.R.] is authority for the proposition that money can be traced in equity. The court noted at 152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the wrongful holder mixes it with his own money, and retains the whole as money, or places the whole in a bank, or invests it in personal securities, effect is given to the true owner's right by allowing him a first charge in the whole mass of money, or the securities which represent it: 14 Hals., 3rd ed., pp. 629-30; </w:t>
      </w:r>
      <w:r>
        <w:rPr>
          <w:rFonts w:ascii="arial" w:eastAsia="arial" w:hAnsi="arial" w:cs="arial"/>
          <w:i/>
          <w:color w:val="000000"/>
          <w:sz w:val="20"/>
          <w:lang w:val="en-US" w:eastAsia="en-US" w:bidi="ar-SA"/>
        </w:rPr>
        <w:t>Pennell v. Deffell</w:t>
      </w:r>
      <w:r>
        <w:rPr>
          <w:rFonts w:ascii="arial" w:eastAsia="arial" w:hAnsi="arial" w:cs="arial"/>
          <w:color w:val="000000"/>
          <w:sz w:val="20"/>
          <w:lang w:val="en-US" w:eastAsia="en-US" w:bidi="ar-SA"/>
        </w:rPr>
        <w:t xml:space="preserve"> (1853), 4 De G.M. &amp; G. 372, 43 E.R. 551; </w:t>
      </w:r>
      <w:r>
        <w:rPr>
          <w:rFonts w:ascii="arial" w:eastAsia="arial" w:hAnsi="arial" w:cs="arial"/>
          <w:i/>
          <w:color w:val="000000"/>
          <w:sz w:val="20"/>
          <w:lang w:val="en-US" w:eastAsia="en-US" w:bidi="ar-SA"/>
        </w:rPr>
        <w:t>Re Hallett's Estate; Knatchbull v. Hallett</w:t>
      </w:r>
      <w:r>
        <w:rPr>
          <w:rFonts w:ascii="arial" w:eastAsia="arial" w:hAnsi="arial" w:cs="arial"/>
          <w:color w:val="000000"/>
          <w:sz w:val="20"/>
          <w:lang w:val="en-US" w:eastAsia="en-US" w:bidi="ar-SA"/>
        </w:rPr>
        <w:t xml:space="preserve"> (1879), 13 Ch.D. 696, and </w:t>
      </w:r>
      <w:r>
        <w:rPr>
          <w:rFonts w:ascii="arial" w:eastAsia="arial" w:hAnsi="arial" w:cs="arial"/>
          <w:i/>
          <w:color w:val="000000"/>
          <w:sz w:val="20"/>
          <w:lang w:val="en-US" w:eastAsia="en-US" w:bidi="ar-SA"/>
        </w:rPr>
        <w:t>Banque Belge pour l'Etranger v. Hambrouck et al.</w:t>
      </w:r>
      <w:r>
        <w:rPr>
          <w:rFonts w:ascii="arial" w:eastAsia="arial" w:hAnsi="arial" w:cs="arial"/>
          <w:color w:val="000000"/>
          <w:sz w:val="20"/>
          <w:lang w:val="en-US" w:eastAsia="en-US" w:bidi="ar-SA"/>
        </w:rPr>
        <w:t>, [1921] 1 K.B. 321.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the court stated at para. 43 that a constructive trust is available in restitution for unjust enrichment and 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Canada, under the broad umbrella of good conscience, constructive trusts are recognized both for wrongful acts like fraud and breach of duty of loyalty, as well as to remedy unjust enrichment and corresponding deprivation. While cases often involve both a wrongful act and unjust enrichment, constructive trusts may be imposed on either ground: where there is a wrongful act but no unjust enrichment and corresponding deprivation; or where there is an unconscionable unjust enrichment in the absence of a wrongful act, as in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w:t>
      </w:r>
      <w:hyperlink r:id="rId583"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Within these two broad categories, there is room for the law of constructive trust to develop and for greater precision to be attained, as time and experience may dictate.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court then went on at para. 45 to state the four conditions which should generally be satisfied in relation to a claim for constructive trust arising from wrongful conduct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supra, this Court explored the prerequisites for a constructive trust based on unjust enrichment. This case requires us to explore the prerequisites for a constructive trust based on wrongful conduct. Extrapolating from the cases where courts of equity have imposed constructive trusts for wrongful conduct, and from a discussion of the criteria considered in an essay by Roy Goode, "Property and Unjust Enrichment", in Andrew Burrows, ed., </w:t>
      </w:r>
      <w:r>
        <w:rPr>
          <w:rFonts w:ascii="arial" w:eastAsia="arial" w:hAnsi="arial" w:cs="arial"/>
          <w:i/>
          <w:color w:val="000000"/>
          <w:sz w:val="20"/>
          <w:lang w:val="en-US" w:eastAsia="en-US" w:bidi="ar-SA"/>
        </w:rPr>
        <w:t>Essays on the Law of Restitution</w:t>
      </w:r>
      <w:r>
        <w:rPr>
          <w:rFonts w:ascii="arial" w:eastAsia="arial" w:hAnsi="arial" w:cs="arial"/>
          <w:color w:val="000000"/>
          <w:sz w:val="20"/>
          <w:lang w:val="en-US" w:eastAsia="en-US" w:bidi="ar-SA"/>
        </w:rPr>
        <w:t xml:space="preserve"> (1991), I would identify four conditions which generally should be satisfied: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show a legitimate reason for seeking a proprietary remedy, either personal or related to the need to ensure that others like the defendant remain faithful to their duties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factors which would render imposition of a constructive trust unjust in all the circumstances of the case; e.g., the interests of intervening creditors must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first claim is in the amount of $200,000 over the residence of Mr. McNeil and Ms. Bonnar in Sherwood Park, Alberta. Mr. McNeil's evidence was that proceeds from the Settlement Agreement were applied to discharge the mortgage on this residence. The defendants have advanced no real opposition to this claim and I am satisfied that it is appropriate to grant the relief sought given the four conditions noted in </w:t>
      </w:r>
      <w:r>
        <w:rPr>
          <w:rFonts w:ascii="arial" w:eastAsia="arial" w:hAnsi="arial" w:cs="arial"/>
          <w:i/>
          <w:color w:val="000000"/>
          <w:sz w:val="20"/>
          <w:lang w:val="en-US" w:eastAsia="en-US" w:bidi="ar-SA"/>
        </w:rPr>
        <w:t>Soulos.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second claim is in the amount of $105,089.44 in relation to the interest of Mr. McNeil or Gladiator, through SIS, in the SIS lands. The defendants' objection to this claim is first, that no such relief was pleaded, which is the case, but further, that SIS has not been made a party to the action. The defendants submit that the latter problem is fatal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plaintiffs submit that it is not necessary to make SIS a party because Mr. McNeil is one of only two principals of SIS and through Mr. McNeil it has had notice of these proceedings. Counsel submits that SIS is not a necessary party, citing </w:t>
      </w:r>
      <w:r>
        <w:rPr>
          <w:rFonts w:ascii="arial" w:eastAsia="arial" w:hAnsi="arial" w:cs="arial"/>
          <w:i/>
          <w:color w:val="000000"/>
          <w:sz w:val="20"/>
          <w:lang w:val="en-US" w:eastAsia="en-US" w:bidi="ar-SA"/>
        </w:rPr>
        <w:t>Topgro Greenhouses Ltd. v. Houweling</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2006 BCCA 183</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53 B.C.L.R. (4th) 310</w:t>
        </w:r>
      </w:hyperlink>
      <w:r>
        <w:rPr>
          <w:rFonts w:ascii="arial" w:eastAsia="arial" w:hAnsi="arial" w:cs="arial"/>
          <w:color w:val="000000"/>
          <w:sz w:val="20"/>
          <w:lang w:val="en-US" w:eastAsia="en-US" w:bidi="ar-SA"/>
        </w:rPr>
        <w:t xml:space="preserve"> at para. 85, leave to appeal ref'd </w:t>
      </w:r>
      <w:hyperlink r:id="rId725" w:history="1">
        <w:r>
          <w:rPr>
            <w:rFonts w:ascii="arial" w:eastAsia="arial" w:hAnsi="arial" w:cs="arial"/>
            <w:i/>
            <w:color w:val="0077CC"/>
            <w:sz w:val="20"/>
            <w:u w:val="single"/>
            <w:shd w:val="clear" w:color="auto" w:fill="FFFFFF"/>
            <w:lang w:val="en-US" w:eastAsia="en-US" w:bidi="ar-SA"/>
          </w:rPr>
          <w:t>[2006] S.C.C.A. No. 231</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Orman v. Canadian Mountain Minerals Ltd.</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(2000), 268 A.R. 338</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86 Alta. L.R. (3d) 307</w:t>
        </w:r>
      </w:hyperlink>
      <w:r>
        <w:rPr>
          <w:rFonts w:ascii="arial" w:eastAsia="arial" w:hAnsi="arial" w:cs="arial"/>
          <w:color w:val="000000"/>
          <w:sz w:val="20"/>
          <w:lang w:val="en-US" w:eastAsia="en-US" w:bidi="ar-SA"/>
        </w:rPr>
        <w:t xml:space="preserve"> (Q.B.)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the alternative, the plaintiffs invite the court to make an order adding SIS as a party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prior to granting judgment, citing </w:t>
      </w:r>
      <w:r>
        <w:rPr>
          <w:rFonts w:ascii="arial" w:eastAsia="arial" w:hAnsi="arial" w:cs="arial"/>
          <w:i/>
          <w:color w:val="000000"/>
          <w:sz w:val="20"/>
          <w:lang w:val="en-US" w:eastAsia="en-US" w:bidi="ar-SA"/>
        </w:rPr>
        <w:t>Centura Buildings Systems Ltd. v. Cressey Whistler Project Corp</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2003 BCSC 1227</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29 C.L.R. (3d) 200</w:t>
        </w:r>
      </w:hyperlink>
      <w:r>
        <w:rPr>
          <w:rFonts w:ascii="arial" w:eastAsia="arial" w:hAnsi="arial" w:cs="arial"/>
          <w:color w:val="000000"/>
          <w:sz w:val="20"/>
          <w:lang w:val="en-US" w:eastAsia="en-US" w:bidi="ar-SA"/>
        </w:rPr>
        <w:t xml:space="preserve"> as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my view, it is not appropriate to grant the order sought in the absence of SIS as a party and appropriate pleadings. Indeed the authorities cited by the plaintiffs note that a person is a necessary party if it is necessary to add them so that he or she will be bound by the result. In addition, Mr. McNeil is not the only principal of SIS. Thus, it is not possible to answer the fourth question from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i.e. whether there are factors that would make it unjust to make the order in the absence of SIS. This is not a circumstance in which it would be appropriate for the court to order SIS to be added as a party. Accordingly, I decline to make the order sought in relation to the SIS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Rental Agreement Arrangement and Condominium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McNeil's counterclaim alleges fraud and breach of contract on the part of Procon in relation to his 5% share of payments that were made to the shareholder companies in relation to the rental agreements and the Hawaiian condominium. Counsel submits that Mr. McNeil's share of such payments is $498,607. Mr. McNeil's submission is founded upon the premise that the Option Agreement essentially memorialized or committed to writing the terms that the parties had agreed to in the original unwritten agreement. Accordingly, the defendants submit that Mr. McNeil was entitled from the outset of his employment to be treated as a shareholder. Procon was not entitled to exclude him from participation in the rental agreement arrangements and he was entitled to a 5% share of the funds transferred from Procon to the shareholder companies by way of loan in relation to the Hawaiian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have concluded as noted earlier in these Reasons, that the Option Agreement was not simply a memorialisation of terms earlier agreed to; rather, it incorporated different terms. Prior to the Option Agreement, Mr. McNeil was not entitled to be treated as a shareholder, but as an option holder. The other option holders, like Mr. McNeil, did not participate in the rental agreement arrangement. Indeed the rental agreement arrangement was not contemplated at the time Mr. McNeil entered into his agreement with Procon. When the arrangement was initiated in 1995, it was applicable only to shareholders and not option holders. Thus, under the original arrangement Mr. McNeil was not entitled to participate in the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find that there was no intention to defraud Mr. McNeil. Mr. Yurkowski's honestly held view was that the option holders did not have the right to participate in the rental agreement arrangement. The fact that, as Mr. Yurkowski testified, the effects of the rental agreement arrangement and the condominium loan were added back into the value of Procon used to calculate Mr. McNeil's 5% interest at the time of settlement negotiations is inconsistent with an intention to defraud.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Option Agreement provided that Mr. McNeil acquired an option in the shares of Procon Holdings (Alberta) Inc. and that he was entitled to all the rights as a shareholder in respect of the optioned shares in that entity. However, the rental agreements were entered into between Procon Mining and Tunnelling Ltd. and the shareholder's companies. Mr. McNeil did not acquire the rights to be treated as a shareholder of the latter entity in the Option Agreement. The terms of the Option Agreement did not require that he be granted the opportunity to participate in the rental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follows that the defendants have not established either fraud or a breach of contract on the part of Procon.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Moreover, pursuant to the Settlement Agreement, Mr. McNeil suffered no loss because the amounts in relation to the rental agreement arrangement and the condominium loans were added back in calculating the value of the enterprise. In any event, Mr. McNeil released his right to any such claim in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It is the case that I have set aside the Settlement Agreement and ordered Mr. McNeil to repay the funds advanced pursuant to that agreement. However, for the reasons stated earlier I have concluded that by reason of his fraud and breach of fiduciary duty he is not entitled to be restored to the position he occupied pursuant to the Option Agreement, accordingly he is not entitled to the benefit of the provisions of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Misuse of Credit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Counsel submits that, without Mr. McNeil's consent, Procon improperly used credit information in the context of a B.C. action. This violated the </w:t>
      </w:r>
      <w:r>
        <w:rPr>
          <w:rFonts w:ascii="arial" w:eastAsia="arial" w:hAnsi="arial" w:cs="arial"/>
          <w:i/>
          <w:color w:val="000000"/>
          <w:sz w:val="20"/>
          <w:lang w:val="en-US" w:eastAsia="en-US" w:bidi="ar-SA"/>
        </w:rPr>
        <w:t>Business Practices and Consumer Protections Act.</w:t>
      </w:r>
      <w:r>
        <w:rPr>
          <w:rFonts w:ascii="arial" w:eastAsia="arial" w:hAnsi="arial" w:cs="arial"/>
          <w:color w:val="000000"/>
          <w:sz w:val="20"/>
          <w:lang w:val="en-US" w:eastAsia="en-US" w:bidi="ar-SA"/>
        </w:rPr>
        <w:t xml:space="preserve"> Counsel seeks nominal damages in the amount of $1,000 in relation to this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Procon notes that no evidence was introduced with respect to the jurisdiction in which the report was obtained and the relevant legislation in that jurisdiction. No evidence was introduced in support of a claim for damages. No objection was taken to the affidavit containing the information at the time it was delivered and the application in support of which the affidavit was delivered was pronounced, by consent, by Madam Justice Martinson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the circumstances, I decline to make an award in respect of this claim. In the result, I dismiss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summary, there will be orders that the plaintiffs are entitled to judgment as against the defendants McNeil, Bonnar and Gladiator jointly and severally in the sum of:</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$747,644.45 with respect to secret commissions paid by Vantage of which the plaintiffs are entitle to recover 50% from the defendants McNeil, Bonnar and Gladiator by virtue of the settlement with Vantage.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$16,052.50 with respect to documented secret commissions paid by entities other than Vantage.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with respect to undocumented secret commissions.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Recision of the Settlement Agreement and recovery of the $1,250,000 paid pursuant to it.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$557,845 with respect to bonus paid to Mr. McNeil during the course of his employment.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punitive damages against Mr. McNeil.</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constructive trust and tracing order in the amount of $200,000 over the residence of Mr. McNeil and Ms. Bonnar in Sherwood Park,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claims are dismissed in relation to:</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Commissions received in connection with James Fink.</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Scrap Metal Fund.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Recovery of bonuses paid to Ms. Bonnar in the course of her employment.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punitive damage against Ms. Bonnar and Gladiator.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construction trust and tracing order in the amount of $105,089.44 in relation to the interests of Mr. McNeil or Gladiator through SIS in the SIS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counterclaim of the defendants McNeil, Bonnar and Gladiator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Counsel are at liberty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Pro-Sys Consultants Ltd. v. Infineon Technologies AG, [2008] B.C.J. No. 831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13-16 and November 19-21,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L043141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575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167 A.C.W.S. (3d) 250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under the Class Proceedings Act, R.S.B.C. 1996, c. 50 Between Pro-Sys Consultants Ltd., Plaintiff, and Infineon Technologies AG, Infineon Technologies North America Corp., Hynix Semiconductor Inc., Hynix Semiconductor America Inc., Hynix Semiconductor Manufacturing America, Inc., Samsung Electronics Co. Ltd., Samsung Semiconductor, Inc., Samsung Electronics Canada Inc., Micron Technology, Inc. and Micron Semiconductor Products, Inc., doing business as Crucial Technologies, Elpida Memory, Inc. and Elpida Memory (USA)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24"/>
      <w:bookmarkEnd w:id="213"/>
      <w:r>
        <w:rPr>
          <w:rFonts w:ascii="arial" w:eastAsia="arial" w:hAnsi="arial" w:cs="arial"/>
          <w:b/>
          <w:color w:val="000000"/>
          <w:sz w:val="20"/>
          <w:lang w:val="en-US" w:eastAsia="en-US" w:bidi="ar-SA"/>
        </w:rPr>
        <w:t>Civil litigation — Civil procedure — Parties — Class or representative actions — Certification — Common interests and issues — Representative plaintiff — Application for certification of class action dismissed — Defendants were convicted of price-fixing conspiracy in the United States — Defendants claimed that size and scope of proposed class, including direct and indirect purchasers, combined with necessity of individual inquiries to establish harm, was fatal to motion — Court was not persuaded there was sufficient evidence of a workable methodology capable of relating harm to class members — Plaintiff did not establish that liability could be established on class-wide basis — Lack of workable litigation plan meant that plaintiff had not established it could fairly and adequately represent the class.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4" w:name="Case Summary_24"/>
            <w:bookmarkEnd w:id="2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Pro-Sys Consultants for certification of class action. The plaintiff charged that the defendants engaged in an international price-fixing conspiracy with respect to the sale of computer memory chips. The defendants had been criminally convicted in the United States with respect to the price-fixing. The plaintiff on behalf of the proposed class members claimed the price fixing contradicted the Competition Act and constituted unlawful conduct. The proposed class members included both direct and indirect purchasers of the computer chips. The plaintiffs submitted that they clearly disclosed and pleaded all requisite elements of tortuous conspiracy, tortuous interference, interference with economic interests, unjust enrichment, waiver of tort, and constructive trust. The defendants conceded that they had conspired to price fix in the U.S., but challenged the availability of civil remedies, and the appropriateness of class proceedings generally. The defendants argued that the Courts had concluded that when the proposed class members included indirect purchasers, the supporting evidence had not met the legal test for certification. The defendants submitted that the size and scope of the proposed class, combined with the necessity of individual inquiries to establish harm, and the complexity of identifying the consequent pass through analysis, was fatal to the plaintiff's motion.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5" w:name="Holdings of Court_20"/>
            <w:bookmarkEnd w:id="215"/>
            <w:r>
              <w:rPr>
                <w:rFonts w:ascii="arial" w:eastAsia="arial" w:hAnsi="arial" w:cs="arial"/>
                <w:color w:val="000000"/>
                <w:sz w:val="20"/>
                <w:lang w:val="en-US" w:eastAsia="en-US" w:bidi="ar-SA"/>
              </w:rPr>
              <w:t>HELD: Application denied.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U.S., evidence of a conspiracy was enough to find that a wrong had been committed, while in Canada the law demanded both a finding of a conspiracy and proof of harm. For certification of a class action, there were five criteria to be met: the disclosure of a cause of action; the presence of an identifiable class; the presence of common issues; a class proceeding had to be shown as the preferable procedure; and there had to be a suitable representative plaintiff. The pleadings, except for elements of the constructive trust claim, met the threshold criteria of disclosure of a cause of action. The issues raised by the defendants were not enough to bar certification on the second ground of the presence of an identifiable class. The court had to be persuaded that there was sufficient evidence of a viable and workable methodology that was capable of relating harm to class members. The plaintiff did not establish that the central issue of liability could be established on a class-wide basis, as there was no workable methodology put forth which was capable of establishing that an overcharge filtered down to and was borne by direct and indirect purchasers. The plaintiff failed to show liability was a common issue. The absence of a class-wide means to prove liability meant that there would have had to been individualized inquiries in order to determine whether the basic elements of liability had been met, which would overwhelm the remaining common issues. A class proceeding in this manner would not have promoted access to justice or judicial economy. Given the broad definition of the proposed class, the complex nature of the market in terms of the diversity of products, the time period, and the numerous individual inquires that would have to be addressed let to the decision that the proposed representative plaintiff had irreconcilable conflicts with other members of the proposed class. The lack of a workable litigation plan relative to the issues in the action meant that the plaintiff had not established that it could fairly and adequately represent the class.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6" w:name="Legislation Cited_16"/>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735"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s. 4(2), s. 4(2)(a), s. 8, s. 29, s. 29(1)(b), s. 29(1)(c)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Competition Act, </w:t>
      </w:r>
      <w:hyperlink r:id="rId605" w:history="1">
        <w:r>
          <w:rPr>
            <w:rFonts w:ascii="arial" w:eastAsia="arial" w:hAnsi="arial" w:cs="arial"/>
            <w:i/>
            <w:color w:val="0077CC"/>
            <w:sz w:val="20"/>
            <w:u w:val="single"/>
            <w:shd w:val="clear" w:color="auto" w:fill="FFFFFF"/>
            <w:lang w:val="en-US" w:eastAsia="en-US" w:bidi="ar-SA"/>
          </w:rPr>
          <w:t>R.S.C. 1985, c. C-34, Part VI, s. 36</w:t>
        </w:r>
      </w:hyperlink>
      <w:r>
        <w:rPr>
          <w:rFonts w:ascii="arial" w:eastAsia="arial" w:hAnsi="arial" w:cs="arial"/>
          <w:color w:val="000000"/>
          <w:sz w:val="20"/>
          <w:lang w:val="en-US" w:eastAsia="en-US" w:bidi="ar-SA"/>
        </w:rPr>
        <w:t>, s. 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7" w:name="Counsel_34"/>
      <w:bookmarkEnd w:id="2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Camp, Q.C., R. Mogerman and D.G.A.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Infineon Technologies, AG and Infineon Technologies North America Corp.: K.L. Kay, E.N. Kolers and M.E. Walli.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Hynix Semiconductor Inc., Hynix Semiconductor America Inc., Hynix Semiconductor Manufacturing America, Inc.: F.P. Morrison, W.B. Milman and E.S.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Samsung Electronics Co. Ltd., Samsung Semiconductor, Inc., Samsung Electronics Canada Inc.: R.E. Kwinter and D.T. Neave.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Micron Technology, Inc. and Micron Semiconductor Products, Inc., doing business as Crucial Technologies: D.M. Low, Q.C. and D.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Elpida Memory, Inc. and Elpida Memory (USA) Inc.: T.J. Mallett and C.P. Naudie.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4"/>
      <w:bookmarkEnd w:id="218"/>
      <w:r>
        <w:pict>
          <v:line id="_x0000_s1187" style="position:absolute;z-index:2518364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8,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and Background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Guilty Pleas and Settlements in the United States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Dynamic Random Access Memory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Dram Supply Chain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Unit Prices of DRAM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Economic Evidence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certification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Findings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a Cause of Action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Identifiable Class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Issues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as the Preferable Procedure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Suitability of the Proposed Representative Plaintiff</w:t>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Appendix A: Supply Chain -- PC Market Appendix B: Supply Chain -- Server Market Appendix C: PC Graphics and video Game Console Appendix D: Supply Chain -- Low Power DRAM Appendix E: Supply Chain -- Network and Communications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D.M. MASUHARA J."/>
            <w:bookmarkEnd w:id="219"/>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 and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certification of a class action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by the plaintiff Pro-Sys Consultants Ltd. ("Pro-Sys").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proposed action is founded on the basis that the defendants engaged in an international price fixing conspiracy with respect to the sale of computer memory chips, called dynamic random access memory ("DRAM") from April 1, 1999 to June 30, 2002. DRAM is an essential component in virtually all electronic products used today, including: mainframes, servers, laptops, automobiles, global positioning devices, cellular phones, cameras and video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(except for Micron) have been criminally convicted in the United States with respect to DRAM price-fixing and have collectively paid $731 million (USD) in fines. Some executives have also accepted plea bargains to pay fines and to serve varying periods of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on behalf of the proposed Class Members who are defined below, says that the defendants' price fixing conspiracy violated the criminal law provisions of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and constitutes illegal and unlawful conduct which allowed the defendants to charge the Class Members more than they would have charged but for the illegal conduct (the "Overcharge"). Damages are sought in the amount of the Overcharge, or restitution of the defendants' illegal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is apparently the first application in Canada with respect to certifying a class action that includes both direct and indirect purchasers. Direct purchasers are those who purchased DRAM or products containing DRAM directly from the primary source of the product. In this case the defendants are the primary source. Indirect purchasers are those who purchased the subject products in transactions subsequent to the direct purchase. A key aspect of this application is the consideration of whether the Overcharge can be identified as having been "passed through" to the indirect purchasers on a class-wide basis. The ability to sustain a class action in relation to indirect purchasers in price fixing cases has been the subject of considerable commentary in the authorities in North American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specific claims against the defendants are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contravention of Part VI of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 xml:space="preserve">, giving rise to damages under s. 36 of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tortious conspiracy;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tortious interference with economic interests;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 claims of unjust enrichment, waiver of tort, and constructive trust;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defines the proposed class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and all persons resident in British Columbia excluding the defendants and their present and former parents, subsidiaries and affiliates, and the judge hearing this application and his or her immediate family, who purchased dynamic random access memory ("DRAM") or products which contained DRAM in, into or from British Columbia between from April 1, 1999 to June 30, 2002 (the "Class Period") (collectively,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written submission clarifies this definition to include those who bought DRAM directly, as well as those who bought DRAM or products containing DRAM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concede that they have conspired to price fix with respect to DRAM in the United States, but they challenge the availability of civil remedies, the appropriateness of class certification generally, and that certification is being sought in Canada and more particularly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Pro-Sys is a consulting business registered pursuant to the laws of British Columbia. In particular, it purchased a Toshiba Satellite 5000 laptop computer from London Drugs in Richmond, British Columbia on March 29, 2002 for $2,997.97 plus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proposed Class Members are acknowledged to consist largely of indirect purchasers.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Infineon Technologies North America Corp. ("ITNA") is a subsidiary company of Infineon Technologies AG ("ITAG"). The former parent of this company was Siemens. ITNA carried on the business of ITAG in North America during the Class Period. Together, ITNA and ITAG are collectively referred to herein as "Infineon".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the relevant period, the vast majority of Infineon DRAM sold into Canada came through Infineon's San Jose office, and was in the form called SGRAM for use in graphics applications. It had no sales office in Canada, nor did it make any direct sales of DRAM in British Columbia during the Class Period. Infineon's sales of DRAM into Canada as a whole represented less than 1% of its total sales of DRAM in North America during the Class Period. Infineon's total DRAM sales billed to Canada during the Class Period was approximately $22 million (USD). Infineon has records of its direct sales but it does not have records of what happened to its product subsequent to that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Hynix Semiconductor Inc. ("HS") is a Korean corporation. Its predecessors included Hyundai Electronics Co., Ltd. and LG Semiconductor Co., Ltd. Hynix Semiconductor America Inc. ("HSA") is HSA's North American, California based subsidiary. Hynix Semiconductor Manufacturing America, Inc. ("HSMA") is an Oregon-based manufacturing entity. Together HS, HSA and HSMA are collectively referred to herein as "Hynix".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relevant period, Hynix produced DRAM in two forms: individual chips and modules. Hynix had one direct purchaser in British Columbia during the Class Period, Seanix.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Samsung Electronics Co. Ltd. ("SE") is an international manufacturer of electronics. Samsung Semiconductor, Inc. ("SS") is a subsidiary and affiliate of Samsung Electronics with respect to the semiconductor line of business in the United States. Samsung Electronics Canada, Inc. ("SEC") and Samsung Electronics America, Inc. ("SEA") are subsidiaries and affiliates of SE with respect to the multimedia and home appliances line of business. Together, SE, SS, SEC and SEA are collectively referred to herein as "Samsung".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Samsung's product lines are divided broadly into three major categories: a) multimedia and home appliances, b) semiconductors (including DRAM units), and c) information and telecommunications.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the proposed Class Period no direct sales of DRAM were made by Samsung into British Columbia. There was and is no Samsung affiliate company with respect to the semiconductor line of business, including DRAM, in Canada. Neither SEC nor SEA has ever had any involvement in the manufacture, sale or distribution of semiconductors including DRAM.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Samsung was released from all claims related to all direct sales of DRAM that occurred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Micron Technology, Inc. ("MT"), located in Boise, Idaho, is the parent company of Micron Semiconductor Products, Inc. ("MSP"), which sells DRAM directly through Crucial Technologies ("CT"). Together, MT, MSP and CT are collectively referred to herein as "Micron".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relevant period, Micron primarily sold DRAM products under three brand names: Micron, SpecTek, and Crucial. Under these brands, Micron produces DRAM in several forms including memory modules that can be inserted into a PC. During the Class Period, Micron's direct DRAM sales into British Columbia totaled $2.3 million and were made primarily to one customer Seanix, who purchased about $1.8 million or about 80% of Micron's British Columbia sales. The balance of British Columbia sales were made to about 2,500 Crucial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Elpida Memory, Inc. ("EM") is a corporation headquartered in Japan. Elpida Memory (USA) Inc. ("EMUSA") has its principal offices in Santa Clara, California. Together, EM and EMUSA are collectively referred to herein as "Elpida". It is the smallest (in terms of global sales and global market share) of the defendant DRAM manufacturers. Elpida conducted business for no more than the last 18 months of the proposed 39 month Class Period. During the Class Period, it made no sales into British Columbia but made direct sales elsewhere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Of the five defendants, only Hynix and Micron made direct sales into British Columbia during the Class Period. The amount of these direct sales over the Class Period was $3.4 million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the Class Period, global revenues from the sale of DRAM were about $80 billion (USD), and the defendants collectively accounted for 76-82% of worldwide DRAM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Guilty Pleas and Settlements in the United States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Beginning in June 2002, the United States Department of Justice ("DOJ") initiated criminal investigations and proceedings with respect to DRAM price-fixing in the United States under anti-trust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or about December 17, 2003, following a subpoena from a Federal grand jury, an MT employee pleaded guilty to obstructing the grand jury's investigation of a suspected conspiracy to fix the price of DRAM products sold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being the first party to admit its misconduct, and for offering full cooperation with the investigation, Micron received amnesty from criminal sanctions for its involvement in price fixing in the DRAM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November 11, 2004, Micron issued a press release admitting that DOJ had presented evidence that some of Micron's employees and certain competitors in the DRAM market had engaged in price fixing.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conspiracy appears to have occurred during a period when DRAM prices decreased significantly and the defendants reached agreements to limit the rate of the price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Following this admission, some of the other defendants in these proceedings pleaded guilty and paid fines for participating in an international conspiracy to fix prices in the DRAM market. These parties and penalties are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15, 2004, Infineon agreed to plead guilty and pay a fine of $160 million (USD) and accrued interest.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21, 2005, DOJ announced that HS had agreed to plead guilty and to pay a fine of $185 million (USD) and accrued interest.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13, 2005, DOJ announced that SE and SS had agreed to plead guilty and to pay a fine of $300 million (USD) and accrued interest.</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30, 2006, DOJ announced that EM had agreed to plead guilty and pay a fine of $84 million (USD) and accrued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total, the defendants have collectively paid $731 million (USD) in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Criminal charges were also brought against individual employees of some of the defendants. These charges have led to the following criminal fines and prison sentences for participation in the international conspiracy to fix DRAM prices:</w:t>
      </w:r>
      <w:r>
        <w:rPr>
          <w:rFonts w:ascii="arial" w:eastAsia="arial" w:hAnsi="arial" w:cs="arial"/>
          <w:sz w:val="20"/>
          <w:lang w:val="en-US" w:eastAsia="en-US" w:bidi="ar-SA"/>
        </w:rPr>
        <w:cr/>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2, 2004, DOJ announced that four executives of Infineon had agreed to plead guilty, to pay $250,000 (USD) each in criminal fines, and to serve prison terms of four to six months.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March 1, 2006, DOJ announced that four executives from Hynix had agreed to plead guilty, to pay $250,000 (USD) each in criminal fines, and to serve prison terms of five to eight months.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March 22, 2006, DOJ announced that three executives from Samsung in the United States and Germany had agreed to plead guilty, to pay $250,000 (USD) each in criminal fines, and to serve prison terms of seven to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plea agreements entered into by the defendants with the U.S. authorities specifies only that original equipment manufacturers ("OEMs") were "directly affected" by the conspiracy in the United States. The plea agreements are silent on the effects on indirect purchasers. The OEMs, all of which directly purchased DRAM from one or more of the defendants, were stated to be: Dell Inc., Hewlett-Packard Company, Compaq Computer Corporation, International Business Machines Corporation, Apple Computer Inc. and Gateway,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Infineon, Samsung, and Hynix have settled direct purchaser class actions in the United States for a collective amount of approximately $160 million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Actions continue with respect to indirect purchaser class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a difference in the laws between the United States and Canada in regard to anti-competitive offences. In the United States, antitrust laws require only evidence of a conspiracy in order to find that a wrong has been committed. In Canada, the laws require both a finding of a conspiracy and proof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To date, the defendants have not paid any fines or penalties to Canadian regulators, have not paid compensation to Canadian consumers, and have not been charged with any criminal activity under Canadian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presented the written evidence of three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T. Ross, the UPS Foundation Professor of Regulation and Competition Policy in the Sauder School of Business at the University of British Columbia. He provided economic evidence regarding the quantification of economic damages arising from anti-competitive practices, and in particular opined on the determination of an overcharge to direct and indirect purchasers of DRAM. He was cross examined by the defendants on his two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Leung, the president and director of Pro-Sys. He deposed that he purchased the aforementioned laptop and believes that it contains DRAM. He has no information as to the size of the class but is aware that a large number of personal computers containing DRAM have been purchased in British Columbia during and after the proposed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Mogerman, counsel for the plaintiff. He provided an overview of the application and similar proceedings in other jurisdictions, including in the United States. He covered the various plea agreements reached between the U.S. Department of Justice and the defendants and their employees. He also covered the qualifications of the firm representing the plaintiff and provided the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presented the written evidence of five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Margaret F. Sanderson, a vice-president and consultant in an economic consulting firm. She is the former Assistant Deputy Director of Investigation for the Canadian Competition Bureau. She provided economic evidence particularly with respect to harm and damage issues related to Class Members. She was cross examined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Victor De Dios, a market research consultant who focuses on the semiconductor memory industry. He holds an M.B.A. from the Wharton School of Business. He has analyzed the DRAM industry for over 18 years. His evidence included a description of the DRAM product line and DRAM applications. The volume of production of DRAM during the Class Period, the average cost of DRAM as a share of the average price of different types of personal computers; a description of the supply chain and distribution of DRAM from manufacturers to consumers; a description of the timing of movement of DRAM from the supplier, through the OEM, distribution and value-added channels, and to the consumer of the electronic products containing DRAM; and an assessment of whether an average consumer can reasonably physically access DRAM in a product to inspect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Jan Dierens, vice president of a successor company to the memory products division of Infineon. He has been in the semiconductor industry for close to 20 years. His evidence included the operations of Infineon, the different types of DRAM produced, the different performance characteristics of DRAM; the various methods in which DRAM was packaged, e.g. component and module form; the methods used by Infineon in selling its products and the arrangements it had for the same in Canada and elsewhere; and the information or lack thereof regarding resale of its DRAM.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Jeong G. Nam, Director of Strategic Account Sales in the Sales and Marketing Division of Hynix. He has approximately 19 years of experience in the DRAM industry, mostly in marketing. He identified other DRAM manufacturers who are not named in this action, whose products were likely sold in British Columbia during the Class Period. He deposed that a consumer of an end product which contained DRAM may not know which manufacturer supplied the DRAM and that the only way to determine the manufacturer would be to open the device and remove the DRAM and look for the manufacturer's mark. This could result in damage to or destruction of the product. He indicated that Hynix had only one direct customer in B.C., Seanix. It purchased on an ad hoc basis. The prices varied for each transaction. He described the market for its DRAM; the distribution chain for its products; the types of DRAM produced by Hynix; the various applications in which its DRAM is used; and the characteristics of its DRAM.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John R. Cerrato, Vice-President of Global Sales for memory sales for Samsung. He deposed that during the proposed class period, Samsung's DRAM sales in Canada, and in B.C. in particular, took place either from Samsung directly or through independent third party distributors. He deposed that no direct sales were made by Samsung to anyone located in B.C. He listed third party distributors of Samsung's DRAM in North America. He stated that Samsung does not know if any of these third parties resold Samsung DRAM into B.C.; if there were, it does not know the location of the point of sale or the resale price. He described an example of the chain of how Samsung DRAM might find its way into a computer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Michael Bokan, Director of Sales for Micron. He has been employed with Micron for 7 years. He described the different varieties of DRAM and the manner in which they are sold, i.e. as components or in modules. He described Micron's sales channels, customer categories and contracting approaches. He described a spot market into which Micron DRAM is sold. He described the various factors that affect pricing for the DRAM sold by Micron.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None of the defendants' witnesses were cross examined, except for Ms. Sanderson.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Dynamic Random Access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DRAM is a commonly used semiconductor memory product, which provides high-speed storage and retrieval of electronic information for a wide variety of computer, telecommunications and consumer electronics products. These products include: mainframe computers, personal computers, laptop computers, workstation computers, server computers, printers, hard disk drives, personal digital assistants, global positioning systems, modems, mobile phones, telecommunications hubs and routers, digital cameras, video recorders, televisions, digital set top boxes, game consoles and MP3 digital music players. Despite this wide variety of products, approximately 81 percent of DRAM is used in personal computers.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also a wide variety of DRAM products that are manufactured and sold. They exist in different forms, sizes, speeds, storage capacities and qualities. DRAM is sold in three main forms:</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"bare die", which are DRAM chips that are not packaged and that lack the connectors required to interface with other electronics;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packaged "components", which are single chips that have been finished with connectors so that they may interface with other electronics;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"modules", which are small printed circuit boards onto which a number of DRAM components and other circuitry have been bonded and which may be connected to other electronics.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cost of DRAM as an input in various end-use products is typically a very small percentage of the price of the product. During the period from 2000-2002, the cost of DRAM was 0.2% of the average price of automotive products; 0.9% of the average price of industrial equipment; 0.3% of the average price of telecommunications products; and 0.8% of the average price of consumer applications. During the proposed Class Period, the input cost of DRAM varied from 1.1% to 8.6% of the average sale price of a major brand desktop personal computer and from 1% to 3.5% of the average price of a notebook computer, such as the Toshiba laptop purchased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DRAM Supply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supply chains that deliver DRAM from the manufacturer to the ultimate purchaser of that DRAM or of the product containing it can be long and multifaceted, involving a complex series of relationships. Through these chains, DRAM is moved between, packaged, and/or modified by various independent companies before they take their final form and reach their final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De Dios described the supply chain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supply chain from the DRAM manufacturer to the consumer of the electronic system using the DRAM product is complex and resembles a web of relationships among different independent companies with different functions, rather than an orderly, hierarchical structure. The supply chain shows the existence of segments in the market that have their own cost, value, pricing and competitive dynamics. DRAM manufacturers are not direct participants in most of these supply chain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De Dios identifies ten groups of market participants through which a DRAM unit may flow following its manufacture and prior to reaching the ultimate consumer:</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added manufacturers, which employ additional back-end manufacturing and packaging technologies to add value to the DRAM for specific applications;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memory-based logistics and fulfillment companies, which provide several services to reduce an original equipment manufacturer's (OEM's) inventory risk while maintaining a supply of upgrade memory to its sale channels;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processor manufacturers, which bundle DRAM products with their processors to deliver a differentiated product;</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spot market brokers, which buy and sell DRAM to make a profit;</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integrated circuit (IC) distributors and resellers, which buy DRAM from manufacturers and resell it to smaller OEMs;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OEMs, which produce branded electronic products that use DRAM;</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original design manufacturers (ODMs) and contract manufacturers (CMs), which design and manufacture systems that are ultimately sold under an OEM brand;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electronic system value added resellers (VARs) and system integrators, which buy DRAM from several different sources and convert them for use for specific applications and markets;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electronic system distributors, which distribute products that use DRAM to resellers and retailers; and</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electronic system retailers, which sell electronic products to consumers.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supply chains through which DRAM units travel can take many forms, involving different market participants and different numbers of transactions. These variations can exist both between DRAM units that are destined for distinctly different end products (e.g. DRAM for a PC, DRAM for a cellular phone) as well as between DRAM units that will ultimately be used in the application as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way of example, two DRAM units that will both be used in a PC may take very different routes along the various supply chains before a computer, within which they are installed, reaches a consumer. For instance, en route to being incorporated into a memory module, a DRAM component may be sold either directly to a memory module manufacturer or to a spot market broker who will, in turn, sell the component to the module manufacturer. Once the module is installed in a PC at an OEM, the DRAM unit may make its way directly to a consumer or be passed through different combinations of DRAM market participants, including distributors and retailers.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Similar patterns emerge in the supply chains for different DRAM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Charts of the supply chain for the following major DRAM applications are found in the affidavit of Mr. De Dios: personal computers, servers, PC graphics and video game consoles, low power DRAM, and network communications. They are attached as Appendices A, B, C, D, and E, respectively.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Unit Prices of DRAM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During the Class Period the weighted average price of DRAM moved in a fashion as depicted in the following graph attached to the affidavit of Ms. Sanderson: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Exhibit 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DRAM Weighted Average Price Per Megabit During Class Period</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8" type="#_x0000_t75" style="width:432.06pt;height:254.29pt">
            <v:imagedata r:id="rId737"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Economic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economic evidence related to the identification of pass-through harm to Class Members was provided by Dr. Ross. The defendants presented responding evidence from Ms. Sanderson.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Ross' first affidavit addressed the following five questions:</w:t>
      </w:r>
      <w:r>
        <w:rPr>
          <w:rFonts w:ascii="arial" w:eastAsia="arial" w:hAnsi="arial" w:cs="arial"/>
          <w:sz w:val="20"/>
          <w:lang w:val="en-US" w:eastAsia="en-US" w:bidi="ar-SA"/>
        </w:rPr>
        <w:cr/>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to assess whether direct purchasers of DRAM paid an overcharge due to cartel conduct?</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to quantify the price overcharge arising from any cartel conduct?</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to determine whether any DRAM price overcharge was passed through (in whole in part) to downstream purchasers of DRAM (i.e. to purchasers of products incorporating DRAM)?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to quantify how much of any overcharge was passed through to downstream purchasers of DRAM?</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my preliminary opinion regarding whether direct and indirect purchasers were damaged by the price overcharge arising from any cartel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Ross summarized his conclusions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response to questions (i) through (iv) is "yes". It is possible to assess and quantify the overcharge paid by direct purchasers of DRAM and it is possible to assess and quantify the extent to which these overcharges were passed through to downstream purchasers of products using DRAM, particularly computers. This analysis would make use of standard economic methods, including estimation using econometric methods. I believe that sufficient information is available to carry out such estimation effectively.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question (v), it is my preliminary assessment that both direct and indirect purchasers of DRAM were likely damaged by DRAM price overcharges.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second affidavit Dr. Ross responded to the criticisms that were set out in Ms. Sanderson's first affidavit. Her itemization of flaws is set out later. As part of his response he characterized Ms. Sanderson's comments as a test against perfection. He stated the obvious that "[a] perfect result is never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Ross then "sketched out" a procedure for measuring harm which included "simplifying assumptions". In this regard he deposed:</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affidavits of Ms. Sanderson and Mr. De Dios makes clear, the DRAM product class includes a number of differentiated products that are used in a wide variety of applications. This fact does not have to change the way I would go about measuring the harm caused by price fixing, but it will make it more demanding and costly than if this was a simpler commodity-type product with few downstream applications. This said, the high level of detail in these two affidavits is itself evidence that the expertise exists to trace through all these channels and markets if that is what the court desires.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now sketch out a procedure for evaluating the fact, amount and distribution of harm suffered by class members. This procedure would take advantage of four reasonable simplifications or simplifying assumptions that make the task much more tractable and straightforward than it would otherwise be.</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simplification would come by dealing with harm on a national (i.e. pan-Canadian) basis. I understand that these class actions are being undertaken on a national basis by cooperating plaintiffs' counsel so this seems very reasonable. This allows us, at the beginning, to avoid having to distinguish between purchases in British Columbia and the rest of Canada and having to worry about products that may have been "exported" from BC to the rest of Canada.</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simplification recognizes that, at some level in the distribution chain, it may well be most efficient to distribute damages on a cy-pres basis as has been done in a number of other price-fixing class actions of which I am aware. It is not for me to say whether or not this is the way the distributions should be made, as this will be for the Court to approve. However, the availability of this option does mean that, if precise estimation of the allocation or distribution of harm is too costly to solve economically at some step in the consumption channel, there is an alternative available to the Court.</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simplification recognizes the integrated nature of the North American markets for many (possibly most) electronics products. Low barriers to trade, the relatively high value of these products and the fact that many are imported into North America from other continents means that over time I would not expect prices to be much different across the borders or arbitrage would operate to close the gaps.</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fourth -- and likely the most important -- simplifying assumption would be to limit the focus of the analysis to one product channel. In this case it would be natural to focus on the personal computer channel as it represents, by a wide margin, the majority of DRAM use. Counsel to the proposed class have instructed me to focus my analysis on the overpricing of DRAM for the personal computer channel. This simplifies the analysis enormously. To the extent that other DRAM product channels are economically similar to the personal computer channel, it may be possible to apply the results derived from the personal computer channel to some other product channels.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Sanderson in her critique of Dr. Ross' first affidavit summarized her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approach proposed by Professor Ross to estimate aggregate damages does not provide: (i) a class-wide method to determine whether any harm was sustained by any Class Members; or (ii) a class-wide means of ascertaining the extent of any such harm that any Class Member might have suffered. Furthermore, there is no alternative analysis that might be employed on a class-wide basis to determine either the fact of harm to the Class Members or the extent of such harm. To determine whether harm was sustained by any Class Member and to estimate the extent of such harm requires individual inquiries. Ultimately, this must be done product by product, direct purchaser by direct purchaser, for each level of distribution in each distribution chain, from direct to indirect purchasers, and then among indirect purchasers. The aggregate damages calculation proposed by the plaintiff offers no way around these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Sanderson opined that Dr. Ross' approach has several flaws. She specified them in the following way:</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even if it can be established that the defendants imposed and sustained an overcharge on their direct purchasers, Professor Ross does not offer a class-wide methodology for determining the existence or extent of any "pass-through" of any such overcharge on DRAM to indirect purchasers. Because the class consists almost entirely of indirect purchasers, the only way to establish the existence of harm to Class Members is by demonstrating that the alleged overcharge was passed through to them. Professor Ross's proposed "aggregate damages" method, by which he attempts to determine harm to these purchasers, is not a class-wide means of achieving this. The methodology is flawed in several key respects: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approach requires a determination of "first" indirect purchasers in British Columbia, but there is no class-wide method for identifying which indirect purchasers are the "first" ones in British Columbia;</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exists no class-wide means to determine if the "first" indirect purchaser in British Columbia bought DRAM or products containing DRAM made by the defendants;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"first" indirect purchasers in British Columbia could be identified and it could be established that they bought DRAM or products containing DRAM manufactured by the defendants (which is impossible using a common class-wide approach), it is impossible from a practical perspective to estimate the harm sustained by these customers;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different products containing DRAM were sold during the Class Period, including desktops and laptops, enterprise and entry-level servers, workstations, mainframe computers, graphics cards, medical electronics, consumer applications such as video game consoles, digital set top boxes, automotive applications, and wireline and wireless telecommunications equipment such as switches, routers, and mobile handsets. These products have complex and variable distribution chains rendering analysis of pass through on a class-wide basis impossible, and highly impractical even on an individualized basis;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 differences in pass-through for different products and distribution channels it would be incorrect to apply the rate of pass-through for the "computer channel" (which in itself is expected to have different pass-through for the various products in this segment) to other products;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alleged conspiracy was found to have had some effect on some sales of DRAM manufactured by the defendants to some customers, as noted above it was not likely effective in raising the prices of DRAM products to supra-competitive levels at all times, the result of which requires examining different overcharges at different times and hence different pass-through amounts to indirect purchasers of DRAM at different times;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DRAM for many end products (which can be highly differentiated) represents a very small component in the overall cost of products containing DRAM, making it highly unlikely that any initial overcharge on DRAM can be causally linked to changes in the price of these end products sold to the "first" indirect purchasers in British Columbia;</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portion of any overcharge passed through to purchasers of products containing DRAM in British Columbia may have been passed out of British Columbia in the form of exported products; and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aggregate damages approach would require enormous amounts of information, much of which is not publicly available and resides with non-parties to this proceeding, most of whom are located outside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regard to Dr. Ross' second affidavit, Ms. Sanderson is no less critical. She comments that Dr. Ross has devised a "new approach" and that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concedes the difficulty and impracticality of the task as the Class is defined in these proceedings. The simplifications contained in the Ross Reply really amount to attempting to estimate the existence and amount of harm for only two segments of DRAM purchasers in Canada (as opposed to British Columbia): (i) consumers who purchased DRAM contained in PCs purchased direct from a US-based PC manufacturer; and (ii) retailers that purchased DRAM contained in PCs purchased direct from a US-based manufacturer. To make these two inquiries provides no evidence on the fact or magnitude of harm to any other purchaser of any product (whether or not a PC) containing DRAM or even of DRAM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these two inquires (which are for Canadian as opposed to British Columbia purchasers) will require individualized inquiries for which considerable information will be required (if they are to be anything other than simple guesses), much of which would need to be sought from non-parties outside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price fixing took place in the manner that has been alleged is not equivalent to assuming that the Class Members have been harmed. As Professor Ross admits in his original affidavit, economic theory teaches that: "[t]he fact that collusion has occurred does not necessarily imply that the collusion has been successful in significantly raising prices above what they would otherwise be." It is entirely plausible that the actual harm to the Class Member is zero. For example, the information that I have collected on PC advertised prices suggests it is highly unlikely that final product prices for PCs sold in British Columbia during the Class Period will be found to be higher as a result of any alleged DRAM overcharge. This, together with the evidence presented in my prior affidavit, suggest Class Members may not have been harmed at all, or alternatively that only a very small number of the Class Members would be found to have suffered any damage, even if it can in fact be established that DRAM prices were raised by the alleged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concluded that neither Dr. Ross' new approach nor his amendments to his original approach provide a class-wide method to determine the existence or extent of harm to the Class as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Sanderson also rejected Dr. Ross' characterization of her critique as a quest for perfection. She says it is rather a reflection of her view that his proposed methodologies are not class-wide means of determining whether any harm alleged to have been caused was passed through to Class Members.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Class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goals of class proceedings legislation are judicial economy, access to justice, and behaviour modification, as explained by Chief Justice McLachlin in </w:t>
      </w: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also stated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certification stage is decidedly not meant to be a test of the merits of the action ... Rather, the certification stage focuses on the </w:t>
      </w:r>
      <w:r>
        <w:rPr>
          <w:rFonts w:ascii="arial" w:eastAsia="arial" w:hAnsi="arial" w:cs="arial"/>
          <w:i/>
          <w:color w:val="000000"/>
          <w:sz w:val="20"/>
          <w:lang w:val="en-US" w:eastAsia="en-US" w:bidi="ar-SA"/>
        </w:rPr>
        <w:t>form</w:t>
      </w:r>
      <w:r>
        <w:rPr>
          <w:rFonts w:ascii="arial" w:eastAsia="arial" w:hAnsi="arial" w:cs="arial"/>
          <w:color w:val="000000"/>
          <w:sz w:val="20"/>
          <w:lang w:val="en-US" w:eastAsia="en-US" w:bidi="ar-SA"/>
        </w:rPr>
        <w:t xml:space="preserve"> of the action. The question at the certification stage is not whether the claim is likely to succeed, but whether the suit is appropriately prosecuted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procedural in nature and does not create any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requires that a plaintiff show that the proposed action meets a particular threshold before it will be certified to proceed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threshold is composed of five criteria: the disclosure of a cause of action, the presence of an identifiable class, the presence of common issues, that a class proceeding is shown to be the preferable procedure, and that there is a suitable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Specifically,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4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4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4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4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4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must establish an evidentiary basis -- some basis in fact -- with respect to each of the criteria, except for the first: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Caputo v. Imperial Tobacco Ltd.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(2004), 236 D.L.R. (4th) 348</w:t>
        </w:r>
      </w:hyperlink>
      <w:r>
        <w:rPr>
          <w:rFonts w:ascii="arial" w:eastAsia="arial" w:hAnsi="arial" w:cs="arial"/>
          <w:color w:val="000000"/>
          <w:sz w:val="20"/>
          <w:lang w:val="en-US" w:eastAsia="en-US" w:bidi="ar-SA"/>
        </w:rPr>
        <w:t xml:space="preserve"> (Ont. S.C.J.); and </w:t>
      </w:r>
      <w:r>
        <w:rPr>
          <w:rFonts w:ascii="arial" w:eastAsia="arial" w:hAnsi="arial" w:cs="arial"/>
          <w:b/>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[2005] B.C.J. No. 2370</w:t>
        </w:r>
      </w:hyperlink>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leave to appeal to S.C.C. refused, </w:t>
      </w:r>
      <w:hyperlink r:id="rId741" w:history="1">
        <w:r>
          <w:rPr>
            <w:rFonts w:ascii="arial" w:eastAsia="arial" w:hAnsi="arial" w:cs="arial"/>
            <w:i/>
            <w:color w:val="0077CC"/>
            <w:sz w:val="20"/>
            <w:u w:val="single"/>
            <w:shd w:val="clear" w:color="auto" w:fill="FFFFFF"/>
            <w:lang w:val="en-US" w:eastAsia="en-US" w:bidi="ar-SA"/>
          </w:rPr>
          <w:t>[2005] S.C.C.A. No. 545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 and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sets the context of the case in stark and strong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are admitted criminals who engaged in an international price fixing conspiracy that affected billions of dollars of commerce worldwide. With the para77 exception of the Micron defendants, each of the defendants and/or their agents have pled guilty to antitrust conspiracy charges in the U.S., and agreed to pay hefty criminal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characterizes the conduct of the defendants as participants in a "hard core cartel" which is "the most egregious violation of competition law": OECD, </w:t>
      </w:r>
      <w:r>
        <w:rPr>
          <w:rFonts w:ascii="arial" w:eastAsia="arial" w:hAnsi="arial" w:cs="arial"/>
          <w:i/>
          <w:color w:val="000000"/>
          <w:sz w:val="20"/>
          <w:lang w:val="en-US" w:eastAsia="en-US" w:bidi="ar-SA"/>
        </w:rPr>
        <w:t>Recommendation of the Council concerning Effective Action Against Hard Core Cartels</w:t>
      </w:r>
      <w:r>
        <w:rPr>
          <w:rFonts w:ascii="arial" w:eastAsia="arial" w:hAnsi="arial" w:cs="arial"/>
          <w:color w:val="000000"/>
          <w:sz w:val="20"/>
          <w:lang w:val="en-US" w:eastAsia="en-US" w:bidi="ar-SA"/>
        </w:rPr>
        <w:t>, Doc. No. C(98) 35/Final (Paris,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plaintiff argues that all of the statutorily required criteria are met and that this matter should be certified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submits that at this stage of the proceeding the focus should be on the form of the action and not the merit of the claim, and that this is not the time to enter into an assessment of the positions of the parties' respective experts or the likelihood that the plaintiff would be successful in any of the particular causes of action pleaded. Such inquiries are better left to the "laboratory of the trial court" where the parties can benefit from pre-trial discovery and a full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defendants respond that the Courts have taken a hard look at class action certification applications regarding anti-competitive allegations and have concluded that the supporting evidence has not met the legal test for certification when the proposed class includes indirect purchasers. They emphasize that no such application has succeeded in Canada when contested. The key cases cited by the defendant in this regard are: </w:t>
      </w:r>
      <w:r>
        <w:rPr>
          <w:rFonts w:ascii="arial" w:eastAsia="arial" w:hAnsi="arial" w:cs="arial"/>
          <w:b/>
          <w:i/>
          <w:color w:val="000000"/>
          <w:sz w:val="20"/>
          <w:lang w:val="en-US" w:eastAsia="en-US" w:bidi="ar-SA"/>
        </w:rPr>
        <w:t>Chadha v. Bayer Inc.</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(2001), 54 O.R. (3d) 520</w:t>
        </w:r>
      </w:hyperlink>
      <w:r>
        <w:rPr>
          <w:rFonts w:ascii="arial" w:eastAsia="arial" w:hAnsi="arial" w:cs="arial"/>
          <w:color w:val="000000"/>
          <w:sz w:val="20"/>
          <w:lang w:val="en-US" w:eastAsia="en-US" w:bidi="ar-SA"/>
        </w:rPr>
        <w:t xml:space="preserve"> (Ont. Div. Ct.), aff'd </w:t>
      </w:r>
      <w:hyperlink r:id="rId743" w:history="1">
        <w:r>
          <w:rPr>
            <w:rFonts w:ascii="arial" w:eastAsia="arial" w:hAnsi="arial" w:cs="arial"/>
            <w:i/>
            <w:color w:val="0077CC"/>
            <w:sz w:val="20"/>
            <w:u w:val="single"/>
            <w:shd w:val="clear" w:color="auto" w:fill="FFFFFF"/>
            <w:lang w:val="en-US" w:eastAsia="en-US" w:bidi="ar-SA"/>
          </w:rPr>
          <w:t>(2003), 63 O.R. (3d) 22</w:t>
        </w:r>
      </w:hyperlink>
      <w:r>
        <w:rPr>
          <w:rFonts w:ascii="arial" w:eastAsia="arial" w:hAnsi="arial" w:cs="arial"/>
          <w:color w:val="000000"/>
          <w:sz w:val="20"/>
          <w:lang w:val="en-US" w:eastAsia="en-US" w:bidi="ar-SA"/>
        </w:rPr>
        <w:t xml:space="preserve"> (C.A.), leave to appeal to S.C.C refused (2003), 65 O.R. (3d) xvii; </w:t>
      </w:r>
      <w:r>
        <w:rPr>
          <w:rFonts w:ascii="arial" w:eastAsia="arial" w:hAnsi="arial" w:cs="arial"/>
          <w:b/>
          <w:i/>
          <w:color w:val="000000"/>
          <w:sz w:val="20"/>
          <w:lang w:val="en-US" w:eastAsia="en-US" w:bidi="ar-SA"/>
        </w:rPr>
        <w:t>Price v. Panasonic Canada Inc.</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(2002), 22 C.P.C. (5th) 382</w:t>
        </w:r>
      </w:hyperlink>
      <w:r>
        <w:rPr>
          <w:rFonts w:ascii="arial" w:eastAsia="arial" w:hAnsi="arial" w:cs="arial"/>
          <w:color w:val="000000"/>
          <w:sz w:val="20"/>
          <w:lang w:val="en-US" w:eastAsia="en-US" w:bidi="ar-SA"/>
        </w:rPr>
        <w:t xml:space="preserve"> (Ont. S.C.J.); </w:t>
      </w:r>
      <w:r>
        <w:rPr>
          <w:rFonts w:ascii="arial" w:eastAsia="arial" w:hAnsi="arial" w:cs="arial"/>
          <w:b/>
          <w:i/>
          <w:color w:val="000000"/>
          <w:sz w:val="20"/>
          <w:lang w:val="en-US" w:eastAsia="en-US" w:bidi="ar-SA"/>
        </w:rPr>
        <w:t>Harmegnies c. Toyota,</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[2007] J.Q. no 1072</w:t>
        </w:r>
      </w:hyperlink>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2007 QCCS 539</w:t>
        </w:r>
      </w:hyperlink>
      <w:r>
        <w:rPr>
          <w:rFonts w:ascii="arial" w:eastAsia="arial" w:hAnsi="arial" w:cs="arial"/>
          <w:color w:val="000000"/>
          <w:sz w:val="20"/>
          <w:lang w:val="en-US" w:eastAsia="en-US" w:bidi="ar-SA"/>
        </w:rPr>
        <w:t xml:space="preserve">, aff'd </w:t>
      </w:r>
      <w:hyperlink r:id="rId746" w:history="1">
        <w:r>
          <w:rPr>
            <w:rFonts w:ascii="arial" w:eastAsia="arial" w:hAnsi="arial" w:cs="arial"/>
            <w:i/>
            <w:color w:val="0077CC"/>
            <w:sz w:val="20"/>
            <w:u w:val="single"/>
            <w:shd w:val="clear" w:color="auto" w:fill="FFFFFF"/>
            <w:lang w:val="en-US" w:eastAsia="en-US" w:bidi="ar-SA"/>
          </w:rPr>
          <w:t>[2008] J.Q. no 1446</w:t>
        </w:r>
      </w:hyperlink>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2008 QCCA 380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Chada</w:t>
      </w:r>
      <w:r>
        <w:rPr>
          <w:rFonts w:ascii="arial" w:eastAsia="arial" w:hAnsi="arial" w:cs="arial"/>
          <w:color w:val="000000"/>
          <w:sz w:val="20"/>
          <w:lang w:val="en-US" w:eastAsia="en-US" w:bidi="ar-SA"/>
        </w:rPr>
        <w:t xml:space="preserve"> dealt with a price fixing para81conspiracy action against manufacturers and distributors of iron oxide pigment. This pigment is used in making bricks, paving stones and other building materials. The class was described as the ultimate end-users of the products. </w:t>
      </w:r>
      <w:r>
        <w:rPr>
          <w:rFonts w:ascii="arial" w:eastAsia="arial" w:hAnsi="arial" w:cs="arial"/>
          <w:b/>
          <w:i/>
          <w:color w:val="000000"/>
          <w:sz w:val="20"/>
          <w:lang w:val="en-US" w:eastAsia="en-US" w:bidi="ar-SA"/>
        </w:rPr>
        <w:t>Price</w:t>
      </w:r>
      <w:r>
        <w:rPr>
          <w:rFonts w:ascii="arial" w:eastAsia="arial" w:hAnsi="arial" w:cs="arial"/>
          <w:color w:val="000000"/>
          <w:sz w:val="20"/>
          <w:lang w:val="en-US" w:eastAsia="en-US" w:bidi="ar-SA"/>
        </w:rPr>
        <w:t xml:space="preserve"> dealt with a price maintenance action relating to the resale of various audio-visual products against Panasonic. The action was brought on behalf of an estimated 200 million end purchasers. </w:t>
      </w:r>
      <w:r>
        <w:rPr>
          <w:rFonts w:ascii="arial" w:eastAsia="arial" w:hAnsi="arial" w:cs="arial"/>
          <w:b/>
          <w:i/>
          <w:color w:val="000000"/>
          <w:sz w:val="20"/>
          <w:lang w:val="en-US" w:eastAsia="en-US" w:bidi="ar-SA"/>
        </w:rPr>
        <w:t>Harmegnies</w:t>
      </w:r>
      <w:r>
        <w:rPr>
          <w:rFonts w:ascii="arial" w:eastAsia="arial" w:hAnsi="arial" w:cs="arial"/>
          <w:color w:val="000000"/>
          <w:sz w:val="20"/>
          <w:lang w:val="en-US" w:eastAsia="en-US" w:bidi="ar-SA"/>
        </w:rPr>
        <w:t xml:space="preserve"> dealt with a price fixing conspiracy against Toyota and 38 car dealers in the Montreal area. The action was brought on behalf of 37,000 purchasers or lessees of Toyota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specifically submit that the plaintiff's evidence is as deficient as found in the above cases and does not meet the test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They note that as a matter of policy in the United States, the U.S. Supreme Court has ruled that only direct purchasers, and not indirect purchasers, can recover damages in price-fixing cases because of the complexities and uncertainties of such proceedings and the resultant reduction in effectiveness of such suits, increase in cost of recovery, and reduction of benefits: </w:t>
      </w:r>
      <w:r>
        <w:rPr>
          <w:rFonts w:ascii="arial" w:eastAsia="arial" w:hAnsi="arial" w:cs="arial"/>
          <w:b/>
          <w:i/>
          <w:color w:val="000000"/>
          <w:sz w:val="20"/>
          <w:lang w:val="en-US" w:eastAsia="en-US" w:bidi="ar-SA"/>
        </w:rPr>
        <w:t>Illinois Brick Co. v. Illinois</w:t>
      </w:r>
      <w:r>
        <w:rPr>
          <w:rFonts w:ascii="arial" w:eastAsia="arial" w:hAnsi="arial" w:cs="arial"/>
          <w:color w:val="000000"/>
          <w:sz w:val="20"/>
          <w:lang w:val="en-US" w:eastAsia="en-US" w:bidi="ar-SA"/>
        </w:rPr>
        <w:t xml:space="preserve">, 431 U.S. 720 (1977); see also </w:t>
      </w:r>
      <w:r>
        <w:rPr>
          <w:rFonts w:ascii="arial" w:eastAsia="arial" w:hAnsi="arial" w:cs="arial"/>
          <w:b/>
          <w:i/>
          <w:color w:val="000000"/>
          <w:sz w:val="20"/>
          <w:lang w:val="en-US" w:eastAsia="en-US" w:bidi="ar-SA"/>
        </w:rPr>
        <w:t>Hanover Shoe v. United Shoe Machine Corp.</w:t>
      </w:r>
      <w:r>
        <w:rPr>
          <w:rFonts w:ascii="arial" w:eastAsia="arial" w:hAnsi="arial" w:cs="arial"/>
          <w:color w:val="000000"/>
          <w:sz w:val="20"/>
          <w:lang w:val="en-US" w:eastAsia="en-US" w:bidi="ar-SA"/>
        </w:rPr>
        <w:t xml:space="preserve"> 392 U.S. 481 (1968). However, the plaintiff notes that since </w:t>
      </w:r>
      <w:r>
        <w:rPr>
          <w:rFonts w:ascii="arial" w:eastAsia="arial" w:hAnsi="arial" w:cs="arial"/>
          <w:b/>
          <w:i/>
          <w:color w:val="000000"/>
          <w:sz w:val="20"/>
          <w:lang w:val="en-US" w:eastAsia="en-US" w:bidi="ar-SA"/>
        </w:rPr>
        <w:t>Illinois Brick</w:t>
      </w:r>
      <w:r>
        <w:rPr>
          <w:rFonts w:ascii="arial" w:eastAsia="arial" w:hAnsi="arial" w:cs="arial"/>
          <w:color w:val="000000"/>
          <w:sz w:val="20"/>
          <w:lang w:val="en-US" w:eastAsia="en-US" w:bidi="ar-SA"/>
        </w:rPr>
        <w:t>, many states have enacted legislation to permit indirect purchaser to bring class actions which have subsequently been successful in being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note that cases in the American jurisprudence go both ways. The cases the plaintiff refers to include: </w:t>
      </w:r>
      <w:r>
        <w:rPr>
          <w:rFonts w:ascii="arial" w:eastAsia="arial" w:hAnsi="arial" w:cs="arial"/>
          <w:b/>
          <w:i/>
          <w:color w:val="000000"/>
          <w:sz w:val="20"/>
          <w:lang w:val="en-US" w:eastAsia="en-US" w:bidi="ar-SA"/>
        </w:rPr>
        <w:t>Bunkers Glass Co. v. Pilkington PLC</w:t>
      </w:r>
      <w:r>
        <w:rPr>
          <w:rFonts w:ascii="arial" w:eastAsia="arial" w:hAnsi="arial" w:cs="arial"/>
          <w:color w:val="000000"/>
          <w:sz w:val="20"/>
          <w:lang w:val="en-US" w:eastAsia="en-US" w:bidi="ar-SA"/>
        </w:rPr>
        <w:t xml:space="preserve">, 206 Ariz. 9, 75 P.3d 99 (S.C. 2003); </w:t>
      </w:r>
      <w:r>
        <w:rPr>
          <w:rFonts w:ascii="arial" w:eastAsia="arial" w:hAnsi="arial" w:cs="arial"/>
          <w:b/>
          <w:i/>
          <w:color w:val="000000"/>
          <w:sz w:val="20"/>
          <w:lang w:val="en-US" w:eastAsia="en-US" w:bidi="ar-SA"/>
        </w:rPr>
        <w:t>Comes v. Microsoft Corp.</w:t>
      </w:r>
      <w:r>
        <w:rPr>
          <w:rFonts w:ascii="arial" w:eastAsia="arial" w:hAnsi="arial" w:cs="arial"/>
          <w:color w:val="000000"/>
          <w:sz w:val="20"/>
          <w:lang w:val="en-US" w:eastAsia="en-US" w:bidi="ar-SA"/>
        </w:rPr>
        <w:t xml:space="preserve">, 646 N.W.2d 440 (Iowa S.C. 2002); </w:t>
      </w:r>
      <w:r>
        <w:rPr>
          <w:rFonts w:ascii="arial" w:eastAsia="arial" w:hAnsi="arial" w:cs="arial"/>
          <w:b/>
          <w:i/>
          <w:color w:val="000000"/>
          <w:sz w:val="20"/>
          <w:lang w:val="en-US" w:eastAsia="en-US" w:bidi="ar-SA"/>
        </w:rPr>
        <w:t>Cox v. Microsoft Corp.</w:t>
      </w:r>
      <w:r>
        <w:rPr>
          <w:rFonts w:ascii="arial" w:eastAsia="arial" w:hAnsi="arial" w:cs="arial"/>
          <w:color w:val="000000"/>
          <w:sz w:val="20"/>
          <w:lang w:val="en-US" w:eastAsia="en-US" w:bidi="ar-SA"/>
        </w:rPr>
        <w:t xml:space="preserve">, 8 A.D.3d. 39; 778 N.Y.S.2d. 147 (N.Y. App. 2004); </w:t>
      </w:r>
      <w:r>
        <w:rPr>
          <w:rFonts w:ascii="arial" w:eastAsia="arial" w:hAnsi="arial" w:cs="arial"/>
          <w:b/>
          <w:i/>
          <w:color w:val="000000"/>
          <w:sz w:val="20"/>
          <w:lang w:val="en-US" w:eastAsia="en-US" w:bidi="ar-SA"/>
        </w:rPr>
        <w:t>In re Cardizem CD Antitrust Litigation</w:t>
      </w:r>
      <w:r>
        <w:rPr>
          <w:rFonts w:ascii="arial" w:eastAsia="arial" w:hAnsi="arial" w:cs="arial"/>
          <w:color w:val="000000"/>
          <w:sz w:val="20"/>
          <w:lang w:val="en-US" w:eastAsia="en-US" w:bidi="ar-SA"/>
        </w:rPr>
        <w:t xml:space="preserve">, 200 F.R.D. 326 (2002); </w:t>
      </w:r>
      <w:r>
        <w:rPr>
          <w:rFonts w:ascii="arial" w:eastAsia="arial" w:hAnsi="arial" w:cs="arial"/>
          <w:b/>
          <w:i/>
          <w:color w:val="000000"/>
          <w:sz w:val="20"/>
          <w:lang w:val="en-US" w:eastAsia="en-US" w:bidi="ar-SA"/>
        </w:rPr>
        <w:t>Hirsch v. Bank of America N.A.</w:t>
      </w:r>
      <w:r>
        <w:rPr>
          <w:rFonts w:ascii="arial" w:eastAsia="arial" w:hAnsi="arial" w:cs="arial"/>
          <w:color w:val="000000"/>
          <w:sz w:val="20"/>
          <w:lang w:val="en-US" w:eastAsia="en-US" w:bidi="ar-SA"/>
        </w:rPr>
        <w:t xml:space="preserve">, 107 Cal. App. 4th 708 (2003); </w:t>
      </w:r>
      <w:r>
        <w:rPr>
          <w:rFonts w:ascii="arial" w:eastAsia="arial" w:hAnsi="arial" w:cs="arial"/>
          <w:b/>
          <w:i/>
          <w:color w:val="000000"/>
          <w:sz w:val="20"/>
          <w:lang w:val="en-US" w:eastAsia="en-US" w:bidi="ar-SA"/>
        </w:rPr>
        <w:t>Freeman Indus. LLC v. Eastman Chem. Co.</w:t>
      </w:r>
      <w:r>
        <w:rPr>
          <w:rFonts w:ascii="arial" w:eastAsia="arial" w:hAnsi="arial" w:cs="arial"/>
          <w:color w:val="000000"/>
          <w:sz w:val="20"/>
          <w:lang w:val="en-US" w:eastAsia="en-US" w:bidi="ar-SA"/>
        </w:rPr>
        <w:t>, 172 S.W.3d 512 (Tenn.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cases the defendants refer to include: </w:t>
      </w:r>
      <w:r>
        <w:rPr>
          <w:rFonts w:ascii="arial" w:eastAsia="arial" w:hAnsi="arial" w:cs="arial"/>
          <w:b/>
          <w:i/>
          <w:color w:val="000000"/>
          <w:sz w:val="20"/>
          <w:lang w:val="en-US" w:eastAsia="en-US" w:bidi="ar-SA"/>
        </w:rPr>
        <w:t>Re: Methionine Antitrust Litigation</w:t>
      </w:r>
      <w:r>
        <w:rPr>
          <w:rFonts w:ascii="arial" w:eastAsia="arial" w:hAnsi="arial" w:cs="arial"/>
          <w:color w:val="000000"/>
          <w:sz w:val="20"/>
          <w:lang w:val="en-US" w:eastAsia="en-US" w:bidi="ar-SA"/>
        </w:rPr>
        <w:t xml:space="preserve">, 204 F.R.D. 161 (N.D. Cal. 2001); </w:t>
      </w:r>
      <w:r>
        <w:rPr>
          <w:rFonts w:ascii="arial" w:eastAsia="arial" w:hAnsi="arial" w:cs="arial"/>
          <w:b/>
          <w:i/>
          <w:color w:val="000000"/>
          <w:sz w:val="20"/>
          <w:lang w:val="en-US" w:eastAsia="en-US" w:bidi="ar-SA"/>
        </w:rPr>
        <w:t>A&amp;M Supply Co. v. Microsoft Corp.</w:t>
      </w:r>
      <w:r>
        <w:rPr>
          <w:rFonts w:ascii="arial" w:eastAsia="arial" w:hAnsi="arial" w:cs="arial"/>
          <w:color w:val="000000"/>
          <w:sz w:val="20"/>
          <w:lang w:val="en-US" w:eastAsia="en-US" w:bidi="ar-SA"/>
        </w:rPr>
        <w:t xml:space="preserve">, 654 N.W.2d 572 (Mich. 2002); </w:t>
      </w:r>
      <w:r>
        <w:rPr>
          <w:rFonts w:ascii="arial" w:eastAsia="arial" w:hAnsi="arial" w:cs="arial"/>
          <w:b/>
          <w:i/>
          <w:color w:val="000000"/>
          <w:sz w:val="20"/>
          <w:lang w:val="en-US" w:eastAsia="en-US" w:bidi="ar-SA"/>
        </w:rPr>
        <w:t>In re Dynamic Random Access Memory (DRAM) Antitrust Litigation</w:t>
      </w:r>
      <w:r>
        <w:rPr>
          <w:rFonts w:ascii="arial" w:eastAsia="arial" w:hAnsi="arial" w:cs="arial"/>
          <w:color w:val="000000"/>
          <w:sz w:val="20"/>
          <w:lang w:val="en-US" w:eastAsia="en-US" w:bidi="ar-SA"/>
        </w:rPr>
        <w:t xml:space="preserve">, 2007 U.S. Dist. LEXIS 44354 (N.D. Cal. 2007); </w:t>
      </w:r>
      <w:r>
        <w:rPr>
          <w:rFonts w:ascii="arial" w:eastAsia="arial" w:hAnsi="arial" w:cs="arial"/>
          <w:b/>
          <w:i/>
          <w:color w:val="000000"/>
          <w:sz w:val="20"/>
          <w:lang w:val="en-US" w:eastAsia="en-US" w:bidi="ar-SA"/>
        </w:rPr>
        <w:t>In re Dynamic Random Access (DRAM) Antitrust Litigation</w:t>
      </w:r>
      <w:r>
        <w:rPr>
          <w:rFonts w:ascii="arial" w:eastAsia="arial" w:hAnsi="arial" w:cs="arial"/>
          <w:color w:val="000000"/>
          <w:sz w:val="20"/>
          <w:lang w:val="en-US" w:eastAsia="en-US" w:bidi="ar-SA"/>
        </w:rPr>
        <w:t xml:space="preserve"> (29 January 2008), file number M02-1486PJH (N.D. Cal.); </w:t>
      </w:r>
      <w:r>
        <w:rPr>
          <w:rFonts w:ascii="arial" w:eastAsia="arial" w:hAnsi="arial" w:cs="arial"/>
          <w:b/>
          <w:i/>
          <w:color w:val="000000"/>
          <w:sz w:val="20"/>
          <w:lang w:val="en-US" w:eastAsia="en-US" w:bidi="ar-SA"/>
        </w:rPr>
        <w:t>Global Minerals and Metals Corp. v. Superior Court</w:t>
      </w:r>
      <w:r>
        <w:rPr>
          <w:rFonts w:ascii="arial" w:eastAsia="arial" w:hAnsi="arial" w:cs="arial"/>
          <w:color w:val="000000"/>
          <w:sz w:val="20"/>
          <w:lang w:val="en-US" w:eastAsia="en-US" w:bidi="ar-SA"/>
        </w:rPr>
        <w:t>, 113 Cal. App. 4th 836 (2003), review denied, 2004 Cal. LEXIS 1781 (Cal. Sup.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Supreme Court of Canada has not imposed an indirect purchaser limitation in Canada, however, the rationale found in </w:t>
      </w:r>
      <w:r>
        <w:rPr>
          <w:rFonts w:ascii="arial" w:eastAsia="arial" w:hAnsi="arial" w:cs="arial"/>
          <w:b/>
          <w:i/>
          <w:color w:val="000000"/>
          <w:sz w:val="20"/>
          <w:lang w:val="en-US" w:eastAsia="en-US" w:bidi="ar-SA"/>
        </w:rPr>
        <w:t>Illinois Brick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Hanover Shoe</w:t>
      </w:r>
      <w:r>
        <w:rPr>
          <w:rFonts w:ascii="arial" w:eastAsia="arial" w:hAnsi="arial" w:cs="arial"/>
          <w:color w:val="000000"/>
          <w:sz w:val="20"/>
          <w:lang w:val="en-US" w:eastAsia="en-US" w:bidi="ar-SA"/>
        </w:rPr>
        <w:t xml:space="preserve"> runs through the three Canadian authorities that I have cited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the Ontario Court of Appeal specifically referenced and acknowledged the observations in </w:t>
      </w:r>
      <w:r>
        <w:rPr>
          <w:rFonts w:ascii="arial" w:eastAsia="arial" w:hAnsi="arial" w:cs="arial"/>
          <w:b/>
          <w:i/>
          <w:color w:val="000000"/>
          <w:sz w:val="20"/>
          <w:lang w:val="en-US" w:eastAsia="en-US" w:bidi="ar-SA"/>
        </w:rPr>
        <w:t>Illinois Brick</w:t>
      </w:r>
      <w:r>
        <w:rPr>
          <w:rFonts w:ascii="arial" w:eastAsia="arial" w:hAnsi="arial" w:cs="arial"/>
          <w:color w:val="000000"/>
          <w:sz w:val="20"/>
          <w:lang w:val="en-US" w:eastAsia="en-US" w:bidi="ar-SA"/>
        </w:rPr>
        <w:t xml:space="preserve"> of the complexity of finding price fixing effects on indirect purchasers. At para. 44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complexity of the "pass-through" problem was recognized by the Divisional Court. The court referred with approval to the following passage from pp. 742-43 of </w:t>
      </w:r>
      <w:r>
        <w:rPr>
          <w:rFonts w:ascii="arial" w:eastAsia="arial" w:hAnsi="arial" w:cs="arial"/>
          <w:i/>
          <w:color w:val="000000"/>
          <w:sz w:val="20"/>
          <w:lang w:val="en-US" w:eastAsia="en-US" w:bidi="ar-SA"/>
        </w:rPr>
        <w:t>Illinois Brick Co.</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real economic world rather than an economist's hypothetical model," the latter's drastic simplifications generally must be abandoned. Overcharged direct purchasers often sell in imperfectly competitive markets. They often compete with other sellers that have not been subject to the overcharge; and their pricing policies often cannot be explained solely by the convenient assumption of profit maximization. As we concluded in </w:t>
      </w:r>
      <w:r>
        <w:rPr>
          <w:rFonts w:ascii="arial" w:eastAsia="arial" w:hAnsi="arial" w:cs="arial"/>
          <w:i/>
          <w:color w:val="000000"/>
          <w:sz w:val="20"/>
          <w:lang w:val="en-US" w:eastAsia="en-US" w:bidi="ar-SA"/>
        </w:rPr>
        <w:t>Hanover Shoe</w:t>
      </w:r>
      <w:r>
        <w:rPr>
          <w:rFonts w:ascii="arial" w:eastAsia="arial" w:hAnsi="arial" w:cs="arial"/>
          <w:color w:val="000000"/>
          <w:sz w:val="20"/>
          <w:lang w:val="en-US" w:eastAsia="en-US" w:bidi="ar-SA"/>
        </w:rPr>
        <w:t>, 392 U.S., at 492, attention to "sound laws of economics" can only heighten the awareness of the difficulties and uncertainties involved in determining how the relevant market variables would have behaved had there been no overcharge.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argue that a detailed analysis shows that the proposed action is unsuitable for certification. The defendants claim that the plaintiff fails each of the five criteria laid out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They claim that given the nature of this case, certification would (using the words of Esson C.J.S.C. from </w:t>
      </w:r>
      <w:r>
        <w:rPr>
          <w:rFonts w:ascii="arial" w:eastAsia="arial" w:hAnsi="arial" w:cs="arial"/>
          <w:b/>
          <w:i/>
          <w:color w:val="000000"/>
          <w:sz w:val="20"/>
          <w:lang w:val="en-US" w:eastAsia="en-US" w:bidi="ar-SA"/>
        </w:rPr>
        <w:t>Tiemstra v. ICBC</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(1996), 22 B.C.L.R. (3d) 49</w:t>
        </w:r>
      </w:hyperlink>
      <w:r>
        <w:rPr>
          <w:rFonts w:ascii="arial" w:eastAsia="arial" w:hAnsi="arial" w:cs="arial"/>
          <w:color w:val="000000"/>
          <w:sz w:val="20"/>
          <w:lang w:val="en-US" w:eastAsia="en-US" w:bidi="ar-SA"/>
        </w:rPr>
        <w:t xml:space="preserve"> at para. 20, aff'd </w:t>
      </w:r>
      <w:hyperlink r:id="rId748"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(C.A.)) turn the case into a "monster of complexity and cost", and that the process "will break down into substantial little trials." The defendants submit that it follows that this action is unsuitable for a class proceeding. In this regard, the defendants point to the following aspects of this case:</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vary in type and application;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in question are used merely as small inputs in another series of products;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are augmented or transformed after they are sold by the manufacturer;</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travel through various complex supply chains;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are resold by several (and variable) levels of intermediaries in the supply chains;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DRAM is a small fraction of the cost of most of the many end products in which it is found;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any overcharge will be a small fraction of that small fraction;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small fraction of the small fraction was passed on to the next purchaser, and the next and the next, until the product arrived in British Columbia will have to be ascertained; and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required to demonstrate that there was an overcharge and that it was actually included in the purchase price of the end products is highly complex and unavailable as a practical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argue that the immense size and scope of the proposed class, combined with the necessity of individual inquiries to establish harm, and the impossible complexity of identifying the consequent pass through analysis, is fatal to the plaintiff's certification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discussion and findings for each of the five criteria follow.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Disclosure of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 submits that they have clearly disclosed and pleaded all requisite elements of: contraventions of Part VI of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 tortious conspiracy, tortious interference with economic interests, unjust enrichment, waiver of tort, and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acknowledges that there is uncertainty as to whether waiver of tort is an independent cause of action, whether all of the elements of unjust enrichment are required to recover under waiver of tort, and whether damages are essential for a claim in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However, it submits that recent cases in British Columbia and Ontario have found, at least at the pleadings stage, that waiver of tort can be framed as an independent cause of action, that all elements of unjust enrichment need not be pled to state a claim for waiver of tort, and that damages are not essential to a claim for waiver of tort. For these propositions, they cite </w:t>
      </w:r>
      <w:r>
        <w:rPr>
          <w:rFonts w:ascii="arial" w:eastAsia="arial" w:hAnsi="arial" w:cs="arial"/>
          <w:b/>
          <w:i/>
          <w:color w:val="000000"/>
          <w:sz w:val="20"/>
          <w:lang w:val="en-US" w:eastAsia="en-US" w:bidi="ar-SA"/>
        </w:rPr>
        <w:t>Serhan (Estate Trustee) v. Johnson &amp; Johnson</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(2006), 85 O.R. (3d) 665</w:t>
        </w:r>
      </w:hyperlink>
      <w:r>
        <w:rPr>
          <w:rFonts w:ascii="arial" w:eastAsia="arial" w:hAnsi="arial" w:cs="arial"/>
          <w:color w:val="000000"/>
          <w:sz w:val="20"/>
          <w:lang w:val="en-US" w:eastAsia="en-US" w:bidi="ar-SA"/>
        </w:rPr>
        <w:t xml:space="preserve"> (Div. Ct.), aff'g </w:t>
      </w:r>
      <w:hyperlink r:id="rId750" w:history="1">
        <w:r>
          <w:rPr>
            <w:rFonts w:ascii="arial" w:eastAsia="arial" w:hAnsi="arial" w:cs="arial"/>
            <w:i/>
            <w:color w:val="0077CC"/>
            <w:sz w:val="20"/>
            <w:u w:val="single"/>
            <w:shd w:val="clear" w:color="auto" w:fill="FFFFFF"/>
            <w:lang w:val="en-US" w:eastAsia="en-US" w:bidi="ar-SA"/>
          </w:rPr>
          <w:t>72 O.R. (3d) 296</w:t>
        </w:r>
      </w:hyperlink>
      <w:r>
        <w:rPr>
          <w:rFonts w:ascii="arial" w:eastAsia="arial" w:hAnsi="arial" w:cs="arial"/>
          <w:color w:val="000000"/>
          <w:sz w:val="20"/>
          <w:lang w:val="en-US" w:eastAsia="en-US" w:bidi="ar-SA"/>
        </w:rPr>
        <w:t xml:space="preserve"> (S.C.J.); </w:t>
      </w:r>
      <w:r>
        <w:rPr>
          <w:rFonts w:ascii="arial" w:eastAsia="arial" w:hAnsi="arial" w:cs="arial"/>
          <w:b/>
          <w:i/>
          <w:color w:val="000000"/>
          <w:sz w:val="20"/>
          <w:lang w:val="en-US" w:eastAsia="en-US" w:bidi="ar-SA"/>
        </w:rPr>
        <w:t>Pro-Sys v. Microsoft Corp.</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[2006] B.C.J. No. 1564</w:t>
        </w:r>
      </w:hyperlink>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2006 BCSC 1047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Heward v. Eli Lilly Co.</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(2007), 47 C.C.L.T. (3d) 114</w:t>
        </w:r>
      </w:hyperlink>
      <w:r>
        <w:rPr>
          <w:rFonts w:ascii="arial" w:eastAsia="arial" w:hAnsi="arial" w:cs="arial"/>
          <w:color w:val="000000"/>
          <w:sz w:val="20"/>
          <w:lang w:val="en-US" w:eastAsia="en-US" w:bidi="ar-SA"/>
        </w:rPr>
        <w:t xml:space="preserve"> (S.C.J.), leave to appeal allowed in part </w:t>
      </w:r>
      <w:hyperlink r:id="rId751" w:history="1">
        <w:r>
          <w:rPr>
            <w:rFonts w:ascii="arial" w:eastAsia="arial" w:hAnsi="arial" w:cs="arial"/>
            <w:i/>
            <w:color w:val="0077CC"/>
            <w:sz w:val="20"/>
            <w:u w:val="single"/>
            <w:shd w:val="clear" w:color="auto" w:fill="FFFFFF"/>
            <w:lang w:val="en-US" w:eastAsia="en-US" w:bidi="ar-SA"/>
          </w:rPr>
          <w:t>(2007), 51 C.C.L.T. (3d) 167</w:t>
        </w:r>
      </w:hyperlink>
      <w:r>
        <w:rPr>
          <w:rFonts w:ascii="arial" w:eastAsia="arial" w:hAnsi="arial" w:cs="arial"/>
          <w:color w:val="000000"/>
          <w:sz w:val="20"/>
          <w:lang w:val="en-US" w:eastAsia="en-US" w:bidi="ar-SA"/>
        </w:rPr>
        <w:t xml:space="preserve"> (S.C.J.), and </w:t>
      </w:r>
      <w:r>
        <w:rPr>
          <w:rFonts w:ascii="arial" w:eastAsia="arial" w:hAnsi="arial" w:cs="arial"/>
          <w:b/>
          <w:i/>
          <w:color w:val="000000"/>
          <w:sz w:val="20"/>
          <w:lang w:val="en-US" w:eastAsia="en-US" w:bidi="ar-SA"/>
        </w:rPr>
        <w:t>Lewis v. Cantertrot Investments Ltd.</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[2006] O.J. No. 1061</w:t>
        </w:r>
      </w:hyperlink>
      <w:r>
        <w:rPr>
          <w:rFonts w:ascii="arial" w:eastAsia="arial" w:hAnsi="arial" w:cs="arial"/>
          <w:color w:val="000000"/>
          <w:sz w:val="20"/>
          <w:lang w:val="en-US" w:eastAsia="en-US" w:bidi="ar-SA"/>
        </w:rPr>
        <w:t>, 2006 CarswellOnt 2737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para94[para95] Under waiver of tort, a plaintiff may waive its claim for tort damages and instead require the defendant to disgorge any gains flowing from its wrongful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considerable discussion and debate in the legal literature and jurisprudence in Canada as to whether waiver of tort is an independent cause of action or simply a remedy. Under the latter, if damage is an element of the tort, the plaintiff will be required to prove damage as part of the tort prior to being able to elect to seek the gain obtained by the wrongful conduct of the defendant. Under the former, the requirement to prove damage as an element of a tort is obviated and the plaintiff is entitled to seek the gain obtained by the defendant upon proving the other elements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Goff and Jones, </w:t>
      </w:r>
      <w:r>
        <w:rPr>
          <w:rFonts w:ascii="arial" w:eastAsia="arial" w:hAnsi="arial" w:cs="arial"/>
          <w:i/>
          <w:color w:val="000000"/>
          <w:sz w:val="20"/>
          <w:lang w:val="en-US" w:eastAsia="en-US" w:bidi="ar-SA"/>
        </w:rPr>
        <w:t>Law of Restitution</w:t>
      </w:r>
      <w:r>
        <w:rPr>
          <w:rFonts w:ascii="arial" w:eastAsia="arial" w:hAnsi="arial" w:cs="arial"/>
          <w:color w:val="000000"/>
          <w:sz w:val="20"/>
          <w:lang w:val="en-US" w:eastAsia="en-US" w:bidi="ar-SA"/>
        </w:rPr>
        <w:t>, 7th ed. (London: Sweet &amp; Maxwell, 2007) at 36-0001, the learned authors state their view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"Waiver of tort" is a misnomer. A party only waives a tort in the sense he elects to sue in restitution to recover the defendant's unjust benefit rather than to sue in tort to recover damages; he has a choice of alternative remedies. But the tort is not extinguished. Indeed, it is said the </w:t>
      </w:r>
      <w:r>
        <w:rPr>
          <w:rFonts w:ascii="arial" w:eastAsia="arial" w:hAnsi="arial" w:cs="arial"/>
          <w:i/>
          <w:color w:val="000000"/>
          <w:sz w:val="20"/>
          <w:lang w:val="en-US" w:eastAsia="en-US" w:bidi="ar-SA"/>
        </w:rPr>
        <w:t>sine qua non</w:t>
      </w:r>
      <w:r>
        <w:rPr>
          <w:rFonts w:ascii="arial" w:eastAsia="arial" w:hAnsi="arial" w:cs="arial"/>
          <w:color w:val="000000"/>
          <w:sz w:val="20"/>
          <w:lang w:val="en-US" w:eastAsia="en-US" w:bidi="ar-SA"/>
        </w:rPr>
        <w:t xml:space="preserve"> of both remedies is that he should establish that a tort has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Reid v. Ford Motor Co.</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[2006] B.C.J. No. 993</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2006 BCSC 712</w:t>
        </w:r>
      </w:hyperlink>
      <w:r>
        <w:rPr>
          <w:rFonts w:ascii="arial" w:eastAsia="arial" w:hAnsi="arial" w:cs="arial"/>
          <w:color w:val="000000"/>
          <w:sz w:val="20"/>
          <w:lang w:val="en-US" w:eastAsia="en-US" w:bidi="ar-SA"/>
        </w:rPr>
        <w:t xml:space="preserve">, the plaintiff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sought the profits and savings of Ford from its avoidance of recalling certain vehicles. Gerow J. denied an application to add a claim of waiver of tort and stated as follows at paras.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does not fall into the types of cases where waiver of tort has been applied and there is no principled basis on which to apply it in this case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underpinning of waiver of tort is that there has been some unjust enrichment to the defendant. Unjust enrichment is comprised of three elements: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and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juristic reason for the enrichment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Her comments at para. 33 are relevant to this case as it observes the requirement of directness of a benefit to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plea for revenue from the sales of replacement TFI modules must fail because the purchase price would have been paid to repair shops or parts dealers where the Class Members purchased the part and not to Ford. Any benefit to Ford was indirect and only incidentally conferred on them. Unjust enrichment does not extend to permit such a recovery. Cases where unjust enrichment has been made out generally deal with benefits conferred directly and specifically on the defendant, such as goods or services purchased directly from the defendant or money paid to the defendant: </w:t>
      </w:r>
      <w:r>
        <w:rPr>
          <w:rFonts w:ascii="arial" w:eastAsia="arial" w:hAnsi="arial" w:cs="arial"/>
          <w:b/>
          <w:i/>
          <w:color w:val="000000"/>
          <w:sz w:val="20"/>
          <w:lang w:val="en-US" w:eastAsia="en-US" w:bidi="ar-SA"/>
        </w:rPr>
        <w:t>Boulanger v. Johnson &amp; Johnson Corp</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[2003] O.J. No. 2218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Peel (Regional Municipality) v. Canada,</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Pro-sys v. Microsoft Corp.</w:t>
      </w:r>
      <w:r>
        <w:rPr>
          <w:rFonts w:ascii="arial" w:eastAsia="arial" w:hAnsi="arial" w:cs="arial"/>
          <w:color w:val="000000"/>
          <w:sz w:val="20"/>
          <w:lang w:val="en-US" w:eastAsia="en-US" w:bidi="ar-SA"/>
        </w:rPr>
        <w:t xml:space="preserve">, a case where the plaintiff alleged that they paid artificially inflated prices for the pre-installed Microsoft operating system and software applications as a result of Microsoft's anti-competitive actions in the software market, Tysoe J. (as he then was) in refusing to strike a pleading of waiver of tort in the matter before him observed that the judgment in </w:t>
      </w:r>
      <w:r>
        <w:rPr>
          <w:rFonts w:ascii="arial" w:eastAsia="arial" w:hAnsi="arial" w:cs="arial"/>
          <w:b/>
          <w:i/>
          <w:color w:val="000000"/>
          <w:sz w:val="20"/>
          <w:lang w:val="en-US" w:eastAsia="en-US" w:bidi="ar-SA"/>
        </w:rPr>
        <w:t>Lewis</w:t>
      </w:r>
      <w:r>
        <w:rPr>
          <w:rFonts w:ascii="arial" w:eastAsia="arial" w:hAnsi="arial" w:cs="arial"/>
          <w:color w:val="000000"/>
          <w:sz w:val="20"/>
          <w:lang w:val="en-US" w:eastAsia="en-US" w:bidi="ar-SA"/>
        </w:rPr>
        <w:t xml:space="preserve"> had been issued after the hearing of </w:t>
      </w:r>
      <w:r>
        <w:rPr>
          <w:rFonts w:ascii="arial" w:eastAsia="arial" w:hAnsi="arial" w:cs="arial"/>
          <w:b/>
          <w:i/>
          <w:color w:val="000000"/>
          <w:sz w:val="20"/>
          <w:lang w:val="en-US" w:eastAsia="en-US" w:bidi="ar-SA"/>
        </w:rPr>
        <w:t>Reid</w:t>
      </w:r>
      <w:r>
        <w:rPr>
          <w:rFonts w:ascii="arial" w:eastAsia="arial" w:hAnsi="arial" w:cs="arial"/>
          <w:color w:val="000000"/>
          <w:sz w:val="20"/>
          <w:lang w:val="en-US" w:eastAsia="en-US" w:bidi="ar-SA"/>
        </w:rPr>
        <w:t xml:space="preserve"> but before issuance of the decision. He noted at para. 84 that Cullity J. stated at para. 7 of </w:t>
      </w:r>
      <w:r>
        <w:rPr>
          <w:rFonts w:ascii="arial" w:eastAsia="arial" w:hAnsi="arial" w:cs="arial"/>
          <w:b/>
          <w:i/>
          <w:color w:val="000000"/>
          <w:sz w:val="20"/>
          <w:lang w:val="en-US" w:eastAsia="en-US" w:bidi="ar-SA"/>
        </w:rPr>
        <w:t>Lewis</w:t>
      </w:r>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law relating to waiver of tort and restitution for breach of contract is, at present, too undeveloped and uncertain to permit a decision -- in the context solely of the pleadings -- that the availability of either remedy will require the plaintiffs to establish that the three pronged test of unjust enrichment is satisfied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Tysoe J. at para. 85 then distinguished </w:t>
      </w:r>
      <w:r>
        <w:rPr>
          <w:rFonts w:ascii="arial" w:eastAsia="arial" w:hAnsi="arial" w:cs="arial"/>
          <w:b/>
          <w:i/>
          <w:color w:val="000000"/>
          <w:sz w:val="20"/>
          <w:lang w:val="en-US" w:eastAsia="en-US" w:bidi="ar-SA"/>
        </w:rPr>
        <w:t>Reid</w:t>
      </w:r>
      <w:r>
        <w:rPr>
          <w:rFonts w:ascii="arial" w:eastAsia="arial" w:hAnsi="arial" w:cs="arial"/>
          <w:color w:val="000000"/>
          <w:sz w:val="20"/>
          <w:lang w:val="en-US" w:eastAsia="en-US" w:bidi="ar-SA"/>
        </w:rPr>
        <w:t xml:space="preserve"> on the basis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Gerow J. held there that the flaw in the claim for unjust enrichment was an absence of the required enrichment. It may well be concluded that a plaintiff seeking to rely on the doctrine of waiver of tort is not required to prove the absence of a juristic reason for the enrichment because the plaintiff will have been successful in proving that the defendant did commit a wrong that resulted in the enrichment. In my opinion, it is not plain and obvious that the Plaintiff will have to establish all elements of unjust enrichment (and, in particular, the absence of a juristic reason for the enrichment) before being entitled to rely on the doctrine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Tysoe J. did however, strike the claim of constructive trust on the basis that the statement of claim as amended by his earlier ruling no longer pleaded either of the quasi-alternative grounds set out in </w:t>
      </w:r>
      <w:r>
        <w:rPr>
          <w:rFonts w:ascii="arial" w:eastAsia="arial" w:hAnsi="arial" w:cs="arial"/>
          <w:b/>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being unjust enrichment and wrongful acts in the context of an equitable obligation. In regard to the latter, his view at para. 91 of McLachlin J.'s statement in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xml:space="preserve"> regarding the limits to the availability of the remedy is informative: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comments of McLachlin J. ... must be read within the context of her reasons as a whole. She was not indicating that constructive trusts are available for all types of wrongful acts. Her comments at (paragraph) 34 indicate that one of the purposes of a constructive trust based on "good conscience" is to maintain the integrity of institutions dependent on trust-like relationships. This is made clear by the first two of the four conditions that McLachlin J. identified at (paragraph) 45 as prerequisites for a constructive trust based on wrongful conduct (as opposed to unjust enrichment):</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in the present case that the Defendants were not under any equitable obligation and that the monies representing the "overcharge" did not result from any type of agency activities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There are two notable cases from Ontario: </w:t>
      </w:r>
      <w:r>
        <w:rPr>
          <w:rFonts w:ascii="arial" w:eastAsia="arial" w:hAnsi="arial" w:cs="arial"/>
          <w:b/>
          <w:i/>
          <w:color w:val="000000"/>
          <w:sz w:val="20"/>
          <w:lang w:val="en-US" w:eastAsia="en-US" w:bidi="ar-SA"/>
        </w:rPr>
        <w:t>Serhan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Heward.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Serhan</w:t>
      </w:r>
      <w:r>
        <w:rPr>
          <w:rFonts w:ascii="arial" w:eastAsia="arial" w:hAnsi="arial" w:cs="arial"/>
          <w:color w:val="000000"/>
          <w:sz w:val="20"/>
          <w:lang w:val="en-US" w:eastAsia="en-US" w:bidi="ar-SA"/>
        </w:rPr>
        <w:t xml:space="preserve">, at first instance, Cullity J. certified the action. The action was based on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and fraudulent misrepresentation,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and conspiracy relating to the defendants manufacture, sale and distribution of allegedly defective blood glucose meters and testing strips. Though waiver of tort was not pleaded, Cullity J. found that on the materials before him the plaintiffs could be entitled to a remedy under the doctrine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the appeal of the case, a majority of the Divisional Court upheld the decision of Cullity J. Writing for the majority Epstein J. (as she then was) provided a detailed review of the concept of waiver of tort and covered the cases and academic writing that represented the two views. She concluded that the matter had not been authoritatively settled and agreed with Cullity J. that the issues of whether waiver of tort is an independent cause or not should be resolved with the benefit of a "more fully developed record":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Chapnik J., in her dissent, found that the facts of the case did not justify certification based on waiver of tort. She stated at para. 164 that the case "[did] not fall within the types of cases where waiver of tort has been applied, and it is plain and obvious that there is no principled basis on which to apply it in this case." She concluded that it was plain and obvious that the action would fail. She found that the restitutionary remedies of constructive trust and disgorgement were certain to fail because of the "combined absence of the elements of unjust enrichment, any trust-like relationship, or any sort of calculable loss or ongoing deprivation suffered by the representative plaintiff or member of the putative class in relation to the defendants' profits": para.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Chapnik J. noted that the restitutionary remedy based on unjust enrichment was unavailable given the lack of deprivation and also noted the lack of any direct relationship between the parties as a basis similar to the finding in </w:t>
      </w:r>
      <w:r>
        <w:rPr>
          <w:rFonts w:ascii="arial" w:eastAsia="arial" w:hAnsi="arial" w:cs="arial"/>
          <w:b/>
          <w:i/>
          <w:color w:val="000000"/>
          <w:sz w:val="20"/>
          <w:lang w:val="en-US" w:eastAsia="en-US" w:bidi="ar-SA"/>
        </w:rPr>
        <w:t>Boulanger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Reid</w:t>
      </w:r>
      <w:r>
        <w:rPr>
          <w:rFonts w:ascii="arial" w:eastAsia="arial" w:hAnsi="arial" w:cs="arial"/>
          <w:color w:val="000000"/>
          <w:sz w:val="20"/>
          <w:lang w:val="en-US" w:eastAsia="en-US" w:bidi="ar-SA"/>
        </w:rPr>
        <w:t xml:space="preserve">. She also rejected the constructive trust claim based on wrongful conduct as opposed to unjust enrichment because the four conditions set out in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xml:space="preserve"> had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further policy issue raised at para. 253 of the dissent was a concern that a certification based on waiver of tort would introduce strict liability for defective products and that the circumstances did not lend themselves to a proper testing of the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further perspective on the topic can be seen in the comments of Lederman J. in the leave to appeal ruling in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The case involved the sale of an antipsychotic drug, manufactured and sold by the defendant, which was alleged to increase the risk of diabetes and related side-effects which the defendant was said to have failed to disclose or warn users and physicians. He granted leave to appeal the certification on the following issues at para. 44:</w:t>
      </w:r>
      <w:r>
        <w:rPr>
          <w:rFonts w:ascii="arial" w:eastAsia="arial" w:hAnsi="arial" w:cs="arial"/>
          <w:sz w:val="20"/>
          <w:lang w:val="en-US" w:eastAsia="en-US" w:bidi="ar-SA"/>
        </w:rPr>
        <w:cr/>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certification motion judge err in concluding that proof of the amount of the alleged wrongful gain subject to an accounting and disgorgement and/or a constructive trust is a common issue?</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certification motion judge err in concluding that a class proceeding, is the preferable procedure to resolve the plaintiff's claim in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making his determination, Lederman J. questioned whether proof of the amount to be disgorged or held in a constructive trust was a common issue. In this regard, he stated at paras. 26-28,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 </w:t>
      </w:r>
      <w:r>
        <w:rPr>
          <w:rFonts w:ascii="arial" w:eastAsia="arial" w:hAnsi="arial" w:cs="arial"/>
          <w:b/>
          <w:i/>
          <w:color w:val="000000"/>
          <w:sz w:val="20"/>
          <w:lang w:val="en-US" w:eastAsia="en-US" w:bidi="ar-SA"/>
        </w:rPr>
        <w:t>Serhan</w:t>
      </w:r>
      <w:r>
        <w:rPr>
          <w:rFonts w:ascii="arial" w:eastAsia="arial" w:hAnsi="arial" w:cs="arial"/>
          <w:color w:val="000000"/>
          <w:sz w:val="20"/>
          <w:lang w:val="en-US" w:eastAsia="en-US" w:bidi="ar-SA"/>
        </w:rPr>
        <w:t xml:space="preserve"> does not change the requirement that there be proof of a "wrongful gain" that will be subject to disgorgement or a constructive trust. Generally speaking, a gain is a 'wrongful gain' only if it is attained through "wrongful conduct"; i.e. the wrongful conduct must </w:t>
      </w:r>
      <w:r>
        <w:rPr>
          <w:rFonts w:ascii="arial" w:eastAsia="arial" w:hAnsi="arial" w:cs="arial"/>
          <w:i/>
          <w:color w:val="000000"/>
          <w:sz w:val="20"/>
          <w:lang w:val="en-US" w:eastAsia="en-US" w:bidi="ar-SA"/>
        </w:rPr>
        <w:t>cause</w:t>
      </w:r>
      <w:r>
        <w:rPr>
          <w:rFonts w:ascii="arial" w:eastAsia="arial" w:hAnsi="arial" w:cs="arial"/>
          <w:color w:val="000000"/>
          <w:sz w:val="20"/>
          <w:lang w:val="en-US" w:eastAsia="en-US" w:bidi="ar-SA"/>
        </w:rPr>
        <w:t xml:space="preserve"> the gain. Consequently, for the amount subject to disgorgement and constructive trust to be a </w:t>
      </w:r>
      <w:r>
        <w:rPr>
          <w:rFonts w:ascii="arial" w:eastAsia="arial" w:hAnsi="arial" w:cs="arial"/>
          <w:i/>
          <w:color w:val="000000"/>
          <w:sz w:val="20"/>
          <w:lang w:val="en-US" w:eastAsia="en-US" w:bidi="ar-SA"/>
        </w:rPr>
        <w:t>common</w:t>
      </w:r>
      <w:r>
        <w:rPr>
          <w:rFonts w:ascii="arial" w:eastAsia="arial" w:hAnsi="arial" w:cs="arial"/>
          <w:color w:val="000000"/>
          <w:sz w:val="20"/>
          <w:lang w:val="en-US" w:eastAsia="en-US" w:bidi="ar-SA"/>
        </w:rPr>
        <w:t xml:space="preserve"> issue in this class action, the pleadings and evidence must demonstrate a way to prove on a </w:t>
      </w:r>
      <w:r>
        <w:rPr>
          <w:rFonts w:ascii="arial" w:eastAsia="arial" w:hAnsi="arial" w:cs="arial"/>
          <w:i/>
          <w:color w:val="000000"/>
          <w:sz w:val="20"/>
          <w:lang w:val="en-US" w:eastAsia="en-US" w:bidi="ar-SA"/>
        </w:rPr>
        <w:t>class-wide basis</w:t>
      </w:r>
      <w:r>
        <w:rPr>
          <w:rFonts w:ascii="arial" w:eastAsia="arial" w:hAnsi="arial" w:cs="arial"/>
          <w:color w:val="000000"/>
          <w:sz w:val="20"/>
          <w:lang w:val="en-US" w:eastAsia="en-US" w:bidi="ar-SA"/>
        </w:rPr>
        <w:t xml:space="preserve"> that the alleged wrongful conduct (i.e. 'the failure to warn') caused the gain (i.e. 'proceeds from Zyprexa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para. 101 of his reasons Cullity J. said,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finding that a cause of action based on waiver of tort has been disclosed in the pleading is not in itself sufficient to qualify it as a common issue. In particular, </w:t>
      </w:r>
      <w:r>
        <w:rPr>
          <w:rFonts w:ascii="arial" w:eastAsia="arial" w:hAnsi="arial" w:cs="arial"/>
          <w:color w:val="000000"/>
          <w:sz w:val="20"/>
          <w:u w:val="single"/>
          <w:lang w:val="en-US" w:eastAsia="en-US" w:bidi="ar-SA"/>
        </w:rPr>
        <w:t>the court must be satisfied that it is possible to determine on a class-wide basis whether a sufficient causal connection existed between the wrongful conduct and the amount for which the defendants could be ordered to account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Cullity J. was correct in stating there must be a causal connection on a class-wide basis between the gain subject to disgorgement or constructive trust and the wrongful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In this case, and with great respect, it is not clear to me that the pleadings or the evidence support the assumption made by Cullity J. that Eli Lilly's gain was caused by its wrongful conduct. While the pleadings explicitly say the primary plaintiffs would not have taken the drug if they had been informed of its alleged side-effects (see Cullity J.'s reasons at para. 47), neither the pleadings nor the evidence support the inference that all members of the class would have done the same. This is perhaps not surprising, given that Zyprexa continues to be prescribed and used by persons, including class members, three years after Health Canada ordered Eli Lilly to issue warnings regarding the possible risk of developing diabetes when taking Zyprexa. There is also nothing in the pleadings or the evidence to support the inference that Zyprexa would not have been approved for sale if Health Canada was properly warned of its associated risks. And since Health Canada was in fact warned about the risks of Zyprexa use in late 2003 and has not ordered the drug off the market, it is difficult to infer that Health Canada would not have approved Zyprexa in the first place if it received these same warnings in the early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of Lederman J.)</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To refuse to certify a class action on the basis of the first criteria, it must be "perfectly clear", "absolutely beyond doubt" and "plain and obvious" that no reasonable cause of action is disclosed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character of waiver of tort obviously remains unsettled. Accordingly, it would be premature to deny certification for this cause of action on the basis of the first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to the constructive trust claim, the reasoning in </w:t>
      </w:r>
      <w:r>
        <w:rPr>
          <w:rFonts w:ascii="arial" w:eastAsia="arial" w:hAnsi="arial" w:cs="arial"/>
          <w:b/>
          <w:i/>
          <w:color w:val="000000"/>
          <w:sz w:val="20"/>
          <w:lang w:val="en-US" w:eastAsia="en-US" w:bidi="ar-SA"/>
        </w:rPr>
        <w:t>Pro-Sys v. Microsoft</w:t>
      </w:r>
      <w:r>
        <w:rPr>
          <w:rFonts w:ascii="arial" w:eastAsia="arial" w:hAnsi="arial" w:cs="arial"/>
          <w:color w:val="000000"/>
          <w:sz w:val="20"/>
          <w:lang w:val="en-US" w:eastAsia="en-US" w:bidi="ar-SA"/>
        </w:rPr>
        <w:t xml:space="preserve"> and that of Chapnik J. in </w:t>
      </w:r>
      <w:r>
        <w:rPr>
          <w:rFonts w:ascii="arial" w:eastAsia="arial" w:hAnsi="arial" w:cs="arial"/>
          <w:b/>
          <w:i/>
          <w:color w:val="000000"/>
          <w:sz w:val="20"/>
          <w:lang w:val="en-US" w:eastAsia="en-US" w:bidi="ar-SA"/>
        </w:rPr>
        <w:t>Serhan</w:t>
      </w:r>
      <w:r>
        <w:rPr>
          <w:rFonts w:ascii="arial" w:eastAsia="arial" w:hAnsi="arial" w:cs="arial"/>
          <w:color w:val="000000"/>
          <w:sz w:val="20"/>
          <w:lang w:val="en-US" w:eastAsia="en-US" w:bidi="ar-SA"/>
        </w:rPr>
        <w:t xml:space="preserve"> is applicable here. No equitable obligation or agency type activity is pleaded capable of supporting the wrongful act route to a constructive trust. However, as a constructive trust is also claimed through the unjust enrichment route -- the second route described in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xml:space="preserve"> -- the constructive trust claim is not to be struck in its entirely. I would order that any pleadings related solely to the wrongful act route to constructive trust be struck, but those related to the unjust enrichment route to constructive trust be permitted to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conclude that with the exception just outlined, the pleadings meet the requirements of the first threshold criteria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Having made this finding on the pleadings, the other threshold questions require an assessment of the evidence presented regarding whether the plaintiff has met each of the criteria. A particular difficulty in this regard is the establishment of liability on a class wide basis. This and other matters are addressed in the sections that follow.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Identification serves three key purposes:</w:t>
      </w:r>
      <w:r>
        <w:rPr>
          <w:rFonts w:ascii="arial" w:eastAsia="arial" w:hAnsi="arial" w:cs="arial"/>
          <w:sz w:val="20"/>
          <w:lang w:val="en-US" w:eastAsia="en-US" w:bidi="ar-SA"/>
        </w:rPr>
        <w:cr/>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identifies those persons who have a potential claim for relief against the defendants;</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defines the parameters of the lawsuit so as to identify those person who are bound by its result;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describes who is entitled to notice pursuant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so that the class members may determine whether they wish to participate in the class proceeding, have their right determined in another fashion, or take no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would add that it also serves to inform the question of the preferable procedure: </w:t>
      </w:r>
      <w:r>
        <w:rPr>
          <w:rFonts w:ascii="arial" w:eastAsia="arial" w:hAnsi="arial" w:cs="arial"/>
          <w:b/>
          <w:i/>
          <w:color w:val="000000"/>
          <w:sz w:val="20"/>
          <w:lang w:val="en-US" w:eastAsia="en-US" w:bidi="ar-SA"/>
        </w:rPr>
        <w:t>Lau v. Bayview Landmark Inc.</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(1999), 40 C.P.C. (4th) 301</w:t>
        </w:r>
      </w:hyperlink>
      <w:r>
        <w:rPr>
          <w:rFonts w:ascii="arial" w:eastAsia="arial" w:hAnsi="arial" w:cs="arial"/>
          <w:color w:val="000000"/>
          <w:sz w:val="20"/>
          <w:lang w:val="en-US" w:eastAsia="en-US" w:bidi="ar-SA"/>
        </w:rPr>
        <w:t xml:space="preserve"> (Ont. S.C.J.)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appropriate time to define the class and to exclude those without claims is at the time of certification: </w:t>
      </w:r>
      <w:r>
        <w:rPr>
          <w:rFonts w:ascii="arial" w:eastAsia="arial" w:hAnsi="arial" w:cs="arial"/>
          <w:b/>
          <w:i/>
          <w:color w:val="000000"/>
          <w:sz w:val="20"/>
          <w:lang w:val="en-US" w:eastAsia="en-US" w:bidi="ar-SA"/>
        </w:rPr>
        <w:t>Western Canadian Shopping Centres v. Dutton</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definition should state objective criteria by which Class Members can be identified. Some rational relationship must be shown to exist between the class and common issues. It is not a requirement that all members of a class share the same interest in the determination of a common issue; however, the proposed class must be shown not to be "unnecessarily broad". While identification is critical, this requirement is said to be not an onerous one; the plaintiff has the onus to establish that the class is defined "sufficiently narrowly":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mentioned at the outset, the plaintiff in its written submission clarified the proposed class to be all residents of British Columbia who purchased DRAM and products containing DRAM directly, and indirect purchasers of the same, in, into, or from British Columbia. Further, the plaintiff has named other conspirators in its amended consolidated statement of claim which covers much of the balance of DRAM not manufactured by the defendants. Apparently, these other conspirators were named as defendants in the U.S. direct purchaser class action and several have settled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fair to say that this class has the potential to be enormous given the vast number of products containing DRAM.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submits that there are two legal principles that support the appropriateness of the proposed class:</w:t>
      </w:r>
      <w:r>
        <w:rPr>
          <w:rFonts w:ascii="arial" w:eastAsia="arial" w:hAnsi="arial" w:cs="arial"/>
          <w:sz w:val="20"/>
          <w:lang w:val="en-US" w:eastAsia="en-US" w:bidi="ar-SA"/>
        </w:rPr>
        <w:cr/>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all class members must have a cause of action against the defendants; rather, that it is sufficient that all class members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a cause of action against the defendants even if it is only a smaller segment of the class that actually suffered a harm; and</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Enunciating the precise definition of the class is a fluid process, which only need reach a conclusion when, pursuant to section 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is included in the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submits that further differences or issues between class members can be addressed through the use of sub-classes or on an individual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submit that the class definition is unsuitable as it fails to take into account both the effect of the Settlement Agreements in the United States which release the defendants from liability to direct purchasers in the United States, and Dr. Ross's evidence that most direct purchasers of DRAM were not part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argue that the class, as defined by the plaintiff, is over-inclusive as it could have been narrowed without unnecessarily excluding individuals who ought to have been class members. Indeed, the defendants characterize the proposed class as "boundless". Thus, the defendants argue that the proposed class needs to be redefined.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They also argue that there is no evidence before the court capable of grounding a reasonable estimate of the size of the proposed class. The defendants' evidence reveals that they have little evidence of who purchased their products in British Columbia. It is obvious from the evidence of the plaintiff that they have little evidence that can assist. Neither Mr. Leung nor Mr. Mogerman were able to provide any specific measure of the size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 further complication argued is that the proposed Class Members cannot in many cases objectively self identify themselves as being in the class. The consumer will not be able to tell if their product contains DRAM and, even if they can, the consumer will most likely not know whether the DRAM was manufactured by the defendants. The materials indicate that in most circumstances, the only method for the individual consumer to determine the manufacturer is by opening or disassembling the product and to inspect its circuitry and memory chips. However, by taking such steps, the consumer will be exposed to potential costs and risks, including product damage and voidance of product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is also notable that Dr. Ross' evidence in his second affidavit proposed a pan-Canadian approach which is not consistent with the definition proposed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are problems with the class proposed by the plaintiff. The plaintiff's modifications of the class definition, including during the course of the hearing, suggests there are difficulties with crystallizing the class given the complex issues in this case. There are incongruencies in the way they have presented this case. However, I recognize that the exercise in defining a class is a fluid one and that while it is important to get things right at the outset, I do not find that the issues raised by the defendants are sufficient barriers to bar certification on this ground, except that the inclusion of direct purchasers of DRAM (and their affiliates, agents, and shareholders etc.) who have settled in actions against the defendants in the United States are to be excluded from the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Commonality is the linch pin of a class proceeding. In </w:t>
      </w:r>
      <w:r>
        <w:rPr>
          <w:rFonts w:ascii="arial" w:eastAsia="arial" w:hAnsi="arial" w:cs="arial"/>
          <w:b/>
          <w:i/>
          <w:color w:val="000000"/>
          <w:sz w:val="20"/>
          <w:lang w:val="en-US" w:eastAsia="en-US" w:bidi="ar-SA"/>
        </w:rPr>
        <w:t>Ernewein</w:t>
      </w:r>
      <w:r>
        <w:rPr>
          <w:rFonts w:ascii="arial" w:eastAsia="arial" w:hAnsi="arial" w:cs="arial"/>
          <w:color w:val="000000"/>
          <w:sz w:val="20"/>
          <w:lang w:val="en-US" w:eastAsia="en-US" w:bidi="ar-SA"/>
        </w:rPr>
        <w:t xml:space="preserve"> at para. 32 the court quoted from </w:t>
      </w:r>
      <w:r>
        <w:rPr>
          <w:rFonts w:ascii="arial" w:eastAsia="arial" w:hAnsi="arial" w:cs="arial"/>
          <w:b/>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[2000] B.C.J. No. 2237</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at para. 24 to the effect that "'common' means that the resolution of the point in question must be applicable to all those who are to be bound by it" and thus, the ability to generalize, or "extrapolate" from one class member's situation to another is crucial to the existence of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While the common issues do not have to be issues that are necessarily determinative of liability for every defendant, their resolution must move the litigation forward in a meaningful way. In that sense, the inquiry must not consider commonality in the abstract, but must consider the importance of the common issues relative to the claim as a whole. As well, common issues are not synonymous with common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It is also clear that it is not the quantity of commonalities but their quality that is the governing factor when it come to evaluating the commons issues criterion: </w:t>
      </w:r>
      <w:r>
        <w:rPr>
          <w:rFonts w:ascii="arial" w:eastAsia="arial" w:hAnsi="arial" w:cs="arial"/>
          <w:b/>
          <w:i/>
          <w:color w:val="000000"/>
          <w:sz w:val="20"/>
          <w:lang w:val="en-US" w:eastAsia="en-US" w:bidi="ar-SA"/>
        </w:rPr>
        <w:t>2038724 Ontario Ltd. and 20362350 Ontario Inc. v. Quizno's Canada Restaurant Corporation</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[2008] O.J. No. 833</w:t>
        </w:r>
      </w:hyperlink>
      <w:r>
        <w:rPr>
          <w:rFonts w:ascii="arial" w:eastAsia="arial" w:hAnsi="arial" w:cs="arial"/>
          <w:color w:val="000000"/>
          <w:sz w:val="20"/>
          <w:lang w:val="en-US" w:eastAsia="en-US" w:bidi="ar-SA"/>
        </w:rPr>
        <w:t xml:space="preserve"> (S.C.J.) at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submits that certifying this action will avoid the duplication of fact-finding and/or legal analysis that would be substantial and essential elements of each Class Member's claim. Specifically, the plaintiff claims that the dominant issue of liability and the corresponding questions as to the existence, scope and efficacy of the conspiracy to fix the prices of DRAM, are common issues that are suitable for class proceedings: </w:t>
      </w:r>
      <w:r>
        <w:rPr>
          <w:rFonts w:ascii="arial" w:eastAsia="arial" w:hAnsi="arial" w:cs="arial"/>
          <w:b/>
          <w:i/>
          <w:color w:val="000000"/>
          <w:sz w:val="20"/>
          <w:lang w:val="en-US" w:eastAsia="en-US" w:bidi="ar-SA"/>
        </w:rPr>
        <w:t>Ritchie-Smith Feed Inc. v. Rhone-Poulenc Canada Inc.</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[2005] B.C.J. No. 857</w:t>
        </w:r>
      </w:hyperlink>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2005 BCSC 583</w:t>
        </w:r>
      </w:hyperlink>
      <w:r>
        <w:rPr>
          <w:rFonts w:ascii="arial" w:eastAsia="arial" w:hAnsi="arial" w:cs="arial"/>
          <w:color w:val="000000"/>
          <w:sz w:val="20"/>
          <w:lang w:val="en-US" w:eastAsia="en-US" w:bidi="ar-SA"/>
        </w:rPr>
        <w:t xml:space="preserve"> which adopted the reasoning of Cumming J. in </w:t>
      </w:r>
      <w:r>
        <w:rPr>
          <w:rFonts w:ascii="arial" w:eastAsia="arial" w:hAnsi="arial" w:cs="arial"/>
          <w:b/>
          <w:i/>
          <w:color w:val="000000"/>
          <w:sz w:val="20"/>
          <w:lang w:val="en-US" w:eastAsia="en-US" w:bidi="ar-SA"/>
        </w:rPr>
        <w:t>Vitapharm v. F. Hoffman-La Roche Ltd.</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(2005), 74 O.R. (3d) 758</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common issues identified by the plaintiff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the </w:t>
      </w:r>
      <w:r>
        <w:rPr>
          <w:rFonts w:ascii="arial" w:eastAsia="arial" w:hAnsi="arial" w:cs="arial"/>
          <w:b/>
          <w:i/>
          <w:color w:val="000000"/>
          <w:sz w:val="20"/>
          <w:lang w:val="en-US" w:eastAsia="en-US" w:bidi="ar-SA"/>
        </w:rPr>
        <w:t>Competition Act</w:t>
      </w:r>
    </w:p>
    <w:p>
      <w:pPr>
        <w:numPr>
          <w:numId w:val="5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or any of them, engage in conduct which is contrary to s. 45 of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w:t>
      </w:r>
    </w:p>
    <w:p>
      <w:pPr>
        <w:numPr>
          <w:numId w:val="5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damages, if any, are payable by the defendants to the Class Members pursuant to s. 36 of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w:t>
      </w:r>
    </w:p>
    <w:p>
      <w:pPr>
        <w:numPr>
          <w:numId w:val="5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the defendants, or any of them, pay the full costs, or any, of the investigation into this matter pursuant to s. 36 of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conspire to harm the Class Members?</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act in furtherance of the conspiracy?</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predominant purpose of the conspiracy to harm the Class Members?</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conspiracy involve unlawful acts?</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know that the conspiracy would likely cause injury to the Class Members?</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Class Members suffer economic loss?</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are payable by the defendants, or any of them, to the Class Members?</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amount of damages be determined on an aggregate basis and if so, in what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Tortious Interference with Economic Interests</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intend to injure the Class Members?</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interfere with the economic interests of the Class Members by unlawful or illegal means?</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Class Members suffer economic loss as a result of the defendants' interference?</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are payable by the defendants, or any of them, to the Class Members?</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amount of damages be determined on an aggregate basis and if so, in what amount?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Unjust Enrichment, Waiver of Tort and Constructive Trust</w:t>
      </w:r>
      <w:r>
        <w:rPr>
          <w:rFonts w:ascii="arial" w:eastAsia="arial" w:hAnsi="arial" w:cs="arial"/>
          <w:sz w:val="20"/>
          <w:lang w:val="en-US" w:eastAsia="en-US" w:bidi="ar-SA"/>
        </w:rPr>
        <w:cr/>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defendants, or any of them, been unjustly enriched by the receipt of overcharges on the sale of DRAM?</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Class Members suffered a corresponding deprivation in the amount of the overcharges on the sale of DRAM?</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juridical reason why the defendants, or any of them, should be entitled to retain the overcharges on the sale of DRAM?</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restitution, if any, is payable by the defendants, or any of them, to the Class Members based on unjust enrichment?</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defendants, or any of them, be constituted as constructive trustees in favour of the Class Members for all of the overcharges from the sale of DRAM?</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the overcharges, if any, that the defendants, or any of them, hold in trust for the Class Members?</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restitution, if any, is payable by the defendants to the Class Members based on the doctrine of waiver of tort?</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any of them, liable to account to the Class Members for the wrongful profits that they obtained on the sale of DRAM to the Class Members based on the doctrine of waiver of tort?</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amount of restitution be determined on an aggregate basis and if so, in what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6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any of them, liable to pay punitive or exemplary damages having regard to the nature of their conduct and if so, what amount and to whom?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liability, if any, of the defendants, or any of them, for court order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Distribution of Damages and/or Trust Funds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distribution of damages and/or trust funds and interest to the Class Members and who should pay for the cost of that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particular, the plaintiff submits that the dominant issue of liability is common: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conspire to fix the price of DRAM?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was the scope of the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was the effect of that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submits that once these dominant common issues are resolved by the court, there are "class-wide, and therefore common, ways of determining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issues the plaintiff says can be addressed and answered on a class-wide basis are:</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conspiracy effective in raising prices to direct purchasers, including some of the Class Members?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indirect purchasers, including the remaining Class Members, pay more because of the conspiracy?</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profit because of the conspiracy?</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class members entitled to punitive damages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parties effectively agree that the issues relating to the existence of the conspiracy to fix prices for DRAM are common among the proposed Class Members. The argument of the defendants is that there is no methodology for establishing harm on a class-wide basis. The defendants say that no credible methodology has been proposed to establish that there was a pass through of a price fixing effect to the vast majority of subsequent indirect purchasers caught by the proposed class definition, let alone a methodology capable of estimating the amount of such an effect even in approximate terms. The defendants say that this failure is fatal to the plaintiff's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a case such as this where the context is pass through, the court must be persuaded that there is sufficient evidence of the existence of a viable and workable methodology that is capable of relating harm to Class Members. This is not an application such as in </w:t>
      </w:r>
      <w:r>
        <w:rPr>
          <w:rFonts w:ascii="arial" w:eastAsia="arial" w:hAnsi="arial" w:cs="arial"/>
          <w:b/>
          <w:i/>
          <w:color w:val="000000"/>
          <w:sz w:val="20"/>
          <w:lang w:val="en-US" w:eastAsia="en-US" w:bidi="ar-SA"/>
        </w:rPr>
        <w:t>Vitapharm</w:t>
      </w:r>
      <w:r>
        <w:rPr>
          <w:rFonts w:ascii="arial" w:eastAsia="arial" w:hAnsi="arial" w:cs="arial"/>
          <w:color w:val="000000"/>
          <w:sz w:val="20"/>
          <w:lang w:val="en-US" w:eastAsia="en-US" w:bidi="ar-SA"/>
        </w:rPr>
        <w:t xml:space="preserve"> where a settlement has been effected such that the threshold assessment can be "relaxed somewhat": see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[2002] B.C.J. No. 2549</w:t>
        </w:r>
      </w:hyperlink>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2002 BCSC 1577</w:t>
        </w:r>
      </w:hyperlink>
      <w:r>
        <w:rPr>
          <w:rFonts w:ascii="arial" w:eastAsia="arial" w:hAnsi="arial" w:cs="arial"/>
          <w:color w:val="000000"/>
          <w:sz w:val="20"/>
          <w:lang w:val="en-US" w:eastAsia="en-US" w:bidi="ar-SA"/>
        </w:rPr>
        <w:t xml:space="preserve"> at para. 11. Given the inherent complexities, the scrutiny cannot be superficial. The evidence must establish that the proposed methodology has been developed with some rigour and will be sufficiently robust to accomplish the stated task. Dr. Ross' own materials confirm this. His evidence referenced an article for the benefit of the court, authored by B. Ray and S. Schwartz of NERA, a recognized economic consulting firm,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 sure, any analysis of the amount of a pass-through that is attributable to an illegal monopoly overcharge will likely be complex and time-consuming. But, in order to present an analysis that will stand up to close scrutiny -- from either a plaintiff's or defendant's perspective -- the analysis must be done rigorously, with the application of the appropriate empirical techniques and relevant economic theory. To assume that a pass-through analysis can be completed without such rigorous economic and statistical analysis is naive.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Further, in "Estimating Damages from Price-Fixing", (2005) 3 Canadian Class Action Review 335, an article which Dr. Ross co-authored with UBC Professor Dr. Brander, the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Determining the extent to which buyers have passed on some of the damage to their own customers will be extremely difficult in some circumstances, in particular when: (a) there are several stages in the distribution chain below the level at which price-fixing took place; (b) those stages are of uncertain competitiveness themselves; (c) the outputs at some or all stages are widely scattered among numerous purchasing industries; and (d) data at some or all levels is difficult to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think it is obvious that an informed observer having an appreciation of: the dynamics of the market place generally; the DRAM industry specifically; the different forms of DRAM; the vast array of products that contain DRAM; the numerous and differing channels by which DRAM and products containing DRAM travel to reach intermediate and end markets and consumers; the number of participants at each level of distribution; and the numerous variables that can impact the price of a product containing DRAM, would not accept the proposition that it is possible to determine an overcharge to each indirect consumer in such a complex product and distribution context without serious scrutiny of the methodology. Dr. Ross' opinion that "it is possible to assess and quantify the overcharge" to direct purchasers and passed through to downstream purchasers cannot simply be taken at first blush. If scrutiny is not conducted at this stage there is the real risk of dysfunction which cannot be in the interest of the litigants or the judicial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plaintiff's suggestion of working things out "in the laboratory of the trial court" would be inconsistent with judicial economy or fairness in a case such as this. The "laboratory" reference comes from </w:t>
      </w:r>
      <w:r>
        <w:rPr>
          <w:rFonts w:ascii="arial" w:eastAsia="arial" w:hAnsi="arial" w:cs="arial"/>
          <w:b/>
          <w:i/>
          <w:color w:val="000000"/>
          <w:sz w:val="20"/>
          <w:lang w:val="en-US" w:eastAsia="en-US" w:bidi="ar-SA"/>
        </w:rPr>
        <w:t>Knight v. Imperial Tobacco</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[2006] B.C.J. No. 1056</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 xml:space="preserve"> at para. 40 and involved allegedly deceptive practices in the sale of "mild" and "light cigarettes", a relatively less complex circumstance in terms of the number and form of the products and consumers involved. In that case, the applications judge was persuaded by the plaintiff's argument that if it proved at trial that the defendants engaged in deceptive acts and practices that caused the market price of mild and light cigarettes to be higher than it would have been but for those practices, then every purchaser of the products at issue would have paid too much for the product, thus satisfying the common issue criteria: </w:t>
      </w:r>
      <w:hyperlink r:id="rId762" w:history="1">
        <w:r>
          <w:rPr>
            <w:rFonts w:ascii="arial" w:eastAsia="arial" w:hAnsi="arial" w:cs="arial"/>
            <w:i/>
            <w:color w:val="0077CC"/>
            <w:sz w:val="20"/>
            <w:u w:val="single"/>
            <w:shd w:val="clear" w:color="auto" w:fill="FFFFFF"/>
            <w:lang w:val="en-US" w:eastAsia="en-US" w:bidi="ar-SA"/>
          </w:rPr>
          <w:t>[2005] B.C.J. No. 216</w:t>
        </w:r>
      </w:hyperlink>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2005 BCSC 172</w:t>
        </w:r>
      </w:hyperlink>
      <w:r>
        <w:rPr>
          <w:rFonts w:ascii="arial" w:eastAsia="arial" w:hAnsi="arial" w:cs="arial"/>
          <w:color w:val="000000"/>
          <w:sz w:val="20"/>
          <w:lang w:val="en-US" w:eastAsia="en-US" w:bidi="ar-SA"/>
        </w:rPr>
        <w:t xml:space="preserve"> at para. 51. With the exception of a time period issue that does not concern me here, the judgment was affirmed and in doing so the Court of Appeal stated that the case as certified could be further developed in the laboratory of the trial court. However, that comment arose in the context of determining damages and not liability. Even if the comment were to be applicable, given the complexity of this case, I am unable to find that it would be appropriate to leave things, based on the current state of the methodologies as expressed Dr. Ross, for the laboratory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common issues as identified by the plaintiff that are capable of being established on a class-wide basis, and which there is little dispute, is the existence of a conspiracy to fix prices. However, after that, the questions regarding the effect of the conspiracy downstream to indirect purchasers of DRAM and products containing DRAM are difficult to see as common. In my view, the plaintiff has not established that the central issue of liability can be established on a class-wide basis. The deficiencies that I find are similar to those specified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Price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Harmegnies</w:t>
      </w:r>
      <w:r>
        <w:rPr>
          <w:rFonts w:ascii="arial" w:eastAsia="arial" w:hAnsi="arial" w:cs="arial"/>
          <w:color w:val="000000"/>
          <w:sz w:val="20"/>
          <w:lang w:val="en-US" w:eastAsia="en-US" w:bidi="ar-SA"/>
        </w:rPr>
        <w:t>. They revolve around establishing a workable method to identify harm on a class-wide basis, without which the case dissolves into a series of individual inquires that would overwhelm the common aspects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view of the "dominant" questions surrounding liability does not adequately address and cannot serve to minimize the critical questions of determining harm. Those "dominant" questions are the simpler questions to answer. Their resolvability does not displace the significance of determining whether there is a class wide method capable of establishing pass-through to all of the market participants caught by the proposed class definition. This is at the core of the inquiry in pass through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Specifically, the plaintiff's evidence does not satisfy its onus to demonstrate that harm, or its equivalent, can be established on a class-wide basis. In most of the causes of action pleaded, harm is a required element. In constructive trust based on unjust enrichment, a "corresponding deprivation" is a required element. Even under the doctrine of waiver of tort, the unlawful gain must be referable to the Class Members, as I will now explain. No methodology capable of providing this necessary link has been proposed. While that failure may not be fatal under the "common issues" criteria, it will likely doom the certification application to failure under the "preferable procedure"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As a starting place, I find the comment of Lederman J. in </w:t>
      </w:r>
      <w:r>
        <w:rPr>
          <w:rFonts w:ascii="arial" w:eastAsia="arial" w:hAnsi="arial" w:cs="arial"/>
          <w:b/>
          <w:i/>
          <w:color w:val="000000"/>
          <w:sz w:val="20"/>
          <w:lang w:val="en-US" w:eastAsia="en-US" w:bidi="ar-SA"/>
        </w:rPr>
        <w:t>Heward</w:t>
      </w:r>
      <w:r>
        <w:rPr>
          <w:rFonts w:ascii="arial" w:eastAsia="arial" w:hAnsi="arial" w:cs="arial"/>
          <w:color w:val="000000"/>
          <w:sz w:val="20"/>
          <w:lang w:val="en-US" w:eastAsia="en-US" w:bidi="ar-SA"/>
        </w:rPr>
        <w:t xml:space="preserve"> that "there must be a causal connection on a class-wide basis between the gain subject to disgorgement or constructive trust and the wrongful conduct" are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this case, the plaintiff's pleading relating to waiver of tort and constructive trust reads as follows. I note that some of what follows would need to be revised in light of my order that the wrongful act/equitable duty route to constructive trust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waives the tort and pleads that it and the other Class Members are entitled to recover under restitutionary principles.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each been unjustly enriched by the receipt of the artificially induced overcharge on the sale of DRAM. The plaintiff and other Class Members have suffered a deprivation in the amount of such overcharge attributable to the sale of DRAM and products containing DRAM in British Columbia.</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artificially induced overcharge received by the defendants from the plaintiff and each Class Member resulted from the defendants' wrongful or unlawful acts, there is and can be no juridical reason justifying the defendants' retaining any part of such overcharge.</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constituted as constructive trustees in favour of the Class Members for all of the artificially induced overcharge from the sale of DRAM because, among other reasons: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unjustly enriched by the artificially induced overcharge;</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Members suffered a deprivation because of the artificially induced overcharge;</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engaged in inappropriate conduct and committed a wrongful act in conspiring to fix the price of DRAM and allocate market share and volume of DRAM;</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artificially induced overcharge was acquired in such circumstances that the defendants may not in good conscience retain it;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justice and good conscience require the imposition of a constructive trust;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integrity of the marketplace would be undermined if the court did not impose a constructive trust; and</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factors that would, in respect of the artificially induced overcharge, render the imposition of a constructive trust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plaintiff's pleading in regard to waiver of tort (assuming it can stand alone) and constructive trust states that the admitted wrongful conduct led to the deprivation of each Class Member in the amount of the overcharge borne by that Class Member. The aggregate of overcharges borne by each Class Member is therefore the measure of the gain. This makes sense. The connection in a price fixing case is the overcharge to the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a result, under waiver of tort or constructive trust by unjust enrichment the plaintiff is not relieved of the requirement to demonstrate that there is a methodology capable of proving on a class-wide basis that the alleged wrongful conduct (the alleged price-fixing conspiracy by the defendants in respect of DRAM products) caused a wrongful gain that arises from overcharges actually passed on to Class Members. The methodology must be capable of establishing not that there was an overcharge to direct purchasers at the top of the distribution pyramid, but that there is a class-wide basis of establishing that an overcharge filtered down to and was borne by direct and indirect purchaser of DRAM products in British Columbia. The benefit the defendants are alleged to have gained must be referable to the Class Members. Liability to a class cannot be established based on wrongful conduct alone, but requires that the wrongful conduct actually impacted the class. The wrongful gain must arise from the class before the wrongdoer can be required to disgorge to the class. There is no principled basis to relieve the plaintiff from this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Therefore, the invocation of the doctrine of waiver of tort or constructive trust by unjust enrichment does not enable the plaintiff to avoid the "common issues" requirement to demonstrate a methodology that will establish the pass through effect to Class Members on a class-wide basis. As the plaintiff states at para. 30 of its pleadings above, the overcharge must be "</w:t>
      </w:r>
      <w:r>
        <w:rPr>
          <w:rFonts w:ascii="arial" w:eastAsia="arial" w:hAnsi="arial" w:cs="arial"/>
          <w:color w:val="000000"/>
          <w:sz w:val="20"/>
          <w:u w:val="single"/>
          <w:lang w:val="en-US" w:eastAsia="en-US" w:bidi="ar-SA"/>
        </w:rPr>
        <w:t>attributable to</w:t>
      </w:r>
      <w:r>
        <w:rPr>
          <w:rFonts w:ascii="arial" w:eastAsia="arial" w:hAnsi="arial" w:cs="arial"/>
          <w:color w:val="000000"/>
          <w:sz w:val="20"/>
          <w:lang w:val="en-US" w:eastAsia="en-US" w:bidi="ar-SA"/>
        </w:rPr>
        <w:t xml:space="preserve"> the sale of DRAM and products containing DRAM in British Columbia" (emphasis added). In order to have this action certified as a class action, the plaintiff must show that there exists a methodology capable of establishing this attribution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turn then to the methodologies proposed by the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 review of the opinion of Dr. Ross in his affidavits, his evidence under cross examination, the evidence of industry affiants, and the evidence of Ms. Sanderson both direct and in cross-examination, reveal and confirm the considerable frailties and difficulties inherent in the exercise of attempting to determine class-wide harm in cases such as this. They have not been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My observation in this regard is that Dr. Ross' evidence is not grounded in studies, company records or industry data. His familiarity with this industry, in terms of expertise, was limited. He acknowledged that he had not studied the industry. The plaintiff did not adduce any industry evidence and did not challenge the evidence of the industry evidence proffered by the defence. Dr. Ross has conducted no analysis of the DRAM market and had little knowledge of whether the data that he says are necessary to conduct the direct and pass through modeling to establish existence and quantum of harm actually exists or is available to him. Dr. Ross' evidence is theoretical and is admitted to be general and preliminary. At one point in cross-examination he volunteered his analysis was "very preliminary."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admitted that, although pass though would have to be analyzed for DRAM products purchased by Class Members, he did not look at the number of channels or levels of distribution that would have to be studied, or the amount of time or effort that would be required to attempt to estimate pass-through, before offering an opinion to the court. He acknowledged in cross-examination that to analyze pass-through, information on cost and demand and supply data for each stage of each distribution chain for each DRAM product would be required. He acknowledged that he would have to study each distribution channel in order to determine whether the data from one could be applied to another. He did not consider controlling for purchasers of PC's from non-conspirator makers of DRAM in his methodology. He had conducted no inquiry as to whether such parties were capacity constrained or faced barriers to entry into the market. He agreed that there may be no effect on non-conspirator prices and that effects could be subject to time lags and the effects could be less. On the other hand the evidence of the industry affiants, which was not challenged, suggests significant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acknowledged that his first approach, as set out in his first affidavit, was to determine only the aggregate damages for the entire class, rather than the existence of individual damages for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Ross' attempt to address the critique of Ms. Sanderson by "sketching" out a second approach through simplifications or assumptions only serves to reinforce the concerns regarding the viability of a methodology for a class-wide determination. His simplifications appear to be at odds with his statement referenced above regarding the need to study each distribution channel as well as his reference to the NERA article and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first simplification of a "pan-Canadian" approach undermines the parameters of the Class as defined by the plaintiff and does not alleviate the requirement of demonstrating harm to Class Members, residents of British Columbia, 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second simplification of assuming a cy-pres distribution of damages does not add to the analysis of demonstrating a class-wide methodology for determining harm. Dr. Ross' in his cross-examination conceded that this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third simplification of an integrated North American market for "possibly" most electronic products is not validated by any empirical evidence. This simplification was based on Dr. Ross' "first instinct" as opposed in any study. He acknowledged that he had performed no analysis to support this simplifying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fourth simplification, which he states is "likely the most important", of limiting the focus of his analysis to one product channel, i.e., the personal computer channel is not validated by empirical evidence. There is some uncertainty as to whether this assumption was through the instruction of counsel or one that arose independently from Dr. Ross. He stated that by assuming that to the extent other DRAM product channels are "economically similar" to the personal computer channel, "it may be possible to apply the result derived ... to some other product channels." I note that Ms. Sanderson commented that "economically similar" is not a term of art in economic analysis. Dr. Ross provided no factual foundation for extrapolating pass through rates from one product channel to another and against the evidence of the substantial number of different products containing DRAM, there is little confidence that can be placed in the validity of this simplification. The evidence of Ms. Sanderson does not support this assumption and indeed erodes this theory. In her first affidavit she states:</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Professor Ross notes only the examples of PCs sold directly to consumers, DRAM is contained in a much larger universe of products, each with potentially different conditions determining distribution and sale. The table contained in Exhibit O shows worldwide revenue from DRAM sales by end-use category over the period 1999-2002, using data purchased from iSuppli Corp., an information technology industry research firm. The data show that PCs (encompassing both desktops and laptops) accounted for 46.3% of DRAM total revenues over this four-year period. Server and related applications (including enterprise and entry-level servers, workstations, and mainframe computers) amounted to 17.6% of total revenues. Revenue from memory upgrades was significant at 13.9% of the total, and graphics cards accounted for 3.8%. A number of other distinct DRAM product categories that are perhaps less obvious include industrial applications such as medical electronics (1.6%), consumer applications such as video game consoles (1.1%) and digital set top boxes (0.9%), automotive applications such as telematics (0.6%), and various wireline and wireless telecommunications uses such as switches, routers, and mobile handsets.</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also obtained data from iSuppli that shows DRAM use by application category measured in total megabytes (MB), for a portion of the class period. Exhibit P shows DRAM used by major application category in 2001 overall, as well as the first two quarters of 2002. Comparing the second quarter of 2002 with 2001, it appears that PC and automotive applications increased as proportion of DRAM megabyte use, while graphics, wireline communications, and industrial applications decreased proportionately.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this data that the computer channel itself is comprised of very different products, such as desktops and laptops, enterprise and entry-level servers, workstations, and mainframe computers, memory upgrades, and graphics cards. Given the variation that exists in the pricing and mark-ups for memory modules alone sold through a single distribution channel, it would be unreasonable to assume comparable pass-through effects for products that range from memory upgrades to mainframes. With each of these products the conditions that would cause any pass through to vary will include many of the factors that are noted above, such as the percentage of the final product's cost that is comprised of DRAM, the ability to substitute older generations of DRAM, differences in the extent of product differentiation and buyer power, to name a few.</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distribution channels through which each of the numerous types of products containing DRAM passes differ. For example, the conditions under which telecommunications infrastructure components are sold to a relatively limited number of purchasers will differ greatly from the conditions under which sales of mass market products such as PCs or game consoles take place. As a result, even if it could be computed, it is incorrect to apply the rate of pass-through for the "computer channel," which in itself would be expected to have variation between the many products in this segment, to other products. If any harm was passed through, it was almost certainly passed through at different rates for different products and distribution channels.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 further aspect of Dr. Ross' evidence relates to the significance of near complete pass through to the various levels in the market. If such a condition is found in the computer channel, he deposed that his analysis would be simpler and that he could then conclude that a large fraction of the aggregate harm fell to computer purchasers. He stated "once I have access to the relevant and material documents and information I will be able to determine whether pass-through has been complete and rapid or not." If it is complete and rapid he stated that "this would be an extremely simple method which may very well provide an excellent estimate of aggregate harm at little cost." This proposition however, is countered by Ms. Sanderson which reveals the preliminary nature of the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Sanderson points out in her second affidavit that the condition of complete and rapid is at odds with the academic writings of Dr. Ross. She cites the above referenced article by Brander and Ross at p. 358: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cases we believe that, particularly in the short run, the supply curve describing the relationship between price and the quantity offered for sale in a competitive market is upward-sloping.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states that in such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complete or near-complete pass-through would not be achieved.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way to establish whether these conditions hold is to analyze the supply conditions facing individual firms (being all of the Defendants' customers, and their customers, etc.) at each level of the distribution chain. This requires data from PC OEMs, distributors and wholesalers, most or all of whom are not parties to this proceeding or within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as noted above, PCs are like many industries, the supply curve facing PC OEMs is upward sloping, and as a result near-complete pass-through will not occur. In these circumstances, we are left no further ahead in knowing how much pass-through has in fact occurred. We will know only that it is less than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record establishes a significant disparity in the level of industry knowledge and information between Dr. Ross vis-à-vis Ms. Sanderson and the other defence affiants that cannot be ignored. The weight of the evidence supports the contention of the defence that the simplification to use the PC channel as a proxy for the whole is not appropriate. In the absence of a higher degree of confidence in this fourth simplification, I am unable to place much confidence on Dr. Ross' proposed methodology. I also observe that this simplification is tantamount to a redefinition of the class from one that is all encompassing to one relating only to PCs, and then imposing that result beyond the redefined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While Ms. Sanderson acknowledged that simplifications are not uncommon in competitive analysis and that statistically significant sampling is often used, it is trite to say that the simplifications must be justifiable for the purpose for which they are being used. Class action litigation cannot be driven by the limitations of econometric tools and the data that are available or not; rather, the tools must be shown to be capable of meeting the evidentiary standard for the class and causes of action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Statistical analysis should be approached with caution. Class action certifications are not excepted from such an approach and, in my view, it is even more important in pass through cases given the significant complexities. The basic question of statistics is that of validity. The problem inherent in regression analysis, i.e., the isolation and measurement of the effect of one or more variables on another variable and the interpretations regarding the relationship is basic. The meaningfulness of the result is always a function of the inputs. The correlations and results are subject to considerable interpretation and are not synonymous with causation in a legal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Even taking into consideration the acknowledgments of Ms. Sanderson in cross-examination such as the lack of substitutability of DRAM, the 70-80% market share of the defendants that give rise to the potential of market power; that the market share of the defendants grew during the Class Period; and that it is theoretically possible to estimate the extent of the pass-through under certain conditions; against the evidence of Dr. Ross which is admitted to be general and preliminary; is not seasoned with industry knowledge or industry analysis; is premised on the need for considerable information which he was not able to state was available; requires analysis of pass through at every level of distribution channel for each product, and is hypothetical and simplified -- not based upon real world economics; looking at the evidence overall, there are significant deficiencies regarding the approaches proposed by the plaintiff. It is apparent that the methods proposed by the plaintiff do not avoid the need for a vast number of individual inquires regarding the participants and conditions in the market place for DRAM. As a result, I find that the plaintiff has not sufficiently demonstrated that a workable class-wide methodology is available to establish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plaintiff argues that s. 29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permits the court to make an aggregate monetary award, ameliorates the burden of establishing harm on a class-wide basis. The plaintiff relies upon </w:t>
      </w:r>
      <w:r>
        <w:rPr>
          <w:rFonts w:ascii="arial" w:eastAsia="arial" w:hAnsi="arial" w:cs="arial"/>
          <w:b/>
          <w:i/>
          <w:color w:val="000000"/>
          <w:sz w:val="20"/>
          <w:lang w:val="en-US" w:eastAsia="en-US" w:bidi="ar-SA"/>
        </w:rPr>
        <w:t>Markson v. MBNA Canada Bank</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[2007] O.J. No. 1684</w:t>
        </w:r>
      </w:hyperlink>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2007 ONCA 334</w:t>
        </w:r>
      </w:hyperlink>
      <w:r>
        <w:rPr>
          <w:rFonts w:ascii="arial" w:eastAsia="arial" w:hAnsi="arial" w:cs="arial"/>
          <w:color w:val="000000"/>
          <w:sz w:val="20"/>
          <w:lang w:val="en-US" w:eastAsia="en-US" w:bidi="ar-SA"/>
        </w:rPr>
        <w:t xml:space="preserve">, leave to appeal to S.C.C. refused </w:t>
      </w:r>
      <w:hyperlink r:id="rId765" w:history="1">
        <w:r>
          <w:rPr>
            <w:rFonts w:ascii="arial" w:eastAsia="arial" w:hAnsi="arial" w:cs="arial"/>
            <w:i/>
            <w:color w:val="0077CC"/>
            <w:sz w:val="20"/>
            <w:u w:val="single"/>
            <w:shd w:val="clear" w:color="auto" w:fill="FFFFFF"/>
            <w:lang w:val="en-US" w:eastAsia="en-US" w:bidi="ar-SA"/>
          </w:rPr>
          <w:t>[2007] S.C.C.A. No. 346</w:t>
        </w:r>
      </w:hyperlink>
      <w:r>
        <w:rPr>
          <w:rFonts w:ascii="arial" w:eastAsia="arial" w:hAnsi="arial" w:cs="arial"/>
          <w:color w:val="000000"/>
          <w:sz w:val="20"/>
          <w:lang w:val="en-US" w:eastAsia="en-US" w:bidi="ar-SA"/>
        </w:rPr>
        <w:t xml:space="preserve"> which it says has overtaken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as the leading case on the point. It also argues that this has been reinforced in </w:t>
      </w:r>
      <w:r>
        <w:rPr>
          <w:rFonts w:ascii="arial" w:eastAsia="arial" w:hAnsi="arial" w:cs="arial"/>
          <w:b/>
          <w:i/>
          <w:color w:val="000000"/>
          <w:sz w:val="20"/>
          <w:lang w:val="en-US" w:eastAsia="en-US" w:bidi="ar-SA"/>
        </w:rPr>
        <w:t>Cassano v. the Toronto-Dominion Bank</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[2007] O.J. No. 4406</w:t>
        </w:r>
      </w:hyperlink>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2007 ONCA 781</w:t>
        </w:r>
      </w:hyperlink>
      <w:r>
        <w:rPr>
          <w:rFonts w:ascii="arial" w:eastAsia="arial" w:hAnsi="arial" w:cs="arial"/>
          <w:color w:val="000000"/>
          <w:sz w:val="20"/>
          <w:lang w:val="en-US" w:eastAsia="en-US" w:bidi="ar-SA"/>
        </w:rPr>
        <w:t xml:space="preserve">, leave to appeal to S.C.C. refused </w:t>
      </w:r>
      <w:hyperlink r:id="rId768" w:history="1">
        <w:r>
          <w:rPr>
            <w:rFonts w:ascii="arial" w:eastAsia="arial" w:hAnsi="arial" w:cs="arial"/>
            <w:i/>
            <w:color w:val="0077CC"/>
            <w:sz w:val="20"/>
            <w:u w:val="single"/>
            <w:shd w:val="clear" w:color="auto" w:fill="FFFFFF"/>
            <w:lang w:val="en-US" w:eastAsia="en-US" w:bidi="ar-SA"/>
          </w:rPr>
          <w:t>[2008] S.C.C.A. No. 15</w:t>
        </w:r>
      </w:hyperlink>
      <w:r>
        <w:rPr>
          <w:rFonts w:ascii="arial" w:eastAsia="arial" w:hAnsi="arial" w:cs="arial"/>
          <w:color w:val="000000"/>
          <w:sz w:val="20"/>
          <w:lang w:val="en-US" w:eastAsia="en-US" w:bidi="ar-SA"/>
        </w:rPr>
        <w:t>, and points to the statement of Winkler, C.J.O. at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this is a case where the common issues trial judge could find, based on a review of the evidence, that it is appropriate to conduct an aggregated assessment of monetary relief under s. 24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as was contemplated by this court in </w:t>
      </w:r>
      <w:r>
        <w:rPr>
          <w:rFonts w:ascii="arial" w:eastAsia="arial" w:hAnsi="arial" w:cs="arial"/>
          <w:i/>
          <w:color w:val="000000"/>
          <w:sz w:val="20"/>
          <w:lang w:val="en-US" w:eastAsia="en-US" w:bidi="ar-SA"/>
        </w:rPr>
        <w:t>Markson, supra</w:t>
      </w:r>
      <w:r>
        <w:rPr>
          <w:rFonts w:ascii="arial" w:eastAsia="arial" w:hAnsi="arial" w:cs="arial"/>
          <w:color w:val="000000"/>
          <w:sz w:val="20"/>
          <w:lang w:val="en-US" w:eastAsia="en-US" w:bidi="ar-SA"/>
        </w:rPr>
        <w:t xml:space="preserve">. Alternatively, even if the trial judge were to conclude that an aggregate assessment of damages is inappropriate, the nature of the claim asserted is such that the provisions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might well be utilized so as to make a class proceeding under the statute the "preferable procedure for the resolution of the class members' claims": see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[2001] 3. S.C.R. 158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plaintiff submits that in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the court distinguished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on the basis that the plaintiff did not provide evidence that causation and damages could be proven on a class-wide basis, but instead presumed that pass through had in fact occurred. The plaintiff submits that it has led significant evidence that pass through can be established on a class-wide basis and that it actually occurred. In addition, the plaintiff argues that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has overtaken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and as a result, the plaintiff only needs to show a common model to prove that some class members suffered harm. It is submitted that once this hurdle is overcome, the aggregate damage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triggered.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response to the claim that global damages can be calculated under s. 29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defendants say that the aggregation provisions are only available where liability has already been established: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(C.A.) at para. 49. They reject the notion that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has been overtaken on this point by subsequent cases in B.C. or Ontario. Specifically, they argue that in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Rosenberg J.A. found that aggregation provisions could not be used where liability could not otherwise be established. In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the court found that the allegedly illegal fees had been passed on to the class members. The only question was how many of those class members suffered economic loss: para. 55. Similarly, the defendants argue,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is a case where the aggregation provisions were being discussed after the issue of liability had already been adequately dealt with. The defendants argue that the instant case, like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is one where liability has not been established; the defendants claim that the main issue in these proceedings, and one on which they argue the plaintiff has not proffered any evidence, is precisely whether the alleged overcharge was passed through the various distribution chains to the class members. The defendants state that the aggregation provisions are simply about allocating damages and cannot be used to establish liability. This, the defendants argue, is reflected in the language of ss. 29(1)(b) and (c)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two subsections which set requirements that, the defendants allege, the plaintiff has failed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 do not accept the plaintiff's submission on this point and agree with the submissions of the defence. While the court in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found that the aggregation provisions could be invoked, the decision recognized that the aggregation provisions could not properly be used to establish liability where it could not otherwise be established. The court at paras. 40-41, 43, 49 cited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with approval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statistical sampling authorized by s. 23 [the equivalent of British Columbia s. 30] cannot be used to determine the defendant's liability. Rather, s. 23 provides a means "of determining issues relating to the amount or distribution of a monetary award." Similarly, this court held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[citation omitted] that s. 24 "is applicable only once liability has been established, and provides a method to assess the quantum of damages on a global basis, but not the fact of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common issues relating to the application for a declaration and injunctive relief were to be determined in the plaintiff's favour, the trial court will have found that the defendant received interest in excess of an effective annual rate of 60 per cent on cash advances. Thus, liability to some class members will have been established. At least some members of the class would therefore be entitled to a remedy, either by way of restitution or damages for breach of contract. In my view, those two findings -- liability and entitlement to a remedy -- are sufficient to trigger the application of ss. 23 and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24(1), the section applies if: (a) monetary relief is claimed on behalf of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or all class members; (b) no questions of fact or law other than those relating to the assessment of monetary relief remain to be determined in order to establish the amount of the defendant's monetary liability; and (c) the aggregate or a part of the defendant's liability to some or all of the class members can be reasonably determined without proof of individual claims. In my view, this is a case where the aggregate liability to all members of the class can be reasonably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context of this case, if the plaintiff can establish that the defendant administered its cash advances in a manner that violated s. 347 and/or breached its contract with its customers, it will have established potential liability on a class-wide basis. Each member of the class would be entitled to declaratory and injunctive relief. The only matter remaining would be the application of the decision of the common issues to the specific account activity of each class member to determine that class member's entitlement to monetary relief. Section 23 can be used to calculate the global damages figure. Section 24 can be used to find a way to distribute the aggregate sum to class members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It was on this precise point, however, that the Court of Appeal at para. 55 then specifically distinguished the facts of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 does this application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[i.e., applying the aggregation provisions in the circumstances of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offend this court's holding in </w:t>
      </w:r>
      <w:r>
        <w:rPr>
          <w:rFonts w:ascii="arial" w:eastAsia="arial" w:hAnsi="arial" w:cs="arial"/>
          <w:b/>
          <w:i/>
          <w:color w:val="000000"/>
          <w:sz w:val="20"/>
          <w:lang w:val="en-US" w:eastAsia="en-US" w:bidi="ar-SA"/>
        </w:rPr>
        <w:t>Chadha</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Pearson v. Inco Ltd.</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(2005), 78 O.R. (3d) 641</w:t>
        </w:r>
      </w:hyperlink>
      <w:r>
        <w:rPr>
          <w:rFonts w:ascii="arial" w:eastAsia="arial" w:hAnsi="arial" w:cs="arial"/>
          <w:color w:val="000000"/>
          <w:sz w:val="20"/>
          <w:lang w:val="en-US" w:eastAsia="en-US" w:bidi="ar-SA"/>
        </w:rPr>
        <w:t xml:space="preserve"> (Ont. C.A.), leave to appeal refused </w:t>
      </w:r>
      <w:hyperlink r:id="rId770" w:history="1">
        <w:r>
          <w:rPr>
            <w:rFonts w:ascii="arial" w:eastAsia="arial" w:hAnsi="arial" w:cs="arial"/>
            <w:i/>
            <w:color w:val="0077CC"/>
            <w:sz w:val="20"/>
            <w:u w:val="single"/>
            <w:shd w:val="clear" w:color="auto" w:fill="FFFFFF"/>
            <w:lang w:val="en-US" w:eastAsia="en-US" w:bidi="ar-SA"/>
          </w:rPr>
          <w:t>[2006] S.C.C.A. No. 1</w:t>
        </w:r>
      </w:hyperlink>
      <w:r>
        <w:rPr>
          <w:rFonts w:ascii="arial" w:eastAsia="arial" w:hAnsi="arial" w:cs="arial"/>
          <w:color w:val="000000"/>
          <w:sz w:val="20"/>
          <w:lang w:val="en-US" w:eastAsia="en-US" w:bidi="ar-SA"/>
        </w:rPr>
        <w:t xml:space="preserve"> (S.C.C.).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the plaintiff adduced no evidence that the result of the defendants' allegedly illegal acts were passed through to the consumers who made up the proposed class. That is not an issue in this case. </w:t>
      </w:r>
      <w:r>
        <w:rPr>
          <w:rFonts w:ascii="arial" w:eastAsia="arial" w:hAnsi="arial" w:cs="arial"/>
          <w:color w:val="000000"/>
          <w:sz w:val="20"/>
          <w:u w:val="single"/>
          <w:lang w:val="en-US" w:eastAsia="en-US" w:bidi="ar-SA"/>
        </w:rPr>
        <w:t>There is no question that the allegedly illegal fees were passed on to the class members and received by the defendant</w:t>
      </w:r>
      <w:r>
        <w:rPr>
          <w:rFonts w:ascii="arial" w:eastAsia="arial" w:hAnsi="arial" w:cs="arial"/>
          <w:color w:val="000000"/>
          <w:sz w:val="20"/>
          <w:lang w:val="en-US" w:eastAsia="en-US" w:bidi="ar-SA"/>
        </w:rPr>
        <w:t>. The only serious issue is how many members of the class actually suffered an economic loss. This issue can be addressed by ss. 23 and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instant case is analogous to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it is a price fixing/pass through case. As such, it is unlike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Cassano</w:t>
      </w:r>
      <w:r>
        <w:rPr>
          <w:rFonts w:ascii="arial" w:eastAsia="arial" w:hAnsi="arial" w:cs="arial"/>
          <w:color w:val="000000"/>
          <w:sz w:val="20"/>
          <w:lang w:val="en-US" w:eastAsia="en-US" w:bidi="ar-SA"/>
        </w:rPr>
        <w:t xml:space="preserve">, which relate to credit card contracts between the class member and the defendant with no intermediary. As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there is in this case a "serious issue" -- indeed, it is the main issue -- as to whether "the result of the defendants' ... illegal acts were passed through to the consumers who ma[k]e up the proposed class." As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the plaintiff cannot circumvent the need to prove harm on a class wide basis by resorting to the aggregation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would be available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after such a pass through was already established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is also unlike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and similar to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At issue in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was an allegation that the defendant had falsely advertised its light and mild cigarettes as being less harmful than regular cigarettes, causing class members economic loss because, had they known the truth, they would not have paid as much for them as they did. At issue on the appeal, as in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was whether the aggregation provisions could be used to calculate and allocate damages </w:t>
      </w:r>
      <w:r>
        <w:rPr>
          <w:rFonts w:ascii="arial" w:eastAsia="arial" w:hAnsi="arial" w:cs="arial"/>
          <w:i/>
          <w:color w:val="000000"/>
          <w:sz w:val="20"/>
          <w:lang w:val="en-US" w:eastAsia="en-US" w:bidi="ar-SA"/>
        </w:rPr>
        <w:t>after liability</w:t>
      </w:r>
      <w:r>
        <w:rPr>
          <w:rFonts w:ascii="arial" w:eastAsia="arial" w:hAnsi="arial" w:cs="arial"/>
          <w:color w:val="000000"/>
          <w:sz w:val="20"/>
          <w:lang w:val="en-US" w:eastAsia="en-US" w:bidi="ar-SA"/>
        </w:rPr>
        <w:t xml:space="preserve"> was already established. At first instance, Satanove J. had certified a common issue of damages using the aggregation provisions. She described the rationale for doing so in the following terms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theory is that the fair market price of the defendant's product would have been different but for the defendant's alleged deceptive conduct. Therefore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class members paid too much for the product. There is no need for individual trials when the quantum of such an economic claim can be proved for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Hall J.A., writing for the Court of Appeal refused to reverse the order, stating as follows at paras. 40-41: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may be elements of novelty and difficulty with the proposed methodology of damages calculation advanced by the respondent, it seems to me that it is appropriate for this issue to be worked out in the laboratory of the trial court. Then, if and when the issue reaches this Court, we will have the benefit of a full record upon which to assess the appropriateness of any damages award that may be made pursuant to the proposed methodology.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be reluctant at this stage of this proceeding to foreclose the respondent from litigating this issue as he proposes before the trial court. Accordingly, I would afford deference to the decision of the learned chambers judge to permit this damage issue to be litigated as a common issue. I would not accede to the arguments advanced under this head by the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There is nothing in that decision that contradicts the ratio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as re-affirmed in </w:t>
      </w:r>
      <w:r>
        <w:rPr>
          <w:rFonts w:ascii="arial" w:eastAsia="arial" w:hAnsi="arial" w:cs="arial"/>
          <w:b/>
          <w:i/>
          <w:color w:val="000000"/>
          <w:sz w:val="20"/>
          <w:lang w:val="en-US" w:eastAsia="en-US" w:bidi="ar-SA"/>
        </w:rPr>
        <w:t>Markson</w:t>
      </w:r>
      <w:r>
        <w:rPr>
          <w:rFonts w:ascii="arial" w:eastAsia="arial" w:hAnsi="arial" w:cs="arial"/>
          <w:color w:val="000000"/>
          <w:sz w:val="20"/>
          <w:lang w:val="en-US" w:eastAsia="en-US" w:bidi="ar-SA"/>
        </w:rPr>
        <w:t xml:space="preserve">, to the effect that the aggregation provision of the Act cannot properly be used to establish liability, as opposed to merely allocating damages. Indeed, there is no reference in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to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because the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issue simply did not even arise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my view,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remains good law in precluding the plaintiff from resorting to the aggregation provisions of the Act to establish liability when there is otherwise no basis to do so, and I follow it. In this case, liability requires that a pass-through reached the Class Members. That question requires an answer before the aggregation provisions, which are only a tool to assist in the distribution of damages, can be invoked.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Having failed to put forward any other means of proving the issue of liability on a class-wide basis, the plaintiff has failed to show that liability is a common issue in this case. It follows that the only common issues that could be certified are the existence of a conspiracy to fix prices, and possibly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Thus, while the "common issues" criteria could be marginally satisfied by massively cutting down on the common issues certified, the lack of commonality of the central issue of liability will cause this certification application to founder at the "preferable procedure" stage that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Class Proceedings as the Preferable Procedure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question of whether a class proceeding is the preferable procedure is to be conducted through the "lens of the three principal advantages of class actions -- judicial economy, access to justice, and behaviour modification":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27. As well, the "question of preferability must take into account the importance of the common issues in relation to the claims as a whole." The analysis must not take place in a vacuum. "There must be a consideration of the common issues in context":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30. The benefit of a properly prepared proposed litigation plan also plays a significant role in the preferability analysis for complex cases to fully appreciate the implications of "preferability" as it pertains to manageability, efficiency and fairness: </w:t>
      </w:r>
      <w:r>
        <w:rPr>
          <w:rFonts w:ascii="arial" w:eastAsia="arial" w:hAnsi="arial" w:cs="arial"/>
          <w:b/>
          <w:i/>
          <w:color w:val="000000"/>
          <w:sz w:val="20"/>
          <w:lang w:val="en-US" w:eastAsia="en-US" w:bidi="ar-SA"/>
        </w:rPr>
        <w:t>Caputo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plaintiff submits that, in determining whether a class proceeding is the preferable procedure, the court is to look to the statutory criteria in s. 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to the three goals of such proceedings: access to justice, behaviour modification, and judicial economy and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argues that, among the criteria, access to justice is paramount. It further submits that in cases such as this, where the claim of an individual is of low-value, and where the legal issues are sufficiently complex to require the aid of legal counsel, the choice is between a class proceeding or no action at all. And, they argue that in such cases, the preferability of a class action is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plaintiffs cite </w:t>
      </w:r>
      <w:r>
        <w:rPr>
          <w:rFonts w:ascii="arial" w:eastAsia="arial" w:hAnsi="arial" w:cs="arial"/>
          <w:b/>
          <w:i/>
          <w:color w:val="000000"/>
          <w:sz w:val="20"/>
          <w:lang w:val="en-US" w:eastAsia="en-US" w:bidi="ar-SA"/>
        </w:rPr>
        <w:t>Cassano</w:t>
      </w:r>
      <w:r>
        <w:rPr>
          <w:rFonts w:ascii="arial" w:eastAsia="arial" w:hAnsi="arial" w:cs="arial"/>
          <w:color w:val="000000"/>
          <w:sz w:val="20"/>
          <w:lang w:val="en-US" w:eastAsia="en-US" w:bidi="ar-SA"/>
        </w:rPr>
        <w:t xml:space="preserve"> for the procedural discretion that a judge may employ. As a result, the plaintiff submits that a class proceeding is the preferable procedure regardless of whether the assessment and distribution of damages is conducted on an aggregate or individual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further highlights the importance of behaviour modification, particularly in light of the fact that the Canadian competition regulators have not yet moved against the defendants, and the judicial economy in trying the claims of the proposed class members together given that the common issues predominate, to the point of overwhelming, any potential individual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plaintiff also argues that, in determining preferability, the option of no litigation is not to be considered as preferable to a class action: </w:t>
      </w:r>
      <w:r>
        <w:rPr>
          <w:rFonts w:ascii="arial" w:eastAsia="arial" w:hAnsi="arial" w:cs="arial"/>
          <w:b/>
          <w:i/>
          <w:color w:val="000000"/>
          <w:sz w:val="20"/>
          <w:lang w:val="en-US" w:eastAsia="en-US" w:bidi="ar-SA"/>
        </w:rPr>
        <w:t>1176560 Ontario Ltd. v. the Great Atlantic &amp; Pacific Company of Canada Ltd</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(2002), 62 O.R. (3d) 535</w:t>
        </w:r>
      </w:hyperlink>
      <w:r>
        <w:rPr>
          <w:rFonts w:ascii="arial" w:eastAsia="arial" w:hAnsi="arial" w:cs="arial"/>
          <w:color w:val="000000"/>
          <w:sz w:val="20"/>
          <w:lang w:val="en-US" w:eastAsia="en-US" w:bidi="ar-SA"/>
        </w:rPr>
        <w:t xml:space="preserve"> (S.C.J.), aff'd </w:t>
      </w:r>
      <w:hyperlink r:id="rId772" w:history="1">
        <w:r>
          <w:rPr>
            <w:rFonts w:ascii="arial" w:eastAsia="arial" w:hAnsi="arial" w:cs="arial"/>
            <w:i/>
            <w:color w:val="0077CC"/>
            <w:sz w:val="20"/>
            <w:u w:val="single"/>
            <w:shd w:val="clear" w:color="auto" w:fill="FFFFFF"/>
            <w:lang w:val="en-US" w:eastAsia="en-US" w:bidi="ar-SA"/>
          </w:rPr>
          <w:t>(2004), 70 O.R. (3d) 182</w:t>
        </w:r>
      </w:hyperlink>
      <w:r>
        <w:rPr>
          <w:rFonts w:ascii="arial" w:eastAsia="arial" w:hAnsi="arial" w:cs="arial"/>
          <w:color w:val="000000"/>
          <w:sz w:val="20"/>
          <w:lang w:val="en-US" w:eastAsia="en-US" w:bidi="ar-SA"/>
        </w:rPr>
        <w:t xml:space="preserve"> (Div. Ct.), leave to appeal to C.A. refused (2004), 50 C.P.C. (5th) 34. Furthermore, if other forms of action are suggested, evidence must be proffered by the party making the suggestion. The plaintiff states that no such suggestion or evidence is before the court and that individual actions are merely "illusory"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submit that, as liability cannot be tried as a common issue, the class proceeding is necessarily not the preferable procedure for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defendants argue that a case such as the one at bar does not promote access to justice as the common issues as presently formulated do not go to the heart of the inquiry as a whole. Such cases, they say, break down into a series of individual trials, with the potential of legal costs similar to those that would have been incurred had each action been heard separately; </w:t>
      </w:r>
      <w:r>
        <w:rPr>
          <w:rFonts w:ascii="arial" w:eastAsia="arial" w:hAnsi="arial" w:cs="arial"/>
          <w:b/>
          <w:i/>
          <w:color w:val="000000"/>
          <w:sz w:val="20"/>
          <w:lang w:val="en-US" w:eastAsia="en-US" w:bidi="ar-SA"/>
        </w:rPr>
        <w:t>Kumar v. Mutual Life Assurance Co.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226 D.L.R. (4th) 112</w:t>
      </w:r>
      <w:r>
        <w:rPr>
          <w:rFonts w:ascii="arial" w:eastAsia="arial" w:hAnsi="arial" w:cs="arial"/>
          <w:color w:val="000000"/>
          <w:sz w:val="20"/>
          <w:lang w:val="en-US" w:eastAsia="en-US" w:bidi="ar-SA"/>
        </w:rPr>
        <w:t xml:space="preserve"> (Ont. C.A.) at para. 54, leave to appeal to S.C.C. refused </w:t>
      </w:r>
      <w:hyperlink r:id="rId773" w:history="1">
        <w:r>
          <w:rPr>
            <w:rFonts w:ascii="arial" w:eastAsia="arial" w:hAnsi="arial" w:cs="arial"/>
            <w:i/>
            <w:color w:val="0077CC"/>
            <w:sz w:val="20"/>
            <w:u w:val="single"/>
            <w:shd w:val="clear" w:color="auto" w:fill="FFFFFF"/>
            <w:lang w:val="en-US" w:eastAsia="en-US" w:bidi="ar-SA"/>
          </w:rPr>
          <w:t>[2003] S.C.C.A. No. 283</w:t>
        </w:r>
      </w:hyperlink>
      <w:r>
        <w:rPr>
          <w:rFonts w:ascii="arial" w:eastAsia="arial" w:hAnsi="arial" w:cs="arial"/>
          <w:color w:val="000000"/>
          <w:sz w:val="20"/>
          <w:lang w:val="en-US" w:eastAsia="en-US" w:bidi="ar-SA"/>
        </w:rPr>
        <w:t>, (2004), 195 O.A.C. 195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reiterate that they see the proposed class proceeding as a monster of complexity and cost, unsuitable for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my view, the justification for the finding that a class action is the preferred procedure has not been made out. The absence of a class-wide means to prove liability in the context of this case leads to the finding of an unmanageable process that will not move the litigation forward in a meaningful way. See s. 4(2)(a)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evidence establishes that there will have to be individualized inquiries in order to determine whether the basic elements of liability have been met. The individual issues would overwhelm the remaining common issues. To go forward on this basis would not promote access to justice or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list of individualized inquiries beyond establishing the common issue of the existence of a conspiracy are many and include:</w:t>
      </w:r>
      <w:r>
        <w:rPr>
          <w:rFonts w:ascii="arial" w:eastAsia="arial" w:hAnsi="arial" w:cs="arial"/>
          <w:sz w:val="20"/>
          <w:lang w:val="en-US" w:eastAsia="en-US" w:bidi="ar-SA"/>
        </w:rPr>
        <w:cr/>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class member;</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or products purchased by the particular indirect purchaser (assuming the class member is an indirect purchaser);</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purchase of the product, and the market conditions surrounding the indirect purchaser's purchase;</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form of DRAM product contained in that product;</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fraction of the price represented by the DRAM product contained in that product;</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manufacturer that made that particular DRAM product, and whether the DRAM product was manufactured by the defendants;</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had market power in respect of the DRAM product at that particular time;</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were effective in imposing an overcharge to direct purchasers in respect of that particular DRAM product at the time, in light of the existence of other competitors and fluctuating DRAM prices throughout the Class Period;</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the amount of the overcharge to direct purchasers;</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overcharge was passed on by direct purchasers to the first level of indirect purchasers, and in what amount;</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overcharge passed on by the next level of indirect purchasers to the subsequent level of indirect purchasers, and in what amount;</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after considering the various pass-through effects and the numerous market variables affecting the price of the product, including individual inquiries of supply and demand conditions at each level and location of transaction, there was a difference in the price that the indirect purchaser paid for the product containing DRAM, and the price that the indirect purchaser would have paid for the product containing DRAM in the absence of a conspiracy;</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indirect purchaser was able to pass on the loss to subsequent indirect purchasers; and</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indirect purchaser's claim is subject to limitation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filed litigation plan is generic and does not provide further insight as to managing the various complexities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regard to the plaintiff's point that preferability favours a class action to no litigation as well as the goal of behaviour modification,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Price</w:t>
      </w:r>
      <w:r>
        <w:rPr>
          <w:rFonts w:ascii="arial" w:eastAsia="arial" w:hAnsi="arial" w:cs="arial"/>
          <w:color w:val="000000"/>
          <w:sz w:val="20"/>
          <w:lang w:val="en-US" w:eastAsia="en-US" w:bidi="ar-SA"/>
        </w:rPr>
        <w:t xml:space="preserve"> point out that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provides criminal sanctions which can be brought on. The comments of Feldman J.A. in </w:t>
      </w:r>
      <w:r>
        <w:rPr>
          <w:rFonts w:ascii="arial" w:eastAsia="arial" w:hAnsi="arial" w:cs="arial"/>
          <w:b/>
          <w:i/>
          <w:color w:val="000000"/>
          <w:sz w:val="20"/>
          <w:lang w:val="en-US" w:eastAsia="en-US" w:bidi="ar-SA"/>
        </w:rPr>
        <w:t>Chadha</w:t>
      </w:r>
      <w:r>
        <w:rPr>
          <w:rFonts w:ascii="arial" w:eastAsia="arial" w:hAnsi="arial" w:cs="arial"/>
          <w:color w:val="000000"/>
          <w:sz w:val="20"/>
          <w:lang w:val="en-US" w:eastAsia="en-US" w:bidi="ar-SA"/>
        </w:rPr>
        <w:t xml:space="preserve"> at para. 62 are equally applicable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complain that if the action is not certified, this will effectively end the litigation, and thereby defeat the goal of behaviour modification which would be accomplished through the action ... However, where access to justice through compensation of individual plaintiffs who have suffered loss is not a significant goal (because the amounts in issue are so minimal, and most plaintiffs do not know if or that they suffered any damage), and where judicial economy would be undermined, not enhanced, by certifying the action, the circumstances requiring behaviour modification would have to be extremely compelling to allow that single goal to overcome the other deficiencies. In this case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provides criminal sanctions to achieve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mentioned earlier, all of the defendants, except Micron, have been subjected to significant fines and executives have been imprisoned in the United States for the very conspiracy at the core of this action. In addition, as mentioned earlier, there have been significant settlements of actions with direct purchasers. In the circumstances, I am of the view that behaviour modification is a factor that does not require significant weight given what has occurred to date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value of any recovery for any particular product purchased would appear to be small. The plaintiff's reference to a cy-pres distribution of any recovery serves as an indicator that the engagement of access to justice for a Class Member may not weigh so heavily in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Having regard for the three guiding principles, the common issues relative to the individual inquiries, and considering the case as a whole, I find that a class proceeding is not the preferable procedure for the fair and efficient resolution of the common issues that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The Suitability of the Proposed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Representative Plaintiff</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representative plaintiff is required to fairly and adequately represent the interests of the class; produce a plan that sets out a workable method of advancing the proceeding on behalf of the class and notifying class members of the proceeding; and does not have, on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Caputo</w:t>
      </w:r>
      <w:r>
        <w:rPr>
          <w:rFonts w:ascii="arial" w:eastAsia="arial" w:hAnsi="arial" w:cs="arial"/>
          <w:color w:val="000000"/>
          <w:sz w:val="20"/>
          <w:lang w:val="en-US" w:eastAsia="en-US" w:bidi="ar-SA"/>
        </w:rPr>
        <w:t xml:space="preserve"> at para. 78, the court identified the key issues and procedural steps that a litigation plan must address in a complex class proceeding:</w:t>
      </w:r>
      <w:r>
        <w:rPr>
          <w:rFonts w:ascii="arial" w:eastAsia="arial" w:hAnsi="arial" w:cs="arial"/>
          <w:sz w:val="20"/>
          <w:lang w:val="en-US" w:eastAsia="en-US" w:bidi="ar-SA"/>
        </w:rPr>
        <w:cr/>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as to the manner in which individual issues with be dealt with;</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as to the knowledge, skill and experience of the class counsel involved;</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analysis of the resources required to litigate the class members' claims to conclusion; and</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indication that the resources available are sufficiently commensurate given the size and complexity of the proposed class and the issues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Bellaire v. Independent Order of Foresters</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(2004), 5 C.P.C. (6th) 68</w:t>
        </w:r>
      </w:hyperlink>
      <w:r>
        <w:rPr>
          <w:rFonts w:ascii="arial" w:eastAsia="arial" w:hAnsi="arial" w:cs="arial"/>
          <w:color w:val="000000"/>
          <w:sz w:val="20"/>
          <w:lang w:val="en-US" w:eastAsia="en-US" w:bidi="ar-SA"/>
        </w:rPr>
        <w:t xml:space="preserve"> at para. 53, Nordheimer J. stated that a litigation plan ought to address the following:</w:t>
      </w:r>
      <w:r>
        <w:rPr>
          <w:rFonts w:ascii="arial" w:eastAsia="arial" w:hAnsi="arial" w:cs="arial"/>
          <w:sz w:val="20"/>
          <w:lang w:val="en-US" w:eastAsia="en-US" w:bidi="ar-SA"/>
        </w:rPr>
        <w:cr/>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steps that are going to be taken to identify necessary witnesses and to locate them and gather their evidence;</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collection of relevant documents from members of the class as well as others;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exchange and management of documents produced by all parties;</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reporting to the class;</w:t>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Mechanisms for responding to inquiries from class members;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discovery of individual class members is likely and, if so, the intended process for conducting those discoveries;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experts and, if needed, how those experts are going to be identified and retained;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individual issues remain after the determination of the common issues, what plan is proposed for resolving those individual issues;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plan for how damages or any other forms of relief are to be assessed or determined after the common issues have been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plaintiff submits that it can fairly and adequately represent the class, has a plan for proceeding, and does not have a conflict with the class on the common issues. It argues that the differences between itself and the other class members do not impact on the common issues or create a conflict of interest. The plaintiff finds support in </w:t>
      </w:r>
      <w:r>
        <w:rPr>
          <w:rFonts w:ascii="arial" w:eastAsia="arial" w:hAnsi="arial" w:cs="arial"/>
          <w:b/>
          <w:i/>
          <w:color w:val="000000"/>
          <w:sz w:val="20"/>
          <w:lang w:val="en-US" w:eastAsia="en-US" w:bidi="ar-SA"/>
        </w:rPr>
        <w:t>Vitapharm</w:t>
      </w:r>
      <w:r>
        <w:rPr>
          <w:rFonts w:ascii="arial" w:eastAsia="arial" w:hAnsi="arial" w:cs="arial"/>
          <w:color w:val="000000"/>
          <w:sz w:val="20"/>
          <w:lang w:val="en-US" w:eastAsia="en-US" w:bidi="ar-SA"/>
        </w:rPr>
        <w:t xml:space="preserve"> which dealt with a price fixing and market sharing conspiracy relating to vitamins. That case involved both direct and indirect purchasers. The court approved certification which was an essential aspect of the approval of a settlement of the action. The class was found to have the common interest of maximizing the aggregate amount of the class-wide damages and proving the existence of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defendants argue that the proposed representative plaintiff would be in a financial conflict of interest with class members who resided either below or above them on the DRAM distribution chains. As the case is based on the passing through of the overcharge, the defendants argue that the plaintiff has an interest in arguing that the overcharge was completely, or almost completely, passed through at every step on the distribution chain and then completely, or nearly completely, absorbed at the point upon which the plaintiff's business rests. The defendants submit that each class member will have a similar interest in making similar arguments vis-à-vis their position on a particular distribution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Furthermore, the defendants claim that the plaintiff does not have a viable litigation plan given the inability to prove harm on a class-wide basis. They characterize the filed plan as totally generic, lacking in specificity, and inadequate in terms of addressing the complexity inherent in the proposed action. Thus, the defendants state that the proposed representative plaintiff is unable to fairly and adequately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 rejects the claim that there is an inadequate litigation plan. Citing several cases, including </w:t>
      </w:r>
      <w:r>
        <w:rPr>
          <w:rFonts w:ascii="arial" w:eastAsia="arial" w:hAnsi="arial" w:cs="arial"/>
          <w:b/>
          <w:i/>
          <w:color w:val="000000"/>
          <w:sz w:val="20"/>
          <w:lang w:val="en-US" w:eastAsia="en-US" w:bidi="ar-SA"/>
        </w:rPr>
        <w:t>Sharbern Holdings Ltd. v. Vancouver Airport Centre Ltd.</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[2005] B.C.J. No. 1351</w:t>
        </w:r>
      </w:hyperlink>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2005 BCSC 896</w:t>
        </w:r>
      </w:hyperlink>
      <w:r>
        <w:rPr>
          <w:rFonts w:ascii="arial" w:eastAsia="arial" w:hAnsi="arial" w:cs="arial"/>
          <w:color w:val="000000"/>
          <w:sz w:val="20"/>
          <w:lang w:val="en-US" w:eastAsia="en-US" w:bidi="ar-SA"/>
        </w:rPr>
        <w:t xml:space="preserve">, aff'd </w:t>
      </w:r>
      <w:hyperlink r:id="rId776" w:history="1">
        <w:r>
          <w:rPr>
            <w:rFonts w:ascii="arial" w:eastAsia="arial" w:hAnsi="arial" w:cs="arial"/>
            <w:i/>
            <w:color w:val="0077CC"/>
            <w:sz w:val="20"/>
            <w:u w:val="single"/>
            <w:shd w:val="clear" w:color="auto" w:fill="FFFFFF"/>
            <w:lang w:val="en-US" w:eastAsia="en-US" w:bidi="ar-SA"/>
          </w:rPr>
          <w:t>[2006] B.C.J. No. 437</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2006 BCCA 96</w:t>
        </w:r>
      </w:hyperlink>
      <w:r>
        <w:rPr>
          <w:rFonts w:ascii="arial" w:eastAsia="arial" w:hAnsi="arial" w:cs="arial"/>
          <w:color w:val="000000"/>
          <w:sz w:val="20"/>
          <w:lang w:val="en-US" w:eastAsia="en-US" w:bidi="ar-SA"/>
        </w:rPr>
        <w:t>, the plaintiff argues that, at this stage, the litigation plan does not need to be overly developed and is not to be subject to the most exacting scrutiny. Rather, it is sufficient that the plan demonstrate that thought has been given to the process by the plaintiff and class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my view, the broad definition of the proposed Class which seeks to include both direct and indirect purchasers of all DRAM and products containing DRAM in British Columbia; the complex nature of the market in terms of diversity of products and distribution channels; the time period over which the conspiracy is said to have operated; and the numerous individual inquiries that will have to be addressed lead me to find that the representative plaintiff has irreconcilable conflicts with other members of the proposed class. The </w:t>
      </w:r>
      <w:r>
        <w:rPr>
          <w:rFonts w:ascii="arial" w:eastAsia="arial" w:hAnsi="arial" w:cs="arial"/>
          <w:b/>
          <w:i/>
          <w:color w:val="000000"/>
          <w:sz w:val="20"/>
          <w:lang w:val="en-US" w:eastAsia="en-US" w:bidi="ar-SA"/>
        </w:rPr>
        <w:t>Vitapharm</w:t>
      </w:r>
      <w:r>
        <w:rPr>
          <w:rFonts w:ascii="arial" w:eastAsia="arial" w:hAnsi="arial" w:cs="arial"/>
          <w:color w:val="000000"/>
          <w:sz w:val="20"/>
          <w:lang w:val="en-US" w:eastAsia="en-US" w:bidi="ar-SA"/>
        </w:rPr>
        <w:t xml:space="preserve"> case is of limited assistance as that case, as has already been indicated, was a case dealing with a settlement. Certification was sought by consent after the settlement had been effected and the competing interests had already been settled. The defendants agreed to aggregate damages and a method for distributing damages to each category of class member. That is not the case here. There is no settlement and the issue of liability, is the focus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Further, in </w:t>
      </w:r>
      <w:r>
        <w:rPr>
          <w:rFonts w:ascii="arial" w:eastAsia="arial" w:hAnsi="arial" w:cs="arial"/>
          <w:b/>
          <w:i/>
          <w:color w:val="000000"/>
          <w:sz w:val="20"/>
          <w:lang w:val="en-US" w:eastAsia="en-US" w:bidi="ar-SA"/>
        </w:rPr>
        <w:t>Sharbern Holdings</w:t>
      </w:r>
      <w:r>
        <w:rPr>
          <w:rFonts w:ascii="arial" w:eastAsia="arial" w:hAnsi="arial" w:cs="arial"/>
          <w:color w:val="000000"/>
          <w:sz w:val="20"/>
          <w:lang w:val="en-US" w:eastAsia="en-US" w:bidi="ar-SA"/>
        </w:rPr>
        <w:t>, the class was relatively limited, i.e., owners or past owners of strata lots in the Vancouver Airport Hilton Hotel who purchased their strata lots from the Vancouver Airport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A more analogous case is in my view is </w:t>
      </w:r>
      <w:r>
        <w:rPr>
          <w:rFonts w:ascii="arial" w:eastAsia="arial" w:hAnsi="arial" w:cs="arial"/>
          <w:b/>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[2003] B.C.J. No. 348</w:t>
        </w:r>
      </w:hyperlink>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2003 BCCA 87</w:t>
        </w:r>
      </w:hyperlink>
      <w:r>
        <w:rPr>
          <w:rFonts w:ascii="arial" w:eastAsia="arial" w:hAnsi="arial" w:cs="arial"/>
          <w:color w:val="000000"/>
          <w:sz w:val="20"/>
          <w:lang w:val="en-US" w:eastAsia="en-US" w:bidi="ar-SA"/>
        </w:rPr>
        <w:t xml:space="preserve"> which affirmed the decision of Bauman J. not to certify the action. In that case, certification was actively contested and the identification of conflicts between shareholders was found to a factor in denying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Added to this is the sparse nature of the filed litigation plan relative to the nature of, and issues in, this action. The plan assumes that liability can be determined as a common issue, a proposition that I have already rejected. The significant data requirements have not been addressed. Documentation from and examinations of Class Members has not been discussed. Further, a plan of dealing with significant individual issues has not been considered. Given the complexities, resort to a case management conference to determine "the most efficient method of determining individual issues" is not sufficient. Even recognizing that a litigation plan is a work in progress' and some latitude is to be exercised in the assessment process, I cannot conclude in the circumstances that the filed plan adequately addresses the critical issues even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the result, the cumulative effect of the issues that I have mentioned leads me to find that the plaintiff has not established that it can fairly and adequately represent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This application reflects the continuing difficulty that has been encountered by the courts over many years, namely the failure to propose a viable class-wide method of establishing harm and thus liability when the proposed class includes indirect purchasers. This combined with the vast array of products and channels, serve to dilute the semblance of a manageable and workable process. The waiver of tort and constructive trust pleas do not obviate the need to demonstrate gain on a class 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light of the plaintiff's failure to meet the threshold for certification, and the fact that nothing short of drastic changes to the application could bring it in line with my findings, the application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 Supply Chain -- PC Market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9" type="#_x0000_t75" style="width:432.06pt;height:255.04pt">
            <v:imagedata r:id="rId778"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B: Supply Chain -- Server Market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0" type="#_x0000_t75" style="width:432.06pt;height:267.04pt">
            <v:imagedata r:id="rId779"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C: PC Graphics and video Game Console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1" type="#_x0000_t75" style="width:432.06pt;height:249.78pt">
            <v:imagedata r:id="rId780"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D: Supply Chain -- Low Power DRAM</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2" type="#_x0000_t75" style="width:432.06pt;height:365.3pt">
            <v:imagedata r:id="rId781"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E: Supply Chain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Network and Communications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3" type="#_x0000_t75" style="width:432.06pt;height:250.53pt">
            <v:imagedata r:id="rId782"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on the front page, one of counsel's name for the defendants, Elpida Memory, Inc. and Elpida Memory (USA) Inc. should read: "C.P. Naudie".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Road King Asphalt &amp; Aggregate Ltd. v. Farr Fabricating (1985) Ltd., [2005] B.C.J. No. 1554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5 - 9, August 17 - 20, and September 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7 - 10 and 13 - 17,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20253/03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1554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911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Road King Asphalt &amp; Aggregate Ltd., plaintiff, and Farr Fabricating (1985)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25"/>
      <w:bookmarkEnd w:id="220"/>
      <w:r>
        <w:rPr>
          <w:rFonts w:ascii="arial" w:eastAsia="arial" w:hAnsi="arial" w:cs="arial"/>
          <w:b/>
          <w:color w:val="000000"/>
          <w:sz w:val="20"/>
          <w:lang w:val="en-US" w:eastAsia="en-US" w:bidi="ar-SA"/>
        </w:rPr>
        <w:t>Commercial law — Sale of goods — Fitness and quality — Claim for rescission of a contract to purchase a mobile asphalt plant based on defects allowed.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Breach of contract — Fundamental breach — Remedies — Rescission and rectification — Claim for rescission of a contract to purchase a mobile asphalt plant based on defects allowed.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Categories of — Loss of opportunity — Loss of profits — Claim for loss of opportunity and loss of profits based on faulty asphalt plant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25"/>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Road King against Farr Fabricating for rescission of a contract to purchase a mobile asphalt plant and for consequential damages allowed in part -- Road King paid $550,000 for the plant -- The plant malfunctioned in mixing specification asphalt on a daily basis for four months -- Continual adjustments were made to no avail -- It was an express representation that the plant was capable of producing specification asphalt on an ongoing and consistent basis -- It was implicit that the plant would have a reasonable capacity to produce specification asphalt as required -- The plant never functioned as contemplated by the parties and was totally unsuitable for the work it was to perform -- There was a fundamental breach of contract -- Road King was entitled to the return of the purchase monies paid -- The claims for loss of opportunity or loss of profit were dismissed given its financial condition during the period in question -- $40,000 was awarded for loss of productivity.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Counsel_35"/>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C.G. Fletcher and M. Katerberg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R.A. Foulston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35"/>
      <w:bookmarkEnd w:id="223"/>
      <w:r>
        <w:pict>
          <v:line id="_x0000_s1197" style="position:absolute;z-index:25179750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7,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CHAMBERLIST J."/>
            <w:bookmarkEnd w:id="224"/>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proceedings concern the purchase of a mobile asphalt plant described as a Trams 2000 Asphalt Plant, model 2000A (Serial No. 20010596), together with storage tanks, side conveyor and an output silo (together called the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purchase was done pursuant to a sale agreement dated the 23rd of January 2003, wherein Farr Fabricating (1985) Ltd. (hereafter sometimes referred to as "Farr") agreed to sell to Chris Coburn, carrying on business as Road King Asphalt &amp; Aggregate, the aforesaid plant for a purchase price of $550,000.00.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common ground that the plaintiff is, for the purposes of this litigation, the beneficial successor to Chris Coburn, the principal of the plaintiff company (hereafter sometime referred to as "Road King") and no issue has been raised during the currency of this law suit which would negate the plaintiff's ability to sue and be sued on the agreement. It is common ground that in or about April 2003 Coburn, the plaintiff and the defendant agreed that the plaintiff would assume complete liability of the original contract and that the defendant would accept the plaintiff as principal debtor and not merely as an agent or guarantor of the original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took delivery of the plant in or about the first week of May 2003. On August 26, 2003, less than four months after taking possession of the plant, the plaintiff wrote the defendant requesting a meeting within seven days to discuss the shortcomings of the $550,000.00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 response was forthcoming and as a result, a letter dated September 29, 2003 was forwarded to the defendant by counsel repudiating the sale agreement of January 23, 2003 and requesting that the defendant retrieve the plant from the plaintiff's possession. In addition, the letter stipulated that the plaintiff reserved the right to sue for consequential damages. The plant has not been retrieved by the defendant from the plaintiff's possession and is still in the plaintiff's possession in Williams Lake,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thereafter commenced these proceedings on October 3, 2003, seeking, inter alia, rescission on the basis that the defects in the plant and the resultant breaches of contract alleged by the plaintiff as against the defendant deprived the plaintiff of substantially all benefits of the contract and that, as such, were a fundamental breach of the contract. The plaintiff also pleads that the numerous defects in the plant, when taken cumulatively or collectively such as to go to the root of the contract, result in a fundamental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claims return of the monies paid for purchase of the plant together with damages for breach of contract and consequential damages arising as a result of the alleged breaches. Other alternative claims are made on the basis of alleged breach of implied condition of reasonable fitness for intended purpose and damages for breach of warranty. Suffice it to say, the plaintiff, during the currency of this trial, primarily argued fundamental breach of contract or breach of a fundamental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essentially, submits that any relief claimed on the basis of fitness for a specified purpose cannot succeed on the basis that the plant was sold as a prototype by description and by serial number, and therefore no relief can be obtained by the plaintiff on that basis. Alternatively, the defendant says that the plaintiff has not suffered any damages and submits that if there was any breach of the agreement such breach was merely a breach of warranty and, as such, was expressly excluded by the terms of the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also submits that there was a failure on the part of the plaintiff to mitigate its loss, if any, and lastly, the defendant counterclaims in the sum of $50,000.00 being the holdback amount referred to in the contract, together with additional costs associated with payment to the defendant's subcontractors past the stipulated time in the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factual background leading up to the sale agreement will be reviewed in these reasons, together with the evidence relating to the operation of the plant for the approximate four months following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Chris Coburn, the principal of the plaintiff company and the signatory to the sale agreement as purchaser, had, in 2003, some 25 years experience in the asphalt business, primarily in the laying down of asphalt. He is approximately 41 years of age and has a grade nine education. He learned primarily from experience, having started in the asphalt business by working with his father. At age 16 he commenced work for PittmanAsphalt starting as a labourer and working himself up to paving foreman and then project manager. In 2000 he left Pittmanto start up his own proprietorship, known as Road King Contracting. In 2001 and 2002 he did primarily small jobs including driveways, patching and parking lots. He purchased his asphalt from Columbia Bitulithic Ltd., in Prince George, over those two years. His work was primarily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2002 he started to do larger jobs and saw the revenue of his proprietorship go from some $333,000.00 to $740,000.00. He was reluctant to take on larger jobs because then he would be in direct competition with his primary asphalt supplier and feared repercussions if he were to so compete, said repercussions being possibly cut off by his supplier or facing price increases on asphalt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One of the difficulties he had discovered was that in his type of work he would often be required to work weekends when his asphalt supplier was not open for business. In May of 2002 he went to a Ritchie Brothers auction in Prince George, primarily to look at some paving equipment that was being auctioned. At that time he ran into old friends, Walter Niemi and Ken Bergestat, whom he had known as fellow employees while working at Pitman. They were passing out a brochure of an asphalt plant that they were trying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brochure described a prototype mobile Trams 2000 Asphalt Plant, ostensibly owned by Niew Industries Inc., being a subsidiary of Global Innovative Systems Inc. It referenced a capacity of approximately 100 to 150 tonnes per hour with a set up time required of approximately four to six hours. The brochure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plant can be currently viewed at Farr Fabricating, 4912 Hart Highway, Prince George BC. The Trams 2000 made approximately 2000 tonnes of spec asphalt (without any pollution control systems in place) while being tested in Aldergrove, BC. It is now at Farrs being retrofitted for the small baghouse and ducts. At the same time, the A/C spray system, scale conveyor and grizzly system are undergoing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Under the heading of cost, the brochure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 a completed baghouse, two A/C pumps, one injection pump, one unload pump, all electronics, a 311 KVA Cummins jet set, 4 bin feeder system on a common frame - the price is $450,000 CDN. A small 7,000 gallon insulated A/C tank on a separate trailer is also included in the above price.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plant itself was described under the heading Plant Description: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automatic with Scada Pak, PLD Controls. The electronics are run off a personal computer or laptop computer. It has a four bin feed system with a walking grizzly system for oversize, and all are run with PLC's on screen. It will have one common belt scale. A Hauck 49.9 million b.t.u. burner is PLC controlled on-screen. The exhaust fan is mounted at the discharge end of the drum next to the burner. There is a collapsible duct at the discharge end of the drum, which is raised at set-up with four air rams. The 312 KVA Genset with 335 Cummins power is located at the gooseneck. The PLC's and electrical (mags and switchgear) is all located next to the Genset. The four feeders are side by side with two small feeders for blend sands with less quantities required and two larger feeders for the most required ingredients. The feeders are fed from both sides. The ramps have fold down bulk heads with dirt built to them. A short slinger convoyer [sic] will feed the drum. The drum is a drum within a drum. The two drums are tapered allowing a fall in each direction. The inner drum is used as the dryer and the outer drum as a mixer. The liquid asphalt is sprayed in after the gravel falls off the end of the inner drum. The mix flows to the burner end and is plowed into an out-feed auger which takes the mix to a slat conveyor or belt to a silo. A small baghouse will be mounted behind the drum and the small A/C is to be mounted separately from the triaxle. The A/C injection pump will be remotely mounted along with the A/C unload pump. The A/C spray system us [sic] fully automatic in conjunction with the AGG belt scale. The A/C spray system is fully self-cleaning at shut down. There is a small air conditioned control house which has a small slide out room, and this house mounts behind the drum next to the burner for mobility. The entire plant is set-up level and has eight sets of landing legs. The duct work from the fan to baghouse rides in the feeders when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written description comes close to describing the mobile plant as indicated on various photographs of the plant. Thus, the plant has a four bin feed system which is used to feed up to four blends of aggregate through a conveyor belt which then takes the aggregate into the drum which is, in effect two drums, or a drum within a drum, with the inner drum being used as the dryer and the outer drum as a mixer. Liquid asphalt is sprayed into the aggregate after the gravel falls from the inner drum into the outer drum. The mixture of liquid asphalt, or asphalt cement and aggregate, then flows to the burner where it is super-heated and the resulting mixture is forced out by an auger which then takes the mix to a slat conveyor to the silo from which the asphalt mixture is loaded onto waiting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integral parts of the unit are therefore the GenSet which is used to power the unit, including the computer, the conveyor belt that moves the gravel into the drum, the drum itself, the baghouse which is to collect the unused sand and ensure compliance with environmental requirements, the slat conveyor which moves the hot asphalt from the drum up to the silo and the silo itself. The successful operation of the mobile plant requires the complete integration of the computer program and the mechanical operating system of the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Niew Industries had been started by Walter Niemi, Lloyd Olson and Kenneth Bergestat, to build the asphalt plant which had been designed by Walter Niemi. Mr. Bergestat was to take care of office management accounts and the books, with Mr. Olson being responsible for computer programming and Mr. Niemi being primarily responsible for the manufacture and design of the plant. Construction of the plant started in 1998 in Quesnel, British Columbia, and some production work was done at the Columbia Bitulithic operation in Aldergrove, B.C. After that test, the plant was taken back to Quesnel for fabrication of the baghouse. At that time, Niew Industries, for financial reasons, was unable to complete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spring of 2002, Ray Fortier, the principal of the defendant company, had gone to see Mr. Niemi about an unrelated matter. At that time Mr. Bergestat showed Ray Fortier the unfinished asphalt plant advising him that Walter Niemi had a design for a new type of baghouse but that they were undercapitalized to complete it. It was agreed at that time that with an estimate of some $100,000.00 to fabricate the baghouse the defendant would fabricate the baghouse and would wait to get paid out of the ultimate sale proceeds. Thereafter, the occasion of the Ritchie Brothers auction in April 2002 presented itself and Mr. Bergestat wrote up the brochure which was being handed out by himself and Niemi.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Some other contacts between Coburn, Bergestat and Niemi occurred over the summer, culminating in a telephone call to Bergestat in August 2002 wherein Chris Coburn inquired if the plant was still for sale. Subsequently, a meeting was set up for September 13, 2002 between Ray Fortier, Walter Niemi, Ken Bergestat and Chris Coburn.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day prior to that meeting the plant had been transferred from Niew Industries Inc. to the defendant after Ken Bergestat had told Ray Fortier that there was a possible buyer for the plant. Ray Fortier had become concerned about receiving the monies he had expended on the plant out of the sale. By that time the defendant had expended more money than the $100,000.00 originally contemplated and the defendant still had a conveyor to build. In his words they were "getting way over budget" and as a result he had asked Bergestat, in order to make sure that Farr was paid, that the plant be transferred to Farr so that "instead of them paying me, I would pay them". As a result, when the parties met at the Alpine Pub on September 13, 2002, any potential agreement reached regarding the sale of the plant would be with the defendant as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Ray Fortier testified that he left the meeting early because he was busy and at that time the remaining attendees were discussing the possibility of a paving job at the Pinnacle Pellet location south of Quesnel, B.C. Lloyd Olson, who was doing computer work for Pinnacle, had been approached about having some paving done. It was agreed that Chris Coburn's proprietorship Road King Contracting and Niew Industries would joint venture the paving project at the Pinnacle plant with Niew Industries Inc. supplying, inter alia, the plant and Road King supplying the lay down equipment and manpower to do the work with any profit to be shared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Chris Coburn testified that it was made known to him at about that time that the defendant now owned the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plant, at that time, was not in a finished state in that it was using a temporary hot asphalt belt or conveyor and a smaller temporary silo. It did however have the baghouse which had been manufactured by Farr in place. During the Pinnacle job there were problems with the temporary silo and the bottom part of the baghouse. However, according to the plaintiff, there were no dust problems while the plant was operating at the Pinnacle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part of the joint venture that Bergestat and Niemi were to operate the asphalt plant at that time. Although there were problems with the temporary silo and the asphalt belt, Chris Coburn accepted them as what Bergestat and Niemi characterized as minor problems and, in Mr. Coburn's words, he "looked beyond the problems they said they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Pinnacle work, further discussions were held with Ken Bergestat and Chris Coburn. A price of $550,000.00 had been discussed at the meeting of September 13th. As a result of those discussions, and discussions with Ray Fortier, an agreement dated the 8th November 2002 was entered into whereby the plant was to be sold from the defendant to Chris Coburn operating as Road King Asphalt &amp; Aggregate. However, because of Coburn's inability to secure financing that agreement was not proceeded with. Thereafter, financing was obtained, in part by a cash infusion by Jason Garneau, a long time friend of Chris Coburn, and the sale agreement dated the 23rd day of January 2003 was executed by the defendant as vendor and Chris Coburn, carrying on business as Road King Asphalt &amp; Aggregate, entered into. The agreement is short and for ease of reference I will set it out in its entirety as Appendix A to these reasons. The important provisions of that agreement as far as this litigation is concerned are para. 2(d) which provided for the $50,000.00 holdback by the purchaser, payable upon the later of April 2, 2003 or upon the vendor causing the plant to pass the Province of B.C. s stack test; para. 5 which provided a warranty by the vendor that the plant would pass the stack test as required by the Province of B.C.; para. 6 which provided that the vendor would retain Walter Niemi and Lloyd Olson to train the purchaser's operators in the use of the plant for a period of one month after the purchaser commences operation of the plant. That provision also provided that the purchaser would be responsible for retaining and paying for any further training in the operation of the plant. Lastly, para. 7 which purports to exclude any further representations, warranties or agreements other than those set forth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not entirely clear when the transaction completed. Suffice it to say however that the plant was delivered to the defendant in the early part of May 2003 and pursuant to its terms all but $50,000.00 of the purchase price of $550,000.00 was paid on delivery with the remaining $50,000.00 to be paid in accordance with para. 2(d). It is common ground that Walter Niemi and Lloyd Olson operated the plant past the 30 day period referred to in para. 6 of the agreement, with Olson leaving for other work in Kuwait on or about July 9th, 2003. Niemi left the plant on the 20th of August 2003. While para. 6 of the agreement only contemplated Walter Niemi and Lloyd Olson being provided at the vendor's expense to train operators in the use of the plant, it is abundantly clear that their continued involvement with the plant was required, not for the purpose of training Road King's operators but for problems that developed in the day-to-day operation of the plant after it was delivered and set up at the Kode Pit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common ground that the plant arrived at the Kode Pit in early May 2003 after having been transported in three pieces from Farr Fabricating's operation in Prince George. There was some delay in getting the plant set up; in part due to problems with the plaintiff's trailers and in part due to Mr. Niemi requesting a week to fine tune the plant and the unavailability of Lloyd Olson for approximately one week. As mentioned earlier, Lloyd Olson was responsible for the computer aspects of the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plant was set up at the Kode Pit for the primary purpose of its close location to the one major job the plaintiff had secured in Prince George for the 2003 paving season, being the Home Depot paving contract which had been secured by the plaintiff in late 2002 and for which Road King was the low bidder. Road King's bid of $233,000.00 was some $90,000.00 lower than the next bid by Pittman Asphalt and some $120,000.00 lower than the highest bid by Columbia Bitulithic.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Home Depot contract required specification asphalt to be supplied and installed by the plaintiff. To meet the specifications of that contract Road King had engaged the services of AMEC Earth &amp; Environmental Limited to design a blend of aggregates and asphalt cement to meet the specifications required by the general contractor, Wright Construction. This combination of aggregate and asphalt cement is known as a marshall mix design. The marshall mix design was designed by AMEC to meet the specifications requested by Home Depot and its consulting engineers. The marshall mix is an important aspect of the supply of specification asphalt and requires a constant supply of aggregate in the amount specified together with a constant supply of asphalt cement so that the end product meets the specifications requested by the owner and its engineers. In this case the blend of aggregate consisted of a four aggregate mix consisting of coarse aggregate, manufactured fine aggregate, natural fine aggregate and supplementary blend sand which was obtained from Steve's Contracting. The first three ingredients were from the Kode Pit with the last ingredient, being blend sand, being obtained from Steve's Contracting, whose pit was located on the Hart Highway north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Nick C. Polysou, P. Eng., prepared a summary report regarding asphalt testing services carried on on behalf of the plaintiff during 2003. He was qualified to give expert evidence. Mr. Polysou, a senior geotechnical engineer with over 25 years of geotechnical and materials engineering experience, was made available for cross-examination and also gave direct evidence with respect to the factual underpinnings of his report. In addition to the Kode Pit marshall mix, AMEC also prepared a marshall mix design for the Mountain House Pit located near Williams Lake, B.C., for use by the plaintiff in its work carried on in Williams Lake in 2003. I will make further reference to that work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Part of Mr. Polysou's report also contains valuable information referred to in this decision, and I turn, in particular to, the heading Terminology and Questions, section 4 of that report. Firstly, he described what a marshall mix design is. He described it as an industry accepted laboratory procedure in which various combinations of asphalt, cement and aggregate samples are prepared, mixed and tested. Mixed samples are tested for such things as gradation (particle size distribution), asphalt content, air voids, voids in mineral aggregates, stability and flow; and compared against project specifications for asphalt pavement. He described the purpose of having a marshall mix design done as being performed in order to determine the optimal combination of asphalt, cement and aggregate that result in gradation, air voids, voids in mineral aggregates, stability and flow that are likely to meet the project specifications for asphalt paving.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the heading of Acceptable Range of % AC by DryAgg, Mr. Polysou said this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target or design value for % AC by DryAgg is developed based on the air void content determined as part of the Marshall Mix Design process, and project specifications. Once the design value has been determined, acceptable ranges (or variability) from the design value are typically in order of plus or minus 0.3% for field mixes. Some project specifications will define a maximum acceptable range (e.g. B.C. Ministry of Transportation End Product Specifications begin to implement performance/payment penalties for variations of more than plus or minus 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para. 4.6, he answers the question "What is the meaning of "Air Voids (%)"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Air voids (%) is the amount of voids (i.e. the open space left between the aggregate particles that is not filled with asphalt) in a sample of asphalt mix, expressed as a percentage of the total volume [of] the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paras. 4.7 and following, these opinions are expressed in response to specific questions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effect on the percentage of air voids if the % AC by DryAgg is higher than 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 by DryAgg is higher than specified, then the resulting air voids in the mix would be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effect on the percentage of air voids if the AC by DryAgg percentage is lower than 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 AC by DryAgg is lower than specified, then the resulting air voids in the mix would be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effect on the longevity of the pavement if the percentage of air voids is out f spec and higher than 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Air voids that are out of spec and higher than specified can result in: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asphalt mix density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enough aggregate particles coated with asphalt and insufficient bonding ( glue') to hold the mix together, i.e. a weaker asphalt mix</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more open and permeable asphalt mix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Consequently, the resulting asphalt pavement may be more susceptible to moisture penetration, weathering, freeze thaw, and fatigue under traffic loading, ultimately leading to a shorter service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effect on the consumption of AC if the % of AC by Dry Agg is in excess of the spec?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 AC by DryAgg is in excess of that specified by the Marshall Mix Design, corresponding job mix formula, or project specifications, then the mix would be costlier to produce. Asphalt cement is typically the most expensive material component of an asphalt pavement mix. At some point, too much asphalt content in a mix can also result in problems with longevity, strength, resistance to rutting, and performance of the asphalt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report sets out various testing that was done in the AMEC Prince George laboratory on dates between May 11th 2003 and June 22nd, 2003. Other than samples taken on May 11th 2003, and June 9th, 2003, which were more detailed, samples were generally tested for asphalt content (% AC by weight of DryAgg and % AC by weight of total mix). Additional testing was also done from samples from Road King's paving operation at the Prince George Home Depot site by AMEC test staff (5 tests) on behalf of Home Depot and those samples, as were the samples done directly for Road King on May 11th and June 9th 2003, were what could be called full tests as the finished product was tested for asphalt content, voids in the mineral aggregate, voids filled, air voids, density, maximum theoretical density, stability, flow index and aggregate gradation (sieve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to the tests done relative to the Kode Pit in Prince George, AMEC also tested samples of asphalt mix manufactured from the Mountain House Pit near Williams Lake, with those tests being conducted on August 20th, 22nd and 29th, 2003. Those tests were also restricted tests as were the majority of the tests on the Kode Pit asphalt as they were only tested for asphalt content (% AC by weight of dry aggregate and % AC by weight of total mix) and aggregate gradation (sieve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all cases it was assumed by AMEC that the source of materials and date of sampling was as reported by Road King. The samples tested on May 24th, May 30th, June 12th, June 21st and June 22nd, 2003, directly from the Home Depot site, were samples taken by AMEC staff, while the other samples were provided by Road King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there is no reason not to believe that all samples supplied by the plaintiff were indeed samples from their respective operations. The design developed for the Marshall Mix for the Kode Pit required an asphalt content of 6.35% by weight of dry aggregate, with a 0.3% variation being within tolerance. As a result, an acceptable % AC by DryAgg mix in the range of 6.05% to 6.65% would be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review of the totality of the testing results done with respect to the Kode Pit operation indicates some 27 test results over the period May 11th, 2003 to June 22nd, 2003. Over that period of time only 6 test results met the target or design value for % AC by DryAgg. Therefore, in only 6 of the 27 tests was the test results within the variation permitted, or approximately 22.0%. Five of the 27 results were higher than permitted AC content, or approximately 18.5%. The remaining 16 tests were lower than the AC target and represented approximately 59.5% of the 27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early August 2003, the plant was mobilized to Williams Lake to handle the one major contract obtained by the plaintiff for the 2003 paving season in that area. The plant was late being setup due to events which I will deal with later in these reasons. A marshall mix plan had also been prepared by AMEC with respect to the Mountain House Pit located just out of Williams Lake. That marshall mix plan provided for a design asphalt content of 6.10% by weight of dry aggregate. A variation range of 5.80% to 6.40% would therefore have been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Three tests were done between August 20th and August 29th to determine the AC content. Of those tests, one was low, one was high and one was within the permitted range. The test with the low AC content was completed August 20th, 2003, theoretically at a time when Walter Niemi was still on site. The only test to be within the acceptable for AC content was done on the 22nd of August. This would have been after Mr. Niemi had left the property, and the high reading was obtained on August 29th, being a time when Mr. Niemi was certainly not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Polysou dealt extensively with the five full tests his company had performed on behalf of the Home Depot, being May 24th, May 30th, June 12th, 21st and 22nd. He agreed under cross-examination that, notwithstanding the low oil content on the May 30th test, that test met the criteria of the marshall mix design with the exception of the air voids, and likewise said that the June 12th test, which had a low AC content, would be within specification, and likewise the June 21st test would also be within specification notwithstanding the low oil AC content. He also agreed that the June 22nd test with its low AC content would still be within specification. He stated that the reason for this was that the specification for asphalt content has no fixed number, although there is a target asphalt content which can fluctuate up and down provided that the other important aspects of the finished product are in acceptable ranges.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Also, in cross-examination, Mr. Polysou agreed that if there were problems with the asphalt he would normally recommend the full suite of tests that they normally do and as was done for Home Depot in their five tests, and in only two of the tests ordered by the plaintiff. Such testing would be to start identifying and eliminating potential problems. He agreed that the problem could be an oil content problem, a moisture content problem, a mechanical problem and perhaps even a testing methodology problem. He specifically agreed that if there were problems there could be a multitude of problems that could affect the end product asphalt, and to identify those problems he felt it would be necessary to do a series of full marshall tests to accurately diagnose the problem. He was asked at length questions relating to moisture content of the aggregate and how the possibility existed that it might be possible for one aggregate to affect the productivity of an asphalt plant but no evidentiary foundation was placed before me for that suggestion to warrant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was also examined by Mr. Foulston with respect to quality assurance and quality control. Mr. Polysou described quality control as a series of activities or tests which paving contractors would go through to ascertain that their process was giving them what they wanted and that quality assurance was a series of samples and tests that the owner, or the owner's representative, would do to develop adjustments to the paving schedule for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Under re-examination, Mr. Fletcher dealt with the asphalt mix testing that had been done for Home Depot. Mr. Polysou agreed that although he was doing those tests for Home Depot he copied them to the plaintiff and that, as such, Road King would be receiving not only information pertaining to the burn tests that they were ordering, but also the full tests which would show the results of all the full testing results being done for Home Depot. As such, he agreed that Road King would not only have the results of the AC burns (asphalt cement results) but also the full test results. He also agreed, under re-examination, that if the plaintiff was aware of a specific problem such as the AC pump, rather than just being a general problem, it would be reasonable just to request the AC burn test. This became particularly important in the context of what was happening with the plant at the time, which I will deal with later in these reasons, but the evidence is that the generator was in fact wowing, or going faster and slower and supplying aggregate to the drum on an inconsistent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also became clear from his evidence on re-examination that questions put to him with respect to possible moisture in the aggregate creating the problems in the fluctuating AC concentrations were highly speculative and that the presence of moisture would, because of the high temperature testing done which was to burn off the AC, have had the effect of having higher than stipulated air voids, or artificially high air voids, indicating high AC content whereas in the testing done most of the results indicated low AC content. Again the importance of having specified % AC by DryAgg became more apparent from the questions and answers given in Mr. Polysou's evidence. He emphasized that if AC by DryAgg is lower than specified then the resulting air voids in the mix would be higher resulting in asphalt pavement being more susceptible to moisture penetration, weathering, freeze/thaw and fatigue under traffic loading, ultimately leading to a shorter service life as indicated in Mr. Polysou's report. Likewise too much asphalt content in the mix would result in problems with longevity, strength, resistance to rutting and performance of the asphalt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John Cunningham, the district manager of Columbia Bitulithic, a witness called by the defendant, also confirmed the importance of having specification asphalt installed as specified. His answer was simple and straightforward, namely, that if it was not in spec - "you don't get paid". He also opined that a variable rate of flow of aggregate in a plant such as this would definitely cause a problem with the asphalt mix being prepared causing problems with air voids and density and inaccurate measuring of the AC content would cause problems. Specifically, he said that percentages of the different aggregates and the amount of AC must be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this background in mind, I now turn to a discussion of the performance of the plant after delivery to the Kode Pit site in Prince George in May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accordance with the purchase agreement, Walter Niemi was on site with the plant initially and was later joined by Lloyd Olson. The Home Depot contract was started on May 23rd or 24th following the initial testing on May 11th which showed a low AC content. Chris Coburn discussed that problem with Ken Bergestat and Walter Niemi. In the meantime, Niemi and Olson had been making constant adjustments with respect to the mechanical aspect of the plant and the computer program. The plant itself is a system that requires the computer program and the mechanical aspects of the plant to work in harmony. As a result of the AC contents being either low or high over the first four tests, Chris Coburn arranged for Chuck Parrish to come to Prince George from Williams Lake to offer his views or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Parrish has some 27 years experience in asphalt production. He arrived in Prince George on May 27th and met with Walter Niemi and Lloyd Olson. At that time there were problems with the baghouse and the slat chain. Parrish testified that Niemi had said the slat chain was too small and as a result it kept breaking. The slat chain was replaced with a larger one but problems still prevailed with the baghouse operation. The new slat chain that was replaced at that time only lasted for 1/2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Parrish described constant dust coming out of the baghouse. From his observations he noted that the burner in the plant would go out continuously and that Walter Niemi was continuously working to solve the problems. Mr. Parrish described being able to see dust emanating from the site from as far away as the Husky Gas Station on the B.C.R. Industrial Site on the other side of the Fraser River and some 3 to 4 kilometres away. He examined the marshall mix test measurements and noted fluctuations in the content. He noted observing the computer screen which indicated the lack of a steady flow of aggregate. He also noted at that time that the Genset which provided electrical power to the plant was fluctuating causing fluctuation in the amount of asphalt cement (AC) and aggregate. He stayed for some seven days to attempt to sort out the problems with the fluctuating AC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testified that in the week he was there the problem with the Genset fluctuation was not fixed. He offered opinions to Chris Coburn and Ray Fortier at a meeting at the White Spot Restaurant on his solution to remedy the problem. He suggested to them that using another system, known as the Ramsay system, would alleviate the problem. Over the seven days that he observed the plant, he noted that it was unable to produce over 25 to 30 tonnes an hour. His recollection was that he spoke to both Messrs. Niemi and Olson and that they advised him that it was supposed to put out 150 tonnes per hour. Based on his experience and what he was told, given that a dump truck holds approximately 14 1/2 tonnes, the plant should have been producing 10 truck loads per hour when in fact it was producing only approximately 2 truck loads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had been hoped by Chris Coburn to hire Parrish as operations manager for Road King in 2003, however, that did not occur. Notwithstanding that, Mr. Parrish arranged jobs for Road King in Williams Lake, including the West Fraser Saw Mill work which necessitated the move of the plant to the Mountain House Pit later in 2003. He also testified that in the seven day period he was in Prince George the plant never ran for a full day because the baghouse continued to fill up with dust. He also testified that when he first arrived at the Kode Pit the computer program, set up by Lloyd Olson, did not have anything on the screen for asphalt content and it was not until after he arrived that Lloyd Olson modified the screen to display the AC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Over the week that he observed the computer screen the aggregate content was fluctuating between 20 tonnes per hour higher and 20 tonnes per hour lighter than specified. He suggested to Lloyd Olson to put a revolution counter on the display to try and find out whether or not a mechanical problem or a metering problem was occurring with the measurement of the AC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also confirmed Chris Coburn's evidence that trucks that had been arranged to haul asphalt from the Kode Pit to the Home Depot job were required to wait for hours to be loaded with asphalt. He concluded that they were waiting because the plant would not run consistently. He also opined, based on his 27 years experience, that he would not expect the series of types of problems that he observed in a properly functioning plant. Consistent with the evidence of Polysou and Cunningham, he also opined, based on his experience, that if there is too much asphalt content in the mix the finished product will rut and if you don't have enough asphalt the asphalt is likely to fall apart. He testified to having discussions with Walter Niemi and Ken Bergestat regarding production and that both Niemi and Bergestat opined that it should easily produce 150 metric tonnes, or 10 truckloads,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Chris Coburn was primarily responsible for the lay down of the asphalt at the Home Depot job site. He described finding parts of the slat conveyor in the asphalt he was laying down. The first piece was found on the day work commenced on the Home Depot job. It was a 2 to 3 foot wide piece of 4" x 6" angle iron. He also described two other incidents occurring when part of the slat conveyor jammed in the paver machine. At that time Walter Niemi came by the work site and told him that the welds were poor and blamed the break up of the conveyor on Farr Fabricating.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Chris Coburn testified that it was a daily occurrence when working on the Home Depot contract that the plant did not function properly. He had originally estimated that it would take four days to lay down the pavement but the laying of the pavement took 16 days. As a result of slow production and the breakdown of the plant there were three occasions when Road King was required to rent lights and work at night. Another of the problems encountered at the plant when Niemi and Olson were operating it was that every time there was an attempt to bump up production the flame used to heat the asphalt would be snuffed out. This evidence came primarily from Walter Niemi.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discussed earlier, the design of the plant consists of a slat conveyor which moves the aggregate from the four bins into the drum. Over the time the plant was operating to supply asphalt for the Home Depot job, Chris Coburn testified that various mechanical breakdowns occurred, including the plant being down for three to four days because of baghouse problems. The baghouse is an integral part of the functioning of the plant because it collects the very find sand or "flour" which is not utilized in the asphalt production and then its function is to recirculate that flour back into the drum to become part of the aggregate mix for the next batch.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dust problem, according to Walter Niemi, adversely affected the operation of the plant because the amount of dust in the baghouse prohibited an electric eye monitoring the flame used to heat the asphalt from seeing the flame and as a result the flame would be turned off. As such, the functioning of the baghouse has a sizeable affect on the plant itself. The functionality of the plant was based, to a great extent, on the returning of the dust [flour] to the aggregate input into the mixing drum to ensure that the right mix of aggregate and AC cement was being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Over the months of May, June and July, the plant was operated at the Kode Pit without the baghouse ever consistently functioning as designed. The baghouse was designed to be self-enclosed with the fine "flour" being taken back into the mixing drum. There is an abundance of evidence of the continued malfunctioning of the baghouse. Attempts were made, following a June 3rd meeting with Chuck Parrish, Coburn, Fortier and Jason Garneau, to remedy the malfunctioning baghouse, including modifying the baghouse slat conveyor which, as previously indicated, worked only for one hour when it again broke down. In July the slat conveyor was still not fixed and the baghouse was being run with its doors open with the resulting continued emissions of dust into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Problems with the plant up to that time therefore included the malfunctioning of the hot asphalt slat conveyor from the drum to the silo, the problems with the slat conveyor in the baghouse, the surging of the Genset with the resultant inconsistent supply of aggregate, the inability of the baghouse to function consistently, and generally, the inability to increase output to meet demand at the work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plant was dismantled on July 27th and 28th and taken to Farr Fabricating's yard. It had been represented it would take no more than two days to effect repairs to the baghouse. The timing of this remedial work was important to Road King as they had scheduled the work arranged by Chuck Parrish in Williams Lake for the August long weekend, which would have commenced Saturday August 2, 2003. Assurances were given by Walter Niemi that the work could be completed within the time estimated. The plan was to completely redo or redesign the baghouse.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this point in time, to keep up even the two truckloads per hour that was being produced when the plant was operational, dust continued to be blown into the atmosphere and over that two month period Coburn estimated that the plant itself was not functioning for 70% of the time. I believe Walter Niemi's estimate was 50% to 60%. The plant was at the Farr Fabricating yard until August 7th, 2003, as a result of an insufficient workforce being available at Farr's over the long weekend and the work ended up being done primarily by Walter Niemi with a helper and employees from the plaintiff company. In that week a new dust evacuation system was installed incorporating a vacuum system to take the "flour" from the baghouse back to the drum rather than utilizing the conveyor belt system that was originally installed in the baghouse when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plant was then transported to Williams Lake and reassembled at the Mountain House Pit. As a result of a request by Chris Coburn, to the West Fraser Mill management, the work at West Fraser Mill had been delayed to August 9th. After being reassembled, the new blower system that had been installed the previous week would not function. Walter Niemi and an electrician worked on it for several hours and the West Fraser job was able to commence on time. Production with the newly designed baghouse however was not improved. Only one truck of asphalt per hour was being produced. The mixing drum would not rotate and the burner flame continued to be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Walter Niemi concluded that the baghouse was still not working properly. He determined that the baghouse was continuing to fill up with "flour" that should have been recycled to the drum. Niemi concluded that the problem was in regards to the restriction of air flow in the baghouse. The baghouse doors, being three doors on each side, were again opened and production was increased to one to two truckloads per hour. But, on the following day, the auger which discharges the asphalt from the drum onto the bottom part of the hot asphalt slat conveyor which takes the hot asphalt up to the silo broke.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Thereafter Walter Niemi continued to work on the baghouse and the following weekend the West Fraser job was concluded although the original estimate for completing the work was two days rather than two weekends. Again, as with the previously designed baghouse, every time an attempt was made to increase production from approximately 25 tonnes, or almost two truckloads of asphalt per hour, the burner flame would again snuff out because of excess dust. Dust continued to be emitted from the plant while it was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the West Fraser job was completed, in or about mid-August 2003, other small jobs were taken on by Road King in the Williams Lake area with the plant still having to be operated with the baghouse doors open and dust being emitted into the air. In the meantime, Chris Coburn had been advised by the Mountain House Pit owner that the continued operation of the plant would not be permitted because of the continued emission of dust into the environment. In anticipation of further work in the Williams Lake area, it was agreed between Road King and the Pit owner that the plant could be continued to operate until some additional 2,300 litres of asphalt cement that had been purchased for operations in the Williams Lake area were consumed. Since that time the plant has not been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Against this background the plaintiff submits that there has been a fundamental breach of contract in that, put simply, what the plaintiff contracted to buy was simply not provided, and notwithstanding the attempts by the defendant to remedy the defects, from May to August of 2003, the defendant simply failed to provide a plant of the type contracted for. As such, the plaintiff says that the totality of the defects and the ongoing inability to remedy those defects resulted in the delivery of a plant that was not the plant bargained for. As such, the plaintiff says that there has been a fundamental breach entitling the plaintiff to rescission of the contract, a return of the $500,000.00 paid, and a declaration that it is no longer obligated to pay the remaining $50,000.00 due under the contract, together with consequential damages arising out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concept of fundamental breach is not new to this court. If such a situation is found upon a construction of the sales contract as a whole and the presumed intentions of the parties then there is no exempting clause that can save the contract. If such as situation is found on a consideration of all of the circumstances surrounding the contract and the presumed intentions of the parties then the exclusion clause found in the sales agreement cannot apply. Such a situation was found to have occurred in Lightburn v. Belmont Sales Ltd.</w:t>
      </w:r>
      <w:bookmarkStart w:id="225"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25"/>
      <w:r>
        <w:rPr>
          <w:rFonts w:ascii="arial" w:eastAsia="arial" w:hAnsi="arial" w:cs="arial"/>
          <w:color w:val="000000"/>
          <w:sz w:val="20"/>
          <w:lang w:val="en-US" w:eastAsia="en-US" w:bidi="ar-SA"/>
        </w:rPr>
        <w:t>. In that case, Rattan J. found that a fundamental breach had occurred when a defendant, the seller of a new Ford car, was unable, over a period of eight months, to get the car to perform in a satisfactory manner. At p. 3 of 6 of that decision, Rattan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on exempting clauses and generally on the doctrine of fundamental breach has recently been restated by my brother Verchere in Knowles v. Anchorage Holdings Co. Ltd. </w:t>
      </w:r>
      <w:hyperlink r:id="rId790" w:history="1">
        <w:r>
          <w:rPr>
            <w:rFonts w:ascii="arial" w:eastAsia="arial" w:hAnsi="arial" w:cs="arial"/>
            <w:i/>
            <w:color w:val="0077CC"/>
            <w:sz w:val="20"/>
            <w:u w:val="single"/>
            <w:shd w:val="clear" w:color="auto" w:fill="FFFFFF"/>
            <w:lang w:val="en-US" w:eastAsia="en-US" w:bidi="ar-SA"/>
          </w:rPr>
          <w:t>(1964), 43 D.L.R. (2d) 300</w:t>
        </w:r>
      </w:hyperlink>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46 W.W.R. 173</w:t>
        </w:r>
      </w:hyperlink>
      <w:r>
        <w:rPr>
          <w:rFonts w:ascii="arial" w:eastAsia="arial" w:hAnsi="arial" w:cs="arial"/>
          <w:color w:val="000000"/>
          <w:sz w:val="20"/>
          <w:lang w:val="en-US" w:eastAsia="en-US" w:bidi="ar-SA"/>
        </w:rPr>
        <w:t>, and with the principles contained in his judgment I respectfully agree. The particular principle which applies here, as stated in that judgment, is that where defects are so numerous, that, taken en masse, they destroy the workable character of the thing sold, this may amount to a fundamental and total breach of the contract, so as to disentitle the defendant from taking refuge behind an exclusionary clause upon which, if the defects were considered singly, he might rely. I quote from the judgment of Lord Justice Holroyd Pearce in Yeoman Credit Ltd. v. Apps, [1962] 2 Q.B. 508, [1961] 3 W.L.R. 94, where he said at p. 520 (quoted by Verchere, J., op. cit., p. 304):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a breach of a fundamental condition of the agreement is a question of degree depending on the facts. Such a breach is different in weight and gravity from breaches of condition which would come within the exemption. It may be, as in Pollock &amp; Co. v. Macrae [[1992] S.C. (H.L.) 192] (and in the present case) an accumulation of defects which, taken singly, might well have been within the exemption clause, but, taken en masse constitute such a non-performance or repudiation or breach going to the root of the contract as disentitles the owners to take refuge behind an exception clause intended to give protection only to those breaches which are not inconsistent with and not destructive of the whole essence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earlier cases which might suggest the contrary, it is now settled that exempting clauses of this kind, no matter how widely they are expressed, only avail the party when he is carrying out his contract in its essential respects. He is not allowed to use them as a cover for misconduct or indifference or to enable him to turn a blind eye to his obligations. They do not avail him when he is guilty of a breach which goes to the root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MacKenzie drew my attention to the most recent decision of the House of Lords in Suisse Atlantique Societe d'Armement Maritime S.A. v. N.V. Rotterdamsche Kolen Centrale, [1967] 1 A.C. 361, where in his submission their Lordships disapproved of the dicta above quoted from Lord Denning and in effect said that by exempting clause a party may contract out of common law liability for a fundamental breach, and such is done all the time in demurrage clauses in charterparties.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do not think the decision of their Lordships goes so far. Lord Upjohn at p. 424, while being unable to agree with the statement by Lord Denning went on to say that the matter is one of the true construction of the contract. His Lordship remarked at pp. 426-7: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cannot be doubted that even while the contract continues in force (that is there has been no fundamental breach but only some lesser breach) exclusion clauses are strictly construed. Why this should be so is largely a matter of history and I think probably stems from the fact that in so many cases exceptions clauses are to be found in rather small print sometimes on the back of the main terms of the contract and that the doctrine of "contra proferentes" has been applied. But whatever the reasons, that they are strictly construed against the contracting party seeking protection even during the currency of the contract cannot be doubted.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where there is a breach of a fundamental term the law has taken an even firmer line for there is a strong, though rebuttable, presumption that in inserting a clause of exclusion or limitation in their contract the parties are not contemplating breaches of fundamental terms and such clauses do not apply to relieve a party from the consequences of such a breach even where the contract continues in force.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more recent decision of Tysoe J. in Action Helicopters Ltd. v. Siller Brothers Inc.</w:t>
      </w:r>
      <w:bookmarkStart w:id="226"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26"/>
      <w:r>
        <w:rPr>
          <w:rFonts w:ascii="arial" w:eastAsia="arial" w:hAnsi="arial" w:cs="arial"/>
          <w:color w:val="000000"/>
          <w:sz w:val="20"/>
          <w:lang w:val="en-US" w:eastAsia="en-US" w:bidi="ar-SA"/>
        </w:rPr>
        <w:t>, his Lordship said this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Hunter Engineering</w:t>
            </w:r>
            <w:bookmarkStart w:id="227" w:name="Backward_fnref_fnr-3_0"/>
            <w:hyperlink w:anchor="Forward_fnref_fnr-3" w:history="1">
              <w:r>
                <w:rPr>
                  <w:rFonts w:ascii="arial" w:eastAsia="arial" w:hAnsi="arial" w:cs="arial"/>
                  <w:b/>
                  <w:color w:val="BE161D"/>
                  <w:sz w:val="18"/>
                  <w:shd w:val="clear" w:color="auto" w:fill="FFFFFF"/>
                  <w:vertAlign w:val="superscript"/>
                  <w:lang w:val="en-US" w:eastAsia="en-US" w:bidi="ar-SA"/>
                </w:rPr>
                <w:t>3</w:t>
              </w:r>
            </w:hyperlink>
            <w:bookmarkEnd w:id="227"/>
            <w:r>
              <w:rPr>
                <w:rFonts w:ascii="arial" w:eastAsia="arial" w:hAnsi="arial" w:cs="arial"/>
                <w:color w:val="000000"/>
                <w:sz w:val="18"/>
                <w:lang w:val="en-US" w:eastAsia="en-US" w:bidi="ar-SA"/>
              </w:rPr>
              <w:t xml:space="preserve"> case, after referring to various judicial definitions of fundamental breach, Wilson J. said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formulation that I prefer is that given by Lord Diplock in Photo Production Ltd. v. Securicor Tpt. Ltd., [1980] A.C. 827, [1980] 1 All E.R. 556 (H.L.). A fundamental breach occurs "Where the event resulting from the failure by one party to perform a primary obligation has the effect of depriving the other part of substantially the whole benefit which it was the intention of the parties that he should obtain from the contract" (p. 849) (emphasis added). This is a restrictive definition and rightly so, I believe. As Lord Diplock points out, the usual remedy for breach of a "primary" contractual obligation (the thing bargained for) is a concomitant "secondary" obligation to pay damages. The other primary obligations of both parties yet unperformed remain in place. Fundamental breach represents and exception to this rule for it gives to the innocent party an additional remedy, an election to put an end to all primary obligations of both parties remaining unperformed (p. 849). It seems to me that this exceptional remedy should be available only in circumstances where the foundation of the contract has been undermined, where the very thing bargained for has not been provided. (p.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p. 35 of the same decision, his Lordship then referred to the oft quoted decision of Lord Upjohn in Suisse Atlantique v. N.V. Rotterdam</w:t>
      </w:r>
      <w:bookmarkStart w:id="228"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28"/>
      <w:r>
        <w:rPr>
          <w:rFonts w:ascii="arial" w:eastAsia="arial" w:hAnsi="arial" w:cs="arial"/>
          <w:color w:val="000000"/>
          <w:sz w:val="20"/>
          <w:lang w:val="en-US" w:eastAsia="en-US" w:bidi="ar-SA"/>
        </w:rPr>
        <w:t>, where Lord Upjohn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there is no magic in the words fundamental breach'; this expression is no more than a convenient shorthand expression for saying that a particular breach or breaches of contract by one party is or are such as to go to the root of the contract which entitles the other part to treat such breach or breaches as a repudiation of the whole contract. Whether such breach or breaches do constitute a fundamental breach depends on the construction of the contract and on all the facts and circumstances of the case. (p.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Thus the factual circumstances giving rise to the execution of the contract of January 23, 2003, must be considered. The sales agreement, of course, provides that there are no representations other than as contained in the agreement. Mr. Fortier denies ever giving any representations as to capacity or output of the plant he says Farr Industries sold to the plaintiff. His company was not the owner of the plant when the brochures were handed out at the Ritchie Brothers auction in early 2002, and he testified to having left the meeting of September 13th, 2003, to leave the parties to discuss amongst themselves the Pinnacle Pellet project. He however acknowledged that he probably read the brochure at some time or another. That he knew the plant must have been one that was capable of producing specification asphalt, however, cannot be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his evidence, Fortier referred to a meeting with Mr. Parrish prior to Chuck Parrish returning to Williams Lake.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Parrish I believe was leaving and I can't recall if we met at a restaurant or if we met somewhere else, but Mr. Parrish told me that it was a good day for him, that the plant was producing spec asphalt. And he was going back to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Obviously, this statement he describes from Mr. Parrish did not take him by surprise. I take it that the seller of the plant assumed, as did the purchaser, that the plant would be capable of producing specification asphalt.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price for the mobile plant is also in itself indicative of a plant that was more than just one to produce pavement for driveways. The sophistication of the mechanical and computer interaction lays credence to this expected functionality of the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issue as to whether or not there was any representation by the defendant to the plaintiff as to the capacities of the Trams 2000 to produce certain volumes of asphalt is very troubling. The plaintiff submits that it is an integral part of the qualities of the asphalt plant that was purchased. The plaintiff says that the law on this subject provides a very practical approach and that one must look at all the circumstances to intend what would be sold. I have no difficulties with that general statement, nor do I have difficulties with the proposition that all persons concerned in the sale, including the plaintiff and the defendant and the representatives of Niew Industries, all assumed that it was a mobile asphalt plant that was being sold and purchased and that it was capable of producing specification asphalt on an ongoing and consistent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other essential representation, explicitly found in the sales agreement, was that it would meet stack tests required by the Ministry of the Environment. This essential quality is demonstrated by the fact that there was a holdback of approximately 10% of the purchase price and that holdback was not to be paid until the plant had passed the stack tests contemplated by the parties. The case law I have referred to on fundamental breach deal with fundamental breach as a matter of functionality. Likewise the ability of the plant to produce specification asphalt cannot be denied as being a function of the plant when it was sold. I agree with the assertion of the plaintiff that this was not a plant that was being sold to produce asphalt for driveway or patching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it is clear from the brochure and discussions with Niemi and Bergestat that the plant was to be able to produce a capacity of 100 to 150 tonnes per hour of asphalt, it is questionable whether or not one could say that that was an implicit representation in the sale of the plant. While Mr. Coburn testified that he was told by Niemi, Bergestat and Fortier that it had this capacity, Mr. Fortier does not admit that he said that to him. However, he does agree that he knew that it had to have some reasonable capacity. I have decided that there is not a probability of this representation having been made by Fortier and even if it were it is, I believe, excluded from the terms of the agreement by the exclusion clause that the contracting parties agreed to in the sales agreement of January 23,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important to keep in mind that in or about December 2002 or January 2003, Chris Coburn and John Irving, his banker, met Ray Fortier to discuss the purchase of the asphalt plant and it was at that time that it was made clear that there would be no warranty other than the defendant would make the plant pass a stack test. Indeed, a Mr. Kenneth McIntosh was retained either by Chris Coburn or his banker to inspect the mechanical components of the plant and provide Coburn and his banker with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Nevertheless, I concluded from the evidence of Fortier at trial that he knew the plant had to have some reasonable capacity. The reasonableness of the capacity can be found from the other evidence heard at trial. The clear evidence is that a truck load of asphalt is approximately 15 tonnes. The other clear evidence is that when the laying crew is putting down asphalt in an open area approximately 100 tonnes can be laid per hour. I am satisfied on the evidence that it is implicit in the plant that was sold that it would have a reasonable capacity to produce specification asphalt as required by the pavement laying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So, while I am unable to find that a representation of 100 to 150 tonnes per hour capacity was made by the defendant, and that that representation somehow is not caught by the exclusion clause that the parties agreed to, I am comfortable in finding from all of the evidence and the circumstances that it was always understood by the contracting parties that the amount of money being expended by the plaintiff was to purchase a plant that had an ability to produce specification asphalt as required to complement the laying of asphalt on larger scale contracts rather than merely small scale contracts such as doing driveways and patch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submits that many of the problems associated with the operation of the plant were caused by the plaintiff itself and that the remedial work considered by Walter Niemi was somehow thwarted by Road King's insistence that - firstly, Mr. Parrish be involved and Road King's demands that the plant still be operated to produce asphalt as required by them. The defendant also submits that the contemplation of the sales agreement was that Road King would supply persons to be trained by Niemi as a plant operator but that nothing happened until a worker, Don Muxlow, was provided very briefly for training in late August 2003. The defendant also suggests that Mr. Coburn's business plan contemplated hiring additional persons to assist him in the operation of the company which was never done and says, in part, that the reason for the failure of the venture over the four months was Mr. Coburn attempting to manage the company himself as he had done in 2002 when his proprietorship only placed some 2,000 tonnes of asphalt, whereas in 2003 it was planned to lay 13,100 tonnes of asphalt and also operate the asphalt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These may be shortcomings but they do not answer, in my view, the fundamental issue in this lawsuit, that being whether or not the functionality of the plant over the four months in question met the intentions of the parties when the agreement of January 23, 2003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found Walter Niemi's evidence to be self-serving and protective in nature. The design of the plant was his and he was unable, despite perhaps valiant attempts, to have the plant operate consistently. There is no evidence that Walter Niemi persisted in asking Road King to bring forward employees that he could train as the plant operators. The evidence is clear that over the 3 1/2 months that he was with the plant, the plant never achieved an operating status where one could say a plant operator could be employed to operate the plant. His presence with the plant was an obligation undertaken by the defendant. It is clear that for the time he was working on the plant, he was paid through his company Niew Enterprises by the defendant. At no time did the defendant ever say to the plaintiff that the 30 day period contemplated under the sale agreement had ended and that if the plaintiff required Walter Niemi's continued presence the plaintiff would have to pay for same. It does not appear that this issue was ever raised until at the conclusion of the trial when the defendant sought to be compensated for the costs incurred in providing Niemi to run the plant and maintain the plant for the benefit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the continued presence of Messrs. Olson and Niemi with the plant up until August 2003 without a demand for compensation for their presence is strong evidence of the acknowledgment by the defendant that something was terribly wrong with what it had sold the plaintiff. I conclude that their presence with the plant, without any request for compensation for their continued operation of the plant, supports the plaintiff's contention that the plant was not operating as intended by the parties and was not in a position to be handed over to an operator for training by Mr. Niemi as originally contemplated in the sales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inference is consistent with the fact that at no time was a formal demand made by the defendant to have the plant undergo the stack tests required under the sales agreement so that the remaining balance of the purchase price would become due and payable. The holdback of $50,000.00, or approximately 10% of the total purchase price was not a trifling amount. The evidence is undisputable that in Prince George and in Williams Lake the baghouse, which was to control the emission of dust into the atmosphere, totally failed to accomplish that for which it was designed. It is not open, in my view, for the defendant to suggest otherwise. The evidence of all witnesses, including Walter Niemi, is that the only way the plant could be operated was to have the six doors open so that dust would be ejected into the atmosphere. Pictures of the plant in operation demonstrate this ongoing problem. The baghouse doors were necessitated to be open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Coburn indicated that in his view that was required for 70% of the time that the plant was in operation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Ray Fortier conceded in cross-examination that the successful stack house testing, as contemplated by the sales agreement, was an essential term of the contract. At no time would the plant have ever successfully passed the required stack house tests and this is why, I find, no such tests were ever ordered and ever considered to be ordered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mechanical breakdowns the plant experienced commenced in late May. However, up to that time the computer programming and the integration of the computer software with the mechanical operations of the plant took up most of Mr. Olson's and Mr. Niemi's time. It is to be recalled that the output slat conveyor was the first mechanical problem to occur and those broken slats found themselves in the asphalt that was being laid at the Home Depot work site. That breakdown required the defendant, from May 25th to 27th, to have a work crew on the plant at the Kode Pit where the out-feed slat conveyor was modified and a new baghouse slat conveyor with heavier chain installed. The remedial costs were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defence submits that these instances and other instances when the slat conveyor, chain and the baghouse would malfunction were not serious instances in that they did not shut down the operation of the plant. However, the evidence is that to allow the plant to continue to operate Niemi, as operator of the plant, was compelled to open the doors to emit particles into the atmosphere so that asphalt production could continue. This of course was an operation that was not considered by the plaintiff and defendant because such operation was inconsistent with the basic premise of the baghouse and the ultimate passing of the stack tests. Niemi himself testified to the problem of being unable to increase production because of the dust emissions that were interfering with the electronic eye that monitored the flame utilized to heat the asphalt cement in the asphalt mixing drum.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view, it is inconsistent with the operation of the plant as a whole to suggest that the instances where the plant had to be operated with its baghouse doors open were only minor in nature. The problem was serious enough to warrant Niemi requesting a major modification to his design of the baghouse before the plant was taken to Williams Lake. That re-design, or re-modification, was to eliminate entirely the slat conveyor and install in its place a vacuum system. That is the work that was ultimately undertaken at Farr's premises at the end of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work done at Farr's plant in early August also failed to solve the problem of dust emission. The baghouse only operated properly for a very short time in Williams Lake utilizing the new vacuum system. It malfunctioned again as a result of the accumulation of dust or "flour" in the baghouse.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a result, the plant was again operated in Williams Lake with the baghouse doors open and the plant emitting particulate into the atmosphere. Walter Niemi attempted to lay the blame of the newest malfunction in the baghouse on the poor workmanship of those persons he was supervising, which of course included, primarily, staff of Road King, who had had to come out to the Farr site because of a shortage of Farr personnel on that weekend. It is difficult to believe Mr. Niemi's assertion that he did not directly supervise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Where the evidence of Jason Garneau and Don Muxlow are in conflict with the evidence of Mr. Niemi, I prefer the evidence of Messrs. Muxlow and Garneau. It is difficult to fathom a situation where a whole new system was being incorporated into a baghouse designed by Walter Niemi and he was not taking an active supervisory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cannot lie in the mouth of Farr to say that it was unreasonable for Road King to demand that production continue in Williams Lake after Walter Niemi requested yet another two to three days to properly clean and re-seal the baghouse in Williams Lake. At that time the plaintiff had just been subject to a conclusion by Walter Niemi that the baghouse designed by him was not working as intended. Mr. Niemi estimated that to again work on the baghouse would be extensive and require a shutdown of three days and two to three people to assist him. Given what had transpired before, it is difficult to fault Coburn's position that he did not want any further shutdown time and wanted the plant to stay operational to produce asphalt as required. There comes a time when it is reasonable for a purchaser of a plant to conclude that no amount of remedial work would produce the type of plant which the parties had contemplated was the subject matter of their sales agreement. Based on the prior failings or inability of Walter Niemi to resolve the baghouse problems, it is my view that it was perfectly reasonable for Mr. Coburn to reject a further request for a further opportunity to solve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also makes much of the fact that it was not until Walter Niemi advised Coburn that he would be leaving in the latter part of August that Road King then provided Muxlow to be trained as plant operator. In the context of all the mechanical breakdowns associated with the plant, and in light of the continued failure of Walter Niemi to bring the plant to a position where it could be called "functional", the desire of Coburn to salvage what he could of the 2003 paving season cannot be faulted, nor can the timing of him having made Muxlow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conclude, on a consideration of all of the evidence, that the plant failed to meet the capacity that everyone involved in this transaction contemplated when the contract was made in January 2003. I also find that the inability of Farr's contractors to remedy the dust problems and the inconsistent mix being produced indicates a plant that was not able to perform as contemplated by the contracting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the true test of whether or not what was contracted to be provided by the defendant and purchased by the plaintiff is found in the circumstances of what actually occurred after delivery of the plant in early May 2003 when it was moved from Farr's yard in Prince George to the Kode Pit in Prince George. While the sales agreement contemplated Messrs. Niemi and Olson being there for 30 days to train an operator it is undisputable that they were, for all intents and purposes, over the period they were with the plant, or some 3 or 3 1/2 months of the 4 months, primarily concerned with the inability of the plant to function consistently and to produce specification asphalt in quantities that they felt the plant was capable of producing.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coming to this conclusion I have considered the inferences the defendant has asked me to draw from the circumstances. With respect to the inconsistency in the aggregate mix, the defendant has suggested that a moisture problem in the stock piled aggregate may be the reason for the inconsistencies in the AC content. Similarly, the defendant has asked me to infer that the samples provided to AMEC were not properly taken from the asphalt. Lastly, the defendant asks that I draw an adverse inference from the economic situation of the plaintiff at the commencement of its operations in May right through to August when it stopped production with the plant. This latter inference asked to be drawn by the defendant is that given that asphalt cement is the most expensive ingredient of the finished product, the defendant says the plaintiff was deliberately cutting down on the amount of asphalt to produce a less expensive mix. With respect to this latter inference, I have determined that I am not prepared to accept that. Mr. Coburn now works for Columbia Bitulithic in a supervisory role. He appears to have a good reputation in the paving community and there is no doubt it would have been tantamount to economic suicide to intentionally produce problematic asphalt. At this point in time his business was in operation for its third year and the Home Depot job was his first venture into large paving contracts. The contract with West Fraser was hoped by him to lead to other contracts with that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decline therefore to make this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the other inferences asked to be drawn by me, I have concluded that it would be wrong in law to make such inferences given the total lack of any underlying facts to substantiate those inferences. In the recent decision of Hall v. Cooper Industries Inc.</w:t>
      </w:r>
      <w:bookmarkStart w:id="229"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29"/>
      <w:r>
        <w:rPr>
          <w:rFonts w:ascii="arial" w:eastAsia="arial" w:hAnsi="arial" w:cs="arial"/>
          <w:color w:val="000000"/>
          <w:sz w:val="20"/>
          <w:lang w:val="en-US" w:eastAsia="en-US" w:bidi="ar-SA"/>
        </w:rPr>
        <w:t>, Mr. Justice Thackray found fault in the trial judge's finding of an inference from facts not proved. At para. 47, Mr. Justice Thackray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direct evidence to support the opinion of Dr. Pearsall, and ultimately the judge's conclusion, that the "most likely scenario was that the plate had been bumped". This conclusion by the judge was arrived at by drawing an inference. However, inferences must be drawn from "accepted facts" and "must be reasonably supported by the findings of fact of the trial judge". If a trial judge errs in the finding of facts upon which the inference is drawn, then the "inference-drawing process" is an error. (See Housen v. Nikolaisen)</w:t>
      </w:r>
      <w:bookmarkStart w:id="230"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30"/>
      <w:r>
        <w:rPr>
          <w:rFonts w:ascii="arial" w:eastAsia="arial" w:hAnsi="arial" w:cs="arial"/>
          <w:color w:val="000000"/>
          <w:sz w:val="20"/>
          <w:lang w:val="en-US" w:eastAsia="en-US" w:bidi="ar-SA"/>
        </w:rPr>
        <w:t>. The judge, in my opinion, erred in not accepting the critical evidence from Mr. Hall and instead in drawing an inference unsupported by the evidence of the only witness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the case at bar there was no evidence of excessive moisture in the aggregate used in the mixes nor was there any evidence that the samples provided to AMEC were other than properly obtained samples provided for testing by Road King's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my view the evidence is overwhelming that the plant never functioned as originally contemplated by the contracting parties and that the design malfunctions were so many and so frequent as to render the plant totally unsuitable for the work it was to perform. As such, I find that the plaintiff has established that there was a fundamental breach of contract and that it is entitled to a return of all purchase monies paid to the defendant for the plant and a declaration that it is not required to pay the balance of the purchase price. In coming to this conclusion I have considered the exclusionary clause found in para. 7 of the January 23, 2003 contract and have concluded that it does not cover the circumstances that have occurred here. In Beldessi v. Island Equipment Ltd.</w:t>
      </w:r>
      <w:bookmarkStart w:id="231" w:name="Backward_fnref_fnr-7_0"/>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31"/>
      <w:r>
        <w:rPr>
          <w:rFonts w:ascii="arial" w:eastAsia="arial" w:hAnsi="arial" w:cs="arial"/>
          <w:color w:val="000000"/>
          <w:sz w:val="20"/>
          <w:lang w:val="en-US" w:eastAsia="en-US" w:bidi="ar-SA"/>
        </w:rPr>
        <w:t xml:space="preserve"> a similar conclusion was reached by our Court of Appeal. In that case a machine purchased by the plaintiffs from the defendant did not function satisfactorily and despite numerous attempts having been made to correct various defects, the functionality of the machine continued to be problematic. There were essentially defects in every major component of the plant and taken en masse, these problems destroyed the workbook character of the plant in question and this amounted to a fundamental and total breach of the contract. In such cases it is trite law that the defendant in such a situation is disentitled from taking refuge behind an exclusionary clause upon which, if the defects were considered singularly he might rely. (See Kerr v. Gingras</w:t>
      </w:r>
      <w:bookmarkStart w:id="232" w:name="Backward_fnref_fnr-8_0"/>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3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Beldessi v. Island Equipment Ltd. the court quoted favourably from Salmon, L.J., in Heollier v. Rambler Motors (AMC) Ltd.</w:t>
      </w:r>
      <w:bookmarkStart w:id="233" w:name="Backward_fnref_fnr-9_0"/>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33"/>
      <w:r>
        <w:rPr>
          <w:rFonts w:ascii="arial" w:eastAsia="arial" w:hAnsi="arial" w:cs="arial"/>
          <w:color w:val="000000"/>
          <w:sz w:val="20"/>
          <w:lang w:val="en-US" w:eastAsia="en-US" w:bidi="ar-SA"/>
        </w:rPr>
        <w:t>, in support of the contention that parties are confident to enter into a contract excluding liability for breach of a fundamental term but that such wording must be in clear unambiguous terms, displaying an intention to give exemption from the consequences of fundamental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settled that a clause excluding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make its meaning plain on its face to any ordinarily literate and sensible person. The easiest way of doing that, of course, is to state expressly that the garage, tradesman or merchant, as the case may be, will not be responsible for any damage caused by 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doubt merchants, tradesmen, garage proprietors and the like are a little shy of writing in an exclusion clause quite so bluntly as that. Clearly it would not tend to attract customers, and might even put many off. I am not saying that an exclusion clause cannot be effective to exclude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unless it does so expressly, but in order for the clause to be effective the language should be so plain that it clearly bears that meaning. I do not think that defendants should be allowed to shelter behind language which might lull the customer into a false sense of security by letting him think - unless perhaps he happens to be a lawyer - that he would have redress against the person with whom he was dealing for any damage which he, the customer, might suffer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case at bar, I cannot conclude that the exemption clause found in para. 7 of the sales agreement was intended to provide exemption from the provision of a plant that totally failed to meet the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While it is acknowledged that this plant was a prototype, that does not, in my view, indicate that the plaintiff was willing to pay over one-half million dollars on what some may refer to as a roll of the dice. I have therefore determined that the exclusion clause found in para. 7 of the sales agreement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therefore turn to the consequential relief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CONSEQUENTIAL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Chris Coburn was examined at length with respect to the financial projections he had prepared to obtain his financing after he had executed the agreement of January 23, 2003. In his business plan, he forecast income and his revenue and expense projections upon which he indicated a potential profit of some $120,000.00 in his first year of operations. That projection was based on producing and selling some 5,121 tonnes of asphalt. The plaintiff, in fact, produced more than that amount during the 2003 season. The sales forecast section of the business plan however indicated that he planned to sell some 13,100 tonnes of asphalt.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 review of those projections discloses, in my view, that the projections were seriously flawed in that they do not appear to include over 60% of his material costs on a projected volume of 13,100 tonnes of production. For example, to meet the profit of $120,000.00 he projected, he would have to have sold each tonne of asphalt produced for approximately $273.00 per tonne to meet his projections, while in fact, his fixed costs to produce and lay 5,121 tonnes of asphalt would have been $74.20 per tonne. He also agreed in cross-examination that he would have had to sell the 13,100 tonnes forecast in the sales forecast section of the business plan at a cost of approximately $121.00 to meet his projections in the sales forecast section of the business plan. The fact is that he calculated his two principal contracts, being the Home Depot contract in Prince George and the West Fraser contract in Williams Lake, at a much lower cost than his costs of production, being some $78.00 per tonne which was approximately $10.00 per tonne more than what he had been buying asphalt from Columbia Bitulithic in the previous two years when he operated as a proprietorship.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the projections prepared by Chris Coburn were established by cross-examination of him to be unreliable and fatally flawed in that they did not adequately account for material costs and essentially had no correlation to the contracts he ultimately received. Mr. Coburn's attempts to justify his bid prices and his calculation of overhead was simplistic and failed to set up any plausible scenario where a profit would be achieved when one was calculating the price of asphalt in the range of $70.00 to $80.00 per tonne. I do however accept that on smaller jobs, such as driveways, he would be charging more than $80.00 per tonne but those jobs, in my respectful opinion, could not make up for the losses that would be incurred by Road King in taking on larger contracts such as the ones that were completed by Road King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2003, a loss of some $300,000.00 was sustained over the eight month period ending November 2003. I have concluded from all the evidence that when taking into account debt repayment or costs of ownership associated with the plant that the plaintiff company had committed itself to, the plaintiff would be unable to sustain any profit because the cost of production was significantly more than the price he was selling his product for or the price that he was utilizing for bidding on the contracts that he had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was not seriously argued at the trial of this matter that the plaintiff could establish loss of profit directly attributable to the fundamental breach of contract which I have found. The plaintiff had only two major pre-arranged contracts in 2003, being the West Fraser contract and the Home Depot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have concluded from all of the evidence that the plaintiff had not calculated into his quotations of that work the ownership costs associated with the plant. I agree with the defendant's submissions that the plaintiff was perhaps overly optimistic with respect to the tonnage of asphalt he would produce for the contract work he would obtain. He also did not allow for the cost of a plant operator or a loader operator at the plant, which costs would have come close to $80,000.00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in this actions submits that while it is difficult to look at contracts he was unable to perform because of the shortcomings of the plant in that there were only two or three contracts that he did not bid on, or alternatively, there was work which he did not obtain because of the extended days required to complete the Home Depot contract and the West Fraser contract. The Home Depot contract ended up taking some six weeks to complete when he had originally projected merely days to complete that contract. Likewise the West Fraser contract ended up taking two weekends to complete whereas he had only projected one weekend to complete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submits that had it not been for those delays he would certainly have been able to perform other work with the plant and by not being able to perform that other work he suffered a loss of opportunity to earn money. Of course, the loss of opportunity to earn money is not synonymous with the loss of opportunity to make a profit. The loss of opportunity to earn money is only relevant where the earning of revenue will generate a profit. There appears to be every reason to believe that in the years 2001 and 2002 profit was indeed earned by Chris Coburn when he operated his proprietorship. He earned a profit in his first year of operation in 2001 of some $17,420.00 on total sales of some $332,779.00. The following year he earned a profit of some $74,800.00 on revenue of $739,000.00. Those revenues were from smaller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year 2002 his amortization costs for 12 months was $53,740.00. The statement of loss and deficit for the eight months ended November 30, 2003, shows amortization costs of $176,701.00. Projected to the full year, that amortization cost would be approximately $265,000.00 or approximately $210,000.00 more than his amortization cost for his proprietorship in the year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Some evidence of the possibility of earning profit is provided by the business plan that was used by Mr. Coburn to obtain his financing. The plaintiff was able to obtain its financing on the basis of a business plan that Chris Coburn had produced which, in part, convinced his banker that he would be able to afford to purchase the plant and that it would be a profitable venture. At the time he had prepared the business plan he had already entered into the November 2002 aborted agreement but prior to the January 23rd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Chris Coburn was subjected to cross-examination, at length, on the business plan. In the business plan he referred to an operation cost reduction as he indicated he was presently paying $70.00 per metric tonne, although in fact he was only paying some $59.00 per tonne. He opined in the business plan that utilizing his own plant, asphalt production could be achieved at a much reduced finished cost of $30.00 to $35.00 per tonne, or some $40.00 per tonne savings. He also opined that trucking costs would go down dramatically because of the portability of the plant and because it could be set up closer to the job site. He also hoped that the ability of the plant to work at its own schedule and not be dependent on hot asphalt being available would increase the customer base. He referred to the portability of the plant as being a huge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Although the correspondence is dated December 30, 2002, the business plan itself has a date of February 2003. It refers to financing from Prince George Savings and Credit Union of some $250,000.00 and the Business Development Corporation of some $100,000.00. As can be seen from the income forecast, he had forecast slightly more than a 100% increase in the asphalt revenues from the 2002 proprietorship year end ($1.4 million) based on the work that he felt the plaintiff could do in 2003 based on some 13,100 tonnes which included work that was, in fact, done on the Home Depot project, the Aberdeen Golf project and the Williams Lake West Fraser contract. With respect to the Aberdeen Golf project, Coburn had projected some 600 tonnes of asphalt work, however, only some 250 to 400 tonnes of asphalt work was done. Mr. Coburn gave contradictory evidence as to the amount of tonnage of asphalt laid indicating at one point only 250 tonnes were laid and at another point in his evidence stating that 400 tonnes were laid. No income was in fact received for the Aberdeen Golf project as monies were owed to the owner of the Golf Course from 2002 when Coburn's proprietorship had taken delivery of a 966 Caterpillar Loader and it was to be paid off with further work to be done in 2003. The unaccounted revenue, using the Home Depot bid based on approximately $78.00 per tonne would have been worth income of some $30,000.00 and based on my conclusions as to cost of production would have accounted for a portion of the loss recorded for the eight months ending November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Coburn was directed in cross-examination to his estimates of costs of production for his guesstimate of spec asphalt that would be sold, and non-spec asphalt that would be sold, and agreed that under the income forecast his projections for both types of asphalt would be some 5,121 metric tonnes and that the cost per tonne, based on those calculations, would be some $273.38 a tonne. He agreed that he had never sold any asphalt for that amount of money. While not admitting that he had made a mistake, Mr. Coburn responded, with respect to those calculations: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might do ten jobs at 125 - - 125 a tonne and you might do eight jobs at $225 a tonne, like if you're looking for an average - - not necessarily is every job going to be a high, profitable job, but if you look at your year end and that's basically what we were basing it on, some jobs you might have to do for a little less than others, but the average overall at the end of the year you should come up with a pretty high figure. On the areas we were wanting to work in because of the portability of the plant and the areas that were being unserviced, fully serviced we felt that we could go in and make some good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This was notwithstanding that the most substantial job, being the Home Depot job, was based roughly on $78.00 a tonne produced and laid. Throughout his cross-examination on the projected income and sales forecast, Mr. Coburn maintained that the only reason for the loss sustained in 2003 was because of the failure of the plant to produce consistently. At one point he was directly confronted by Mr. Foulston with the assertion that the fact that so much money was lost was due to him seriously underestimating his material costs. To that he responded that he made $78,000.00 on the Home Depot project and that it was a huge profit. He was asked pointedly if he could show Mr. Foulston where that $78,000.00 profit was shown. He stated that his secretary had done a cost on the project and that there was a large profit. He was thereafter asked if he had included any ownership costs in the analysis. His response to that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my decision if I want to or not. That was the overall profit before taking anything off of it for overhead, for say example the month of August or - - that's what that job made without taking out any overhead or ownership, if you want to use that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any event, the plaintiff in fact sold more than 5,121 tonnes of asphalt during the 2003 operating season. The sales forecast indicated some 13,100 tonnes of specified and non-specified asphalt. Mr. Coburn agreed under cross-examination that based on 13,100 tonnes of asphalt produced there would be fixed costs associated with that production of $69.00 per tonne for material costs and fixed costs. That amount together with operating costs would be approximately $121.00 per tonne, produced and laid. The evidence, of course, is that on his largest jobs of the 2003 season, his quotations for the work were based on $70.00 to $80.00 per tonne produced and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finances, commencing May 1, 2003, were quite limited. Jason Garneau had invested $60,000.00 in the business and testified that he could have invested more money but he was unwilling to put his house and other security up as collateral. At about that time, the plaintiff borrowed some $30,000.00 to purchase equipment at an interest rate of what would have been approximately 40% per year. The $30,000.00 was borrowed privately because Mr. Coburn felt it was cheaper than borrowing it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now turn to the issue of consequential damages, including the various heads of damage sought by the plaintiff in this action, including damages for loss of profit, loss of productivity and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general principle is that the measure of damages in contract is that the plaintiff is to be put in the position it would have been had the contract been performed as agreed</w:t>
      </w:r>
      <w:bookmarkStart w:id="234" w:name="Backward_fnref_fnr-10_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34"/>
      <w:r>
        <w:rPr>
          <w:rFonts w:ascii="arial" w:eastAsia="arial" w:hAnsi="arial" w:cs="arial"/>
          <w:color w:val="000000"/>
          <w:sz w:val="20"/>
          <w:lang w:val="en-US" w:eastAsia="en-US" w:bidi="ar-SA"/>
        </w:rPr>
        <w:t>. In most commercial contracts the placing of a plaintiff who has suffered a loss by reason of breach of contract in the same position generally results in the plaintiff recovering his anticipated profit</w:t>
      </w:r>
      <w:bookmarkStart w:id="235"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235"/>
      <w:r>
        <w:rPr>
          <w:rFonts w:ascii="arial" w:eastAsia="arial" w:hAnsi="arial" w:cs="arial"/>
          <w:color w:val="000000"/>
          <w:sz w:val="20"/>
          <w:lang w:val="en-US" w:eastAsia="en-US" w:bidi="ar-SA"/>
        </w:rPr>
        <w:t>. Likewise, the plaintiff is entitled to recover all direct costs flowing from the specific breach, any consequential indirect costs incurred by the plaintiff, and the loss of projected profits on the contract</w:t>
      </w:r>
      <w:bookmarkStart w:id="236"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236"/>
      <w:r>
        <w:rPr>
          <w:rFonts w:ascii="arial" w:eastAsia="arial" w:hAnsi="arial" w:cs="arial"/>
          <w:color w:val="000000"/>
          <w:sz w:val="20"/>
          <w:lang w:val="en-US" w:eastAsia="en-US" w:bidi="ar-SA"/>
        </w:rPr>
        <w:t>. With respect to the assessment of these damages, the court has an obligation to use its best efforts to arrive at a figure that will place the wronged party, such as the plaintiff in this action, in the position it would have been had it not been for the breach. In B &amp; A Bobcat and Excavating Ltd. v. Sangha</w:t>
      </w:r>
      <w:bookmarkStart w:id="237"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237"/>
      <w:r>
        <w:rPr>
          <w:rFonts w:ascii="arial" w:eastAsia="arial" w:hAnsi="arial" w:cs="arial"/>
          <w:color w:val="000000"/>
          <w:sz w:val="20"/>
          <w:lang w:val="en-US" w:eastAsia="en-US" w:bidi="ar-SA"/>
        </w:rPr>
        <w:t>, Newbury J.A., speaking for the court, approved this extract from B.C. Hydro &amp; Power Authority v. Marathon Realty Co. Ltd.</w:t>
      </w:r>
      <w:bookmarkStart w:id="238"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238"/>
      <w:r>
        <w:rPr>
          <w:rFonts w:ascii="arial" w:eastAsia="arial" w:hAnsi="arial" w:cs="arial"/>
          <w:color w:val="000000"/>
          <w:sz w:val="20"/>
          <w:lang w:val="en-US" w:eastAsia="en-US" w:bidi="ar-SA"/>
        </w:rPr>
        <w:t xml:space="preserve"> where Seaton J.A. stated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what we have here is a case in which it is quite impossible to calculate the loss with great precision. Nor can we calculate the cost of each item. It might not be impossible but it would be unreasonable to spend the court's time valuing each letter, each phone call, each intervention by a Hydro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case of there not being proof of a loss. There is proof of a loss but it is one that is difficult to quantify. The court has an obligation to do so, keeping in mind that the onus is on the plaintiff. Reference is often made to Chaplin v. Hicks . . ., where it is said that if a loss has been established and the quantum is not capable of specific proof it is not only permissible but necessary for the trial judge to do the best he 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Recently in this Court, on December 4, 1991, in M.C. Sloan Consultants v. Derrickson, </w:t>
      </w:r>
      <w:hyperlink r:id="rId791" w:history="1">
        <w:r>
          <w:rPr>
            <w:rFonts w:ascii="arial" w:eastAsia="arial" w:hAnsi="arial" w:cs="arial"/>
            <w:i/>
            <w:color w:val="0077CC"/>
            <w:sz w:val="20"/>
            <w:u w:val="single"/>
            <w:shd w:val="clear" w:color="auto" w:fill="FFFFFF"/>
            <w:lang w:val="en-US" w:eastAsia="en-US" w:bidi="ar-SA"/>
          </w:rPr>
          <w:t>85 D.L.R. (4th) 449</w:t>
        </w:r>
      </w:hyperlink>
      <w:r>
        <w:rPr>
          <w:rFonts w:ascii="arial" w:eastAsia="arial" w:hAnsi="arial" w:cs="arial"/>
          <w:color w:val="000000"/>
          <w:sz w:val="20"/>
          <w:lang w:val="en-US" w:eastAsia="en-US" w:bidi="ar-SA"/>
        </w:rPr>
        <w:t xml:space="preserve"> at 460 . . ., Mr. Justice Goldie speaking for the Court said: "In the circumstances a degree of mathematical certainty could hardly be achieved in quantifying Sloan's losses." Later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these circumstances the words of Davies J. in Wood v. Grand Valley Railway Co. (1915), 22 D.L.R. 614 at p. 618, </w:t>
      </w:r>
      <w:hyperlink r:id="rId792" w:history="1">
        <w:r>
          <w:rPr>
            <w:rFonts w:ascii="arial" w:eastAsia="arial" w:hAnsi="arial" w:cs="arial"/>
            <w:i/>
            <w:color w:val="0077CC"/>
            <w:sz w:val="20"/>
            <w:u w:val="single"/>
            <w:shd w:val="clear" w:color="auto" w:fill="FFFFFF"/>
            <w:lang w:val="en-US" w:eastAsia="en-US" w:bidi="ar-SA"/>
          </w:rPr>
          <w:t>51 S.C.R. 283</w:t>
        </w:r>
      </w:hyperlink>
      <w:r>
        <w:rPr>
          <w:rFonts w:ascii="arial" w:eastAsia="arial" w:hAnsi="arial" w:cs="arial"/>
          <w:color w:val="000000"/>
          <w:sz w:val="20"/>
          <w:lang w:val="en-US" w:eastAsia="en-US" w:bidi="ar-SA"/>
        </w:rPr>
        <w:t xml:space="preserve"> at p. 289 . . . are apt: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was clearly impossible under the facts of that case to estimate with anything approaching to mathematical accuracy the damages sustained by the plaintiffs, but it seems to me to be clearly laid down there by the learned judges that such an impossibility cannot "relieve the wrongdoer of the necessity of paying damages for his breach of contract" and that on the other hand the tribunal to estimate them whether jury or judge must under such circumstances do "the best it can" and its conclusion will not be set aside even if the amount of the verdict is a matter of guess work. [at 424-5]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Golden Hill Ventures v. Kemess Mines Inc., supra, Burnyeat J. dealt with the plaintiff's claim for loss of productivity. At para. 949 to 952 his Lordship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949 Loss of productivity can refer to a failure to meet the projected production rate but, in a more general sense, it can also refer to a loss of efficiency in the performance of the work due to "constant changes in the planned sequence of work, increased over time worked, overmanning and congestion": Dilcon Constructors Ltd. v. ANC Developments Inc. </w:t>
      </w:r>
      <w:hyperlink r:id="rId793" w:history="1">
        <w:r>
          <w:rPr>
            <w:rFonts w:ascii="arial" w:eastAsia="arial" w:hAnsi="arial" w:cs="arial"/>
            <w:i/>
            <w:color w:val="0077CC"/>
            <w:sz w:val="20"/>
            <w:u w:val="single"/>
            <w:shd w:val="clear" w:color="auto" w:fill="FFFFFF"/>
            <w:lang w:val="en-US" w:eastAsia="en-US" w:bidi="ar-SA"/>
          </w:rPr>
          <w:t>(1996), 28 C.L.R. (2d) 209</w:t>
        </w:r>
      </w:hyperlink>
      <w:r>
        <w:rPr>
          <w:rFonts w:ascii="arial" w:eastAsia="arial" w:hAnsi="arial" w:cs="arial"/>
          <w:color w:val="000000"/>
          <w:sz w:val="20"/>
          <w:lang w:val="en-US" w:eastAsia="en-US" w:bidi="ar-SA"/>
        </w:rPr>
        <w:t xml:space="preserve"> (Alta. Q.B.) overturned in part on other grounds, </w:t>
      </w:r>
      <w:hyperlink r:id="rId794" w:history="1">
        <w:r>
          <w:rPr>
            <w:rFonts w:ascii="arial" w:eastAsia="arial" w:hAnsi="arial" w:cs="arial"/>
            <w:i/>
            <w:color w:val="0077CC"/>
            <w:sz w:val="20"/>
            <w:u w:val="single"/>
            <w:shd w:val="clear" w:color="auto" w:fill="FFFFFF"/>
            <w:lang w:val="en-US" w:eastAsia="en-US" w:bidi="ar-SA"/>
          </w:rPr>
          <w:t>(2000), 6 C.L.R. (3d) 34</w:t>
        </w:r>
      </w:hyperlink>
      <w:r>
        <w:rPr>
          <w:rFonts w:ascii="arial" w:eastAsia="arial" w:hAnsi="arial" w:cs="arial"/>
          <w:color w:val="000000"/>
          <w:sz w:val="20"/>
          <w:lang w:val="en-US" w:eastAsia="en-US" w:bidi="ar-SA"/>
        </w:rPr>
        <w:t xml:space="preserve"> (Alta.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950 As well, loss of productivity encompasses a loss of opportunity to better the original plan: Dilcon, supra, at p. 300; W.A. Stevenson Construction (Western) Limited v. Metro Canada Limited </w:t>
      </w:r>
      <w:hyperlink r:id="rId795" w:history="1">
        <w:r>
          <w:rPr>
            <w:rFonts w:ascii="arial" w:eastAsia="arial" w:hAnsi="arial" w:cs="arial"/>
            <w:i/>
            <w:color w:val="0077CC"/>
            <w:sz w:val="20"/>
            <w:u w:val="single"/>
            <w:shd w:val="clear" w:color="auto" w:fill="FFFFFF"/>
            <w:lang w:val="en-US" w:eastAsia="en-US" w:bidi="ar-SA"/>
          </w:rPr>
          <w:t>(1987), 27 C.L.R. 113</w:t>
        </w:r>
      </w:hyperlink>
      <w:r>
        <w:rPr>
          <w:rFonts w:ascii="arial" w:eastAsia="arial" w:hAnsi="arial" w:cs="arial"/>
          <w:color w:val="000000"/>
          <w:sz w:val="20"/>
          <w:lang w:val="en-US" w:eastAsia="en-US" w:bidi="ar-SA"/>
        </w:rPr>
        <w:t xml:space="preserve"> (B.C.S.C.) at p. 202.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951 A loss of productivity is often estimated by a trial judge doing the best he or she can on a percentage basis based on the evidence in general regarding the impact of the wrongful acts of the defendants on productivity: W.A. Stevenson, supra, at p. 195 and Precision Industrial Contractors Corp. v. Solid Rock Steel Fabricating Co. </w:t>
      </w:r>
      <w:hyperlink r:id="rId796" w:history="1">
        <w:r>
          <w:rPr>
            <w:rFonts w:ascii="arial" w:eastAsia="arial" w:hAnsi="arial" w:cs="arial"/>
            <w:i/>
            <w:color w:val="0077CC"/>
            <w:sz w:val="20"/>
            <w:u w:val="single"/>
            <w:shd w:val="clear" w:color="auto" w:fill="FFFFFF"/>
            <w:lang w:val="en-US" w:eastAsia="en-US" w:bidi="ar-SA"/>
          </w:rPr>
          <w:t>(1992), 2 C.L.R. (2d) 239</w:t>
        </w:r>
      </w:hyperlink>
      <w:r>
        <w:rPr>
          <w:rFonts w:ascii="arial" w:eastAsia="arial" w:hAnsi="arial" w:cs="arial"/>
          <w:color w:val="000000"/>
          <w:sz w:val="20"/>
          <w:lang w:val="en-US" w:eastAsia="en-US" w:bidi="ar-SA"/>
        </w:rPr>
        <w:t xml:space="preserve"> (B.C.S.C.) at pp. 256-7.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952 In Dilcon, supra, McMahon, J.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Quantification of losses arising from inefficiency or lack of productivity is always difficult. Once a wrong and resulting damage is proven, however, the quantum of those damages need not be measured by too fine a standard. Neither absolute precision nor absolute certainty will be achievable in the measurement of such damages. Difficulty in assessment is not a reason for denial of damages. (at p. 303)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loss of profit, the leading decision in this jurisdiction would appear to be that of Houweling Nurseries Ltd. v. Fisons Western Corp.</w:t>
      </w:r>
      <w:bookmarkStart w:id="239"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239"/>
      <w:r>
        <w:rPr>
          <w:rFonts w:ascii="arial" w:eastAsia="arial" w:hAnsi="arial" w:cs="arial"/>
          <w:color w:val="000000"/>
          <w:sz w:val="20"/>
          <w:lang w:val="en-US" w:eastAsia="en-US" w:bidi="ar-SA"/>
        </w:rPr>
        <w:t>. In that decision, at p. 3 of 18, McLachlin J.A. (as she then was),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of damages for lost profits caused by breach of contract is, in this respect, analogous to assessment of damages for personal injury resulting from a tortious act. In so far as mathematical figures and calculations can aid in arriving at a fair and realistic estimate of damages, they should be used. At the same time, it must be recognized that aspects of the claim may not be capable of precise mathematical calculation; this is particularly true of claims for losses in the future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p. 5 of 18 of that same report, McLachlin J.A.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basic rule is that damages for lost profits, like all damages for breach of contract, must be proven on a balance of probabilities. Where it is shown with some degree of certainty that a specific contract was lost as a result of the breach, with a consequent loss of profit, that sum should be awarded. However, damages may also be awarded for loss of more conjectural profits, where the evidence demonstrates the possibility that contracts have been lost because of the breach, and also establishes that it is probable that some of these possible contracts would have materialized, had the breach not occurred. In such a case, the court should make a moderate award, recognizing that some of the contracts may not have materialized had there been no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matter may be put another way. Even though the plaintiff may not be able to prove with certainty that it would have obtained specific contracts but for the breach, it may be able to establish that the defendant's breach of contract deprived it of the opportunity to obtain such business. The plaintiff is entitled to compensation for the loss of that opportunity. But it would be wrong to assess the damages for that lost opportunity as though it were a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later at p. 13 of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establishing damages in breach of contract is "ultimately a question of fact "which, after analysis of the facts" requires of the judge no more, and no less, than the application of common sense in the particular circumstances of the case" (per Scarman L.J. in Parsons v. Uttley Ingham &amp; Co. [1978] 1 All E.R. 525 (C.A.) at p. 536). Applying Lord Justice Scarman's test to this customer, Mrs. Horstmann's evidence does not meet the common sense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issue of assessing damages for loss of opportunity was addressed by the Court of Appeal in Pacific Destination Properties Inc. v. Granville West Capital Corp.</w:t>
      </w:r>
      <w:bookmarkStart w:id="240"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240"/>
      <w:r>
        <w:rPr>
          <w:rFonts w:ascii="arial" w:eastAsia="arial" w:hAnsi="arial" w:cs="arial"/>
          <w:color w:val="000000"/>
          <w:sz w:val="20"/>
          <w:lang w:val="en-US" w:eastAsia="en-US" w:bidi="ar-SA"/>
        </w:rPr>
        <w:t>. At para. 55, after quoting from Houweling Nurseries Ltd. v. Fisons Western Corporation, supra, the court approved of this extract from Bradshaw Construction Ltd. v. Bank of Nova Scotia</w:t>
      </w:r>
      <w:bookmarkStart w:id="241"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241"/>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In Bradshaw Construction Ltd. v. Bank of Nova Scotia . . . this Court considered the principles applicable to damages, including a claim of a loss of opportunity. At pages 228-229, the court referred to the following as a correct statement of the applicable law for loss of opportunity (as set out by the trial judge):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deciding whether the plaintiff suffered any damages as a consequence of the actions of the defendant, Bradshaw must prove the existence of a loss on a balance of probabilities. It has done so. But when it comes to assessing the actual amount of the loss the standard of proof is not so strict.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Determining the amount of damages in these circumstances is largely a matter of assessing the strength and weaknesses of various possibilities. It is much like measuring the amount of a past or future loss of income in a personal injury action. The more certain the possibility of the loss the greater the award; the less certain the possibility the smaller the award. When looking at events that may have taken place but for a certain event, it is impossible to say what would have probably happened when that event came about, because one does not know the nature of the circumstances at the relevant time when the event might have occurred. The best that can be estimated are the possibilities, not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Chris Coburn testified that he had overtures from developers who indicated an interest in having his mobile asphalt plant relocated to the lower mainland and Vancouver Island for work. These discussions were obviously only preliminary in nature. In any event, had he continued to bid for work at the same rate, I am of the opinion that his losses would have increased. It may be that at some time in the future an analysis of his cost of doing business would have resulted in him increasing the price at which he was prepared to bid, however, I have concluded that the financial pressures would have been too great at that point in time for a turn around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borrowing by the plaintiff of some $30,000.00 repayable by interest payments of $1,000.00 per month discloses the financial condition of the plaintiff at or about the material time. The monthly statements of the plaintiff indicate a company that was going into debt rapidly and deeply. Jason Garneau had already invested $60,000.00 in the company but was not prepared to put up his home to facilitate more investment capital in the business. I do not know the financial circumstances of Chris Coburn, but I will assume that he had already committed himself to his maximum investment. The fact that he considered and ultimately borrowed the $30,000.00 at interest payable monthly in the amount of $1,000.00 also indicates an inability to borrow at competitive rates. Accordingly, I would not award anything for loss of opportunity or loss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Loss of productivity is another matter. The conclusions I have reached with respect to the operation of the plant evidence a loss of productivity that can be compensated by a monetary award. There is, regretfully, no formula that can be applied and as in B.C. Hydro &amp; Power Authority v. Marathon Realty Co. Ltd., it is quite impossible to calculate the loss with great precision. I am however satisfied that a loss has been established and therefore it is necessary for me to do the best I can. The evidence is uncontradicted that the Home Depot job, for example, took substantially longer than first contemplated. Crews were required to work longer hours and additional costs were incurred with respect to lighting and payment of truckers who ultimately were paid for the additional hours waiting in line at the asphalt plant. Similar delays, I find, were incurred on the West Fraser contract in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These additional costs were incurred because the plant was not functioning as it ought to have been and was not producing asphalt as required by the lay down crew. As a result, additional costs associated with the lack of production were incurred. I fix these consequential damages at $40,000.00 and order that the plaintiff recover that amount from the defendant as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This amount of course does not, from the plaintiff's point of view, make the plaintiff whole. On the facts of this case I do not believe that a court can award consequential relief to the plaintiff that would make him whole because, as indicated, I am of the opinion that the monies that were lost by the plaintiff during its four months of operations cannot be attributed to the fundamental breach, but rather must be laid at the feet of the plaintiff who had a flawed business plan and was inevitably going to lose money because of its pricing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light of my decision to allow the plaintiff to rescind but to not allow damages for loss of opportunity or profit, I have determined that I must hear further submissions with respect to the issue of interest on monies borrowed to complete the purchase. I would prefer written submissions but the parties may speak to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summary, the plaintiff is entitled to rescind the contract, dated the 23rd day of January 2003, and to a return of the $500,000.00 paid by it, upon delivery of the asphalt plant to the defendant's premises in Prince George, British Columbia, in the same condition as purchased and as modified by the defendant and its agents subsequent to delivery; reasonable wear and tear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will be a declaration that the plaintiff is relieved of any further obligation with respect to the $50,000.00 holdback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addition, the plaintiff shall receive judgment in the amount of $40,000.00 for consequential damages related to loss of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claim for damages for loss of opportunity and loss of profits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parties are at liberty to make further submissions with respect to the interest paid by the plaintiff on monies borrowed for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Unless the parties otherwise wish to address the issue of costs, the plaintiff shall have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8" type="#_x0000_t75" style="width:432.06pt;height:506.32pt">
            <v:imagedata r:id="rId797" o:title=""/>
          </v:shape>
        </w:pict>
      </w:r>
      <w:r>
        <w:rPr>
          <w:rFonts w:ascii="arial" w:eastAsia="arial" w:hAnsi="arial" w:cs="arial"/>
          <w:sz w:val="20"/>
          <w:lang w:val="en-US" w:eastAsia="en-US" w:bidi="ar-SA"/>
        </w:rPr>
        <w:t xml:space="preserve">  </w:t>
      </w:r>
      <w:r>
        <w:pict>
          <v:shape id="_x0000_i1199" type="#_x0000_t75" style="width:432.06pt;height:369.8pt">
            <v:imagedata r:id="rId798" o:title=""/>
          </v:shape>
        </w:pic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57, paragraph 31, the neutral citation number cited in footnote 16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"[1999] ... 1999 BCCA 0115"</w:t>
      </w:r>
    </w:p>
    <w:p>
      <w:pPr>
        <w:spacing w:after="240"/>
        <w:rPr>
          <w:rFonts w:ascii="arial" w:eastAsia="arial" w:hAnsi="arial" w:cs="arial"/>
          <w:sz w:val="20"/>
          <w:lang w:val="en-US" w:eastAsia="en-US" w:bidi="ar-SA"/>
        </w:rPr>
      </w:pPr>
      <w:r>
        <w:pict>
          <v:line id="_x0000_s1200" style="position:absolute;z-index:2518374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2"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42"/>
      <w:r>
        <w:rPr>
          <w:rFonts w:ascii="arial" w:eastAsia="arial" w:hAnsi="arial" w:cs="arial"/>
          <w:sz w:val="20"/>
          <w:lang w:val="en-US" w:eastAsia="en-US" w:bidi="ar-SA"/>
        </w:rPr>
        <w:tab/>
      </w:r>
      <w:hyperlink r:id="rId799" w:history="1">
        <w:r>
          <w:rPr>
            <w:rFonts w:ascii="arial" w:eastAsia="arial" w:hAnsi="arial" w:cs="arial"/>
            <w:i/>
            <w:color w:val="0077CC"/>
            <w:sz w:val="18"/>
            <w:u w:val="single"/>
            <w:shd w:val="clear" w:color="auto" w:fill="FFFFFF"/>
            <w:lang w:val="en-US" w:eastAsia="en-US" w:bidi="ar-SA"/>
          </w:rPr>
          <w:t>6 D.L.R. (3d) 692</w:t>
        </w:r>
      </w:hyperlink>
    </w:p>
    <w:p>
      <w:pPr>
        <w:spacing w:before="120" w:after="20" w:line="240" w:lineRule="atLeast"/>
        <w:ind w:left="720" w:hanging="360"/>
        <w:jc w:val="both"/>
        <w:rPr>
          <w:rFonts w:ascii="arial" w:eastAsia="arial" w:hAnsi="arial" w:cs="arial"/>
          <w:sz w:val="20"/>
          <w:lang w:val="en-US" w:eastAsia="en-US" w:bidi="ar-SA"/>
        </w:rPr>
      </w:pPr>
      <w:bookmarkStart w:id="243"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24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unreported, </w:t>
      </w:r>
      <w:hyperlink r:id="rId800" w:history="1">
        <w:r>
          <w:rPr>
            <w:rFonts w:ascii="arial" w:eastAsia="arial" w:hAnsi="arial" w:cs="arial"/>
            <w:i/>
            <w:color w:val="0077CC"/>
            <w:sz w:val="18"/>
            <w:u w:val="single"/>
            <w:shd w:val="clear" w:color="auto" w:fill="FFFFFF"/>
            <w:lang w:val="en-US" w:eastAsia="en-US" w:bidi="ar-SA"/>
          </w:rPr>
          <w:t>[1996] B.C.J. No. 1361</w:t>
        </w:r>
      </w:hyperlink>
    </w:p>
    <w:p>
      <w:pPr>
        <w:spacing w:before="120" w:after="20" w:line="240" w:lineRule="atLeast"/>
        <w:ind w:left="720" w:hanging="360"/>
        <w:jc w:val="both"/>
        <w:rPr>
          <w:rFonts w:ascii="arial" w:eastAsia="arial" w:hAnsi="arial" w:cs="arial"/>
          <w:sz w:val="20"/>
          <w:lang w:val="en-US" w:eastAsia="en-US" w:bidi="ar-SA"/>
        </w:rPr>
      </w:pPr>
      <w:bookmarkStart w:id="244"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244"/>
      <w:r>
        <w:rPr>
          <w:rFonts w:ascii="arial" w:eastAsia="arial" w:hAnsi="arial" w:cs="arial"/>
          <w:sz w:val="20"/>
          <w:lang w:val="en-US" w:eastAsia="en-US" w:bidi="ar-SA"/>
        </w:rPr>
        <w:tab/>
      </w:r>
      <w:hyperlink r:id="rId801" w:history="1">
        <w:r>
          <w:rPr>
            <w:rFonts w:ascii="arial" w:eastAsia="arial" w:hAnsi="arial" w:cs="arial"/>
            <w:i/>
            <w:color w:val="0077CC"/>
            <w:sz w:val="18"/>
            <w:u w:val="single"/>
            <w:shd w:val="clear" w:color="auto" w:fill="FFFFFF"/>
            <w:lang w:val="en-US" w:eastAsia="en-US" w:bidi="ar-SA"/>
          </w:rPr>
          <w:t>(1989), 35 B.C.L.R. (2d) 145</w:t>
        </w:r>
      </w:hyperlink>
      <w:r>
        <w:rPr>
          <w:rFonts w:ascii="arial" w:eastAsia="arial" w:hAnsi="arial" w:cs="arial"/>
          <w:color w:val="6D6E71"/>
          <w:sz w:val="18"/>
          <w:lang w:val="en-US" w:eastAsia="en-US" w:bidi="ar-SA"/>
        </w:rPr>
        <w:t xml:space="preserve"> (S.C.C.)</w:t>
      </w:r>
    </w:p>
    <w:p>
      <w:pPr>
        <w:spacing w:before="120" w:after="20" w:line="240" w:lineRule="atLeast"/>
        <w:ind w:left="720" w:hanging="360"/>
        <w:jc w:val="both"/>
        <w:rPr>
          <w:rFonts w:ascii="arial" w:eastAsia="arial" w:hAnsi="arial" w:cs="arial"/>
          <w:sz w:val="20"/>
          <w:lang w:val="en-US" w:eastAsia="en-US" w:bidi="ar-SA"/>
        </w:rPr>
      </w:pPr>
      <w:bookmarkStart w:id="245"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245"/>
      <w:r>
        <w:rPr>
          <w:rFonts w:ascii="arial" w:eastAsia="arial" w:hAnsi="arial" w:cs="arial"/>
          <w:sz w:val="20"/>
          <w:lang w:val="en-US" w:eastAsia="en-US" w:bidi="ar-SA"/>
        </w:rPr>
        <w:tab/>
      </w:r>
      <w:r>
        <w:rPr>
          <w:rFonts w:ascii="arial" w:eastAsia="arial" w:hAnsi="arial" w:cs="arial"/>
          <w:color w:val="6D6E71"/>
          <w:sz w:val="18"/>
          <w:lang w:val="en-US" w:eastAsia="en-US" w:bidi="ar-SA"/>
        </w:rPr>
        <w:t>[1966] 2 All E.R. 61 (H.L.)</w:t>
      </w:r>
    </w:p>
    <w:p>
      <w:pPr>
        <w:spacing w:before="120" w:after="20" w:line="240" w:lineRule="atLeast"/>
        <w:ind w:left="720" w:hanging="360"/>
        <w:jc w:val="both"/>
        <w:rPr>
          <w:rFonts w:ascii="arial" w:eastAsia="arial" w:hAnsi="arial" w:cs="arial"/>
          <w:sz w:val="20"/>
          <w:lang w:val="en-US" w:eastAsia="en-US" w:bidi="ar-SA"/>
        </w:rPr>
      </w:pPr>
      <w:bookmarkStart w:id="246"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246"/>
      <w:r>
        <w:rPr>
          <w:rFonts w:ascii="arial" w:eastAsia="arial" w:hAnsi="arial" w:cs="arial"/>
          <w:sz w:val="20"/>
          <w:lang w:val="en-US" w:eastAsia="en-US" w:bidi="ar-SA"/>
        </w:rPr>
        <w:tab/>
      </w:r>
      <w:hyperlink r:id="rId802" w:history="1">
        <w:r>
          <w:rPr>
            <w:rFonts w:ascii="arial" w:eastAsia="arial" w:hAnsi="arial" w:cs="arial"/>
            <w:i/>
            <w:color w:val="0077CC"/>
            <w:sz w:val="18"/>
            <w:u w:val="single"/>
            <w:shd w:val="clear" w:color="auto" w:fill="FFFFFF"/>
            <w:lang w:val="en-US" w:eastAsia="en-US" w:bidi="ar-SA"/>
          </w:rPr>
          <w:t>[2005] B.C.J. No. 1150</w:t>
        </w:r>
      </w:hyperlink>
      <w:r>
        <w:rPr>
          <w:rFonts w:ascii="arial" w:eastAsia="arial" w:hAnsi="arial" w:cs="arial"/>
          <w:color w:val="6D6E71"/>
          <w:sz w:val="18"/>
          <w:lang w:val="en-US" w:eastAsia="en-US" w:bidi="ar-SA"/>
        </w:rPr>
        <w:t xml:space="preserve">, </w:t>
      </w:r>
      <w:hyperlink r:id="rId802" w:history="1">
        <w:r>
          <w:rPr>
            <w:rFonts w:ascii="arial" w:eastAsia="arial" w:hAnsi="arial" w:cs="arial"/>
            <w:i/>
            <w:color w:val="0077CC"/>
            <w:sz w:val="18"/>
            <w:u w:val="single"/>
            <w:shd w:val="clear" w:color="auto" w:fill="FFFFFF"/>
            <w:lang w:val="en-US" w:eastAsia="en-US" w:bidi="ar-SA"/>
          </w:rPr>
          <w:t>2005 BCCA 290</w:t>
        </w:r>
      </w:hyperlink>
      <w:r>
        <w:rPr>
          <w:rFonts w:ascii="arial" w:eastAsia="arial" w:hAnsi="arial" w:cs="arial"/>
          <w:color w:val="6D6E71"/>
          <w:sz w:val="18"/>
          <w:lang w:val="en-US" w:eastAsia="en-US" w:bidi="ar-SA"/>
        </w:rPr>
        <w:t>, unreported, May 25, 2005</w:t>
      </w:r>
    </w:p>
    <w:p>
      <w:pPr>
        <w:spacing w:before="120" w:after="20" w:line="240" w:lineRule="atLeast"/>
        <w:ind w:left="720" w:hanging="360"/>
        <w:jc w:val="both"/>
        <w:rPr>
          <w:rFonts w:ascii="arial" w:eastAsia="arial" w:hAnsi="arial" w:cs="arial"/>
          <w:sz w:val="20"/>
          <w:lang w:val="en-US" w:eastAsia="en-US" w:bidi="ar-SA"/>
        </w:rPr>
      </w:pPr>
      <w:bookmarkStart w:id="247"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247"/>
      <w:r>
        <w:rPr>
          <w:rFonts w:ascii="arial" w:eastAsia="arial" w:hAnsi="arial" w:cs="arial"/>
          <w:sz w:val="20"/>
          <w:lang w:val="en-US" w:eastAsia="en-US" w:bidi="ar-SA"/>
        </w:rPr>
        <w:tab/>
      </w:r>
      <w:hyperlink r:id="rId803" w:history="1">
        <w:r>
          <w:rPr>
            <w:rFonts w:ascii="arial" w:eastAsia="arial" w:hAnsi="arial" w:cs="arial"/>
            <w:i/>
            <w:color w:val="0077CC"/>
            <w:sz w:val="18"/>
            <w:u w:val="single"/>
            <w:shd w:val="clear" w:color="auto" w:fill="FFFFFF"/>
            <w:lang w:val="en-US" w:eastAsia="en-US" w:bidi="ar-SA"/>
          </w:rPr>
          <w:t>[2002] 2 S.C.R. 235</w:t>
        </w:r>
      </w:hyperlink>
      <w:r>
        <w:rPr>
          <w:rFonts w:ascii="arial" w:eastAsia="arial" w:hAnsi="arial" w:cs="arial"/>
          <w:color w:val="6D6E71"/>
          <w:sz w:val="18"/>
          <w:lang w:val="en-US" w:eastAsia="en-US" w:bidi="ar-SA"/>
        </w:rPr>
        <w:t xml:space="preserve">, </w:t>
      </w:r>
      <w:hyperlink r:id="rId803" w:history="1">
        <w:r>
          <w:rPr>
            <w:rFonts w:ascii="arial" w:eastAsia="arial" w:hAnsi="arial" w:cs="arial"/>
            <w:i/>
            <w:color w:val="0077CC"/>
            <w:sz w:val="18"/>
            <w:u w:val="single"/>
            <w:shd w:val="clear" w:color="auto" w:fill="FFFFFF"/>
            <w:lang w:val="en-US" w:eastAsia="en-US" w:bidi="ar-SA"/>
          </w:rPr>
          <w:t>211 D.L.R. (4th) 577</w:t>
        </w:r>
      </w:hyperlink>
      <w:r>
        <w:rPr>
          <w:rFonts w:ascii="arial" w:eastAsia="arial" w:hAnsi="arial" w:cs="arial"/>
          <w:color w:val="6D6E71"/>
          <w:sz w:val="18"/>
          <w:lang w:val="en-US" w:eastAsia="en-US" w:bidi="ar-SA"/>
        </w:rPr>
        <w:t>, 2002 S.C.C. 33</w:t>
      </w:r>
    </w:p>
    <w:p>
      <w:pPr>
        <w:spacing w:before="120" w:after="20" w:line="240" w:lineRule="atLeast"/>
        <w:ind w:left="720" w:hanging="360"/>
        <w:jc w:val="both"/>
        <w:rPr>
          <w:rFonts w:ascii="arial" w:eastAsia="arial" w:hAnsi="arial" w:cs="arial"/>
          <w:sz w:val="20"/>
          <w:lang w:val="en-US" w:eastAsia="en-US" w:bidi="ar-SA"/>
        </w:rPr>
      </w:pPr>
      <w:bookmarkStart w:id="248" w:name="Forward_fnref_fnr-7_0"/>
      <w:hyperlink w:anchor="Backward_fnref_fnr-7" w:history="1">
        <w:r>
          <w:rPr>
            <w:rFonts w:ascii="arial" w:eastAsia="arial" w:hAnsi="arial" w:cs="arial"/>
            <w:b/>
            <w:color w:val="BE161D"/>
            <w:sz w:val="18"/>
            <w:shd w:val="clear" w:color="auto" w:fill="FFFFFF"/>
            <w:lang w:val="en-US" w:eastAsia="en-US" w:bidi="ar-SA"/>
          </w:rPr>
          <w:t>7</w:t>
        </w:r>
      </w:hyperlink>
      <w:bookmarkEnd w:id="248"/>
      <w:r>
        <w:rPr>
          <w:rFonts w:ascii="arial" w:eastAsia="arial" w:hAnsi="arial" w:cs="arial"/>
          <w:sz w:val="20"/>
          <w:lang w:val="en-US" w:eastAsia="en-US" w:bidi="ar-SA"/>
        </w:rPr>
        <w:tab/>
      </w:r>
      <w:hyperlink r:id="rId804" w:history="1">
        <w:r>
          <w:rPr>
            <w:rFonts w:ascii="arial" w:eastAsia="arial" w:hAnsi="arial" w:cs="arial"/>
            <w:i/>
            <w:color w:val="0077CC"/>
            <w:sz w:val="18"/>
            <w:u w:val="single"/>
            <w:shd w:val="clear" w:color="auto" w:fill="FFFFFF"/>
            <w:lang w:val="en-US" w:eastAsia="en-US" w:bidi="ar-SA"/>
          </w:rPr>
          <w:t>41 D.L.R. (3d) 147</w:t>
        </w:r>
      </w:hyperlink>
    </w:p>
    <w:p>
      <w:pPr>
        <w:spacing w:before="120" w:after="20" w:line="240" w:lineRule="atLeast"/>
        <w:ind w:left="720" w:hanging="360"/>
        <w:jc w:val="both"/>
        <w:rPr>
          <w:rFonts w:ascii="arial" w:eastAsia="arial" w:hAnsi="arial" w:cs="arial"/>
          <w:sz w:val="20"/>
          <w:lang w:val="en-US" w:eastAsia="en-US" w:bidi="ar-SA"/>
        </w:rPr>
      </w:pPr>
      <w:bookmarkStart w:id="249" w:name="Forward_fnref_fnr-8_0"/>
      <w:hyperlink w:anchor="Backward_fnref_fnr-8" w:history="1">
        <w:r>
          <w:rPr>
            <w:rFonts w:ascii="arial" w:eastAsia="arial" w:hAnsi="arial" w:cs="arial"/>
            <w:b/>
            <w:color w:val="BE161D"/>
            <w:sz w:val="18"/>
            <w:shd w:val="clear" w:color="auto" w:fill="FFFFFF"/>
            <w:lang w:val="en-US" w:eastAsia="en-US" w:bidi="ar-SA"/>
          </w:rPr>
          <w:t>8</w:t>
        </w:r>
      </w:hyperlink>
      <w:bookmarkEnd w:id="249"/>
      <w:r>
        <w:rPr>
          <w:rFonts w:ascii="arial" w:eastAsia="arial" w:hAnsi="arial" w:cs="arial"/>
          <w:sz w:val="20"/>
          <w:lang w:val="en-US" w:eastAsia="en-US" w:bidi="ar-SA"/>
        </w:rPr>
        <w:tab/>
      </w:r>
      <w:hyperlink r:id="rId805" w:history="1">
        <w:r>
          <w:rPr>
            <w:rFonts w:ascii="arial" w:eastAsia="arial" w:hAnsi="arial" w:cs="arial"/>
            <w:i/>
            <w:color w:val="0077CC"/>
            <w:sz w:val="18"/>
            <w:u w:val="single"/>
            <w:shd w:val="clear" w:color="auto" w:fill="FFFFFF"/>
            <w:lang w:val="en-US" w:eastAsia="en-US" w:bidi="ar-SA"/>
          </w:rPr>
          <w:t>[1980] B.C.J. No. 2101</w:t>
        </w:r>
      </w:hyperlink>
      <w:r>
        <w:rPr>
          <w:rFonts w:ascii="arial" w:eastAsia="arial" w:hAnsi="arial" w:cs="arial"/>
          <w:color w:val="6D6E71"/>
          <w:sz w:val="18"/>
          <w:lang w:val="en-US" w:eastAsia="en-US" w:bidi="ar-SA"/>
        </w:rPr>
        <w:t xml:space="preserve">, </w:t>
      </w:r>
      <w:hyperlink r:id="rId805" w:history="1">
        <w:r>
          <w:rPr>
            <w:rFonts w:ascii="arial" w:eastAsia="arial" w:hAnsi="arial" w:cs="arial"/>
            <w:i/>
            <w:color w:val="0077CC"/>
            <w:sz w:val="18"/>
            <w:u w:val="single"/>
            <w:shd w:val="clear" w:color="auto" w:fill="FFFFFF"/>
            <w:lang w:val="en-US" w:eastAsia="en-US" w:bidi="ar-SA"/>
          </w:rPr>
          <w:t>(1980) 24 B.C.L.R. 372</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250" w:name="Forward_fnref_fnr-9_0"/>
      <w:hyperlink w:anchor="Backward_fnref_fnr-9" w:history="1">
        <w:r>
          <w:rPr>
            <w:rFonts w:ascii="arial" w:eastAsia="arial" w:hAnsi="arial" w:cs="arial"/>
            <w:b/>
            <w:color w:val="BE161D"/>
            <w:sz w:val="18"/>
            <w:shd w:val="clear" w:color="auto" w:fill="FFFFFF"/>
            <w:lang w:val="en-US" w:eastAsia="en-US" w:bidi="ar-SA"/>
          </w:rPr>
          <w:t>9</w:t>
        </w:r>
      </w:hyperlink>
      <w:bookmarkEnd w:id="250"/>
      <w:r>
        <w:rPr>
          <w:rFonts w:ascii="arial" w:eastAsia="arial" w:hAnsi="arial" w:cs="arial"/>
          <w:sz w:val="20"/>
          <w:lang w:val="en-US" w:eastAsia="en-US" w:bidi="ar-SA"/>
        </w:rPr>
        <w:tab/>
      </w:r>
      <w:r>
        <w:rPr>
          <w:rFonts w:ascii="arial" w:eastAsia="arial" w:hAnsi="arial" w:cs="arial"/>
          <w:color w:val="6D6E71"/>
          <w:sz w:val="18"/>
          <w:lang w:val="en-US" w:eastAsia="en-US" w:bidi="ar-SA"/>
        </w:rPr>
        <w:t>[1972] 1 All E.R. 399 at p. 404</w:t>
      </w:r>
    </w:p>
    <w:p>
      <w:pPr>
        <w:spacing w:before="120" w:after="20" w:line="240" w:lineRule="atLeast"/>
        <w:ind w:left="720" w:hanging="360"/>
        <w:jc w:val="both"/>
        <w:rPr>
          <w:rFonts w:ascii="arial" w:eastAsia="arial" w:hAnsi="arial" w:cs="arial"/>
          <w:sz w:val="20"/>
          <w:lang w:val="en-US" w:eastAsia="en-US" w:bidi="ar-SA"/>
        </w:rPr>
      </w:pPr>
      <w:bookmarkStart w:id="251" w:name="Forward_fnref_fnr-10_0"/>
      <w:hyperlink w:anchor="Backward_fnref_fnr-10" w:history="1">
        <w:r>
          <w:rPr>
            <w:rFonts w:ascii="arial" w:eastAsia="arial" w:hAnsi="arial" w:cs="arial"/>
            <w:b/>
            <w:color w:val="BE161D"/>
            <w:sz w:val="18"/>
            <w:shd w:val="clear" w:color="auto" w:fill="FFFFFF"/>
            <w:lang w:val="en-US" w:eastAsia="en-US" w:bidi="ar-SA"/>
          </w:rPr>
          <w:t>10</w:t>
        </w:r>
      </w:hyperlink>
      <w:bookmarkEnd w:id="25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BG Checo International Ltd. v. British Columbia Hydro and Power Authority </w:t>
      </w:r>
      <w:hyperlink r:id="rId806" w:history="1">
        <w:r>
          <w:rPr>
            <w:rFonts w:ascii="arial" w:eastAsia="arial" w:hAnsi="arial" w:cs="arial"/>
            <w:i/>
            <w:color w:val="0077CC"/>
            <w:sz w:val="18"/>
            <w:u w:val="single"/>
            <w:shd w:val="clear" w:color="auto" w:fill="FFFFFF"/>
            <w:lang w:val="en-US" w:eastAsia="en-US" w:bidi="ar-SA"/>
          </w:rPr>
          <w:t>[1993] 1 S.C.R. 12</w:t>
        </w:r>
      </w:hyperlink>
      <w:r>
        <w:rPr>
          <w:rFonts w:ascii="arial" w:eastAsia="arial" w:hAnsi="arial" w:cs="arial"/>
          <w:color w:val="6D6E71"/>
          <w:sz w:val="18"/>
          <w:lang w:val="en-US" w:eastAsia="en-US" w:bidi="ar-SA"/>
        </w:rPr>
        <w:t xml:space="preserve">, </w:t>
      </w:r>
      <w:hyperlink r:id="rId806" w:history="1">
        <w:r>
          <w:rPr>
            <w:rFonts w:ascii="arial" w:eastAsia="arial" w:hAnsi="arial" w:cs="arial"/>
            <w:i/>
            <w:color w:val="0077CC"/>
            <w:sz w:val="18"/>
            <w:u w:val="single"/>
            <w:shd w:val="clear" w:color="auto" w:fill="FFFFFF"/>
            <w:lang w:val="en-US" w:eastAsia="en-US" w:bidi="ar-SA"/>
          </w:rPr>
          <w:t>99 D.L.R. (4th) 577</w:t>
        </w:r>
      </w:hyperlink>
      <w:r>
        <w:rPr>
          <w:rFonts w:ascii="arial" w:eastAsia="arial" w:hAnsi="arial" w:cs="arial"/>
          <w:color w:val="6D6E71"/>
          <w:sz w:val="18"/>
          <w:lang w:val="en-US" w:eastAsia="en-US" w:bidi="ar-SA"/>
        </w:rPr>
        <w:t xml:space="preserve">, </w:t>
      </w:r>
      <w:hyperlink r:id="rId806" w:history="1">
        <w:r>
          <w:rPr>
            <w:rFonts w:ascii="arial" w:eastAsia="arial" w:hAnsi="arial" w:cs="arial"/>
            <w:i/>
            <w:color w:val="0077CC"/>
            <w:sz w:val="18"/>
            <w:u w:val="single"/>
            <w:shd w:val="clear" w:color="auto" w:fill="FFFFFF"/>
            <w:lang w:val="en-US" w:eastAsia="en-US" w:bidi="ar-SA"/>
          </w:rPr>
          <w:t>75 B.C.L.R. (2d) 145</w:t>
        </w:r>
      </w:hyperlink>
    </w:p>
    <w:p>
      <w:pPr>
        <w:spacing w:before="120" w:after="20" w:line="240" w:lineRule="atLeast"/>
        <w:ind w:left="720" w:hanging="360"/>
        <w:jc w:val="both"/>
        <w:rPr>
          <w:rFonts w:ascii="arial" w:eastAsia="arial" w:hAnsi="arial" w:cs="arial"/>
          <w:sz w:val="20"/>
          <w:lang w:val="en-US" w:eastAsia="en-US" w:bidi="ar-SA"/>
        </w:rPr>
      </w:pPr>
      <w:bookmarkStart w:id="252"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25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Conex Services Inc. v. Bogner Developments Ltd., </w:t>
      </w:r>
      <w:hyperlink r:id="rId807" w:history="1">
        <w:r>
          <w:rPr>
            <w:rFonts w:ascii="arial" w:eastAsia="arial" w:hAnsi="arial" w:cs="arial"/>
            <w:i/>
            <w:color w:val="0077CC"/>
            <w:sz w:val="18"/>
            <w:u w:val="single"/>
            <w:shd w:val="clear" w:color="auto" w:fill="FFFFFF"/>
            <w:lang w:val="en-US" w:eastAsia="en-US" w:bidi="ar-SA"/>
          </w:rPr>
          <w:t>[1999] B.C.J. No. 2446</w:t>
        </w:r>
      </w:hyperlink>
      <w:r>
        <w:rPr>
          <w:rFonts w:ascii="arial" w:eastAsia="arial" w:hAnsi="arial" w:cs="arial"/>
          <w:color w:val="6D6E71"/>
          <w:sz w:val="18"/>
          <w:lang w:val="en-US" w:eastAsia="en-US" w:bidi="ar-SA"/>
        </w:rPr>
        <w:t xml:space="preserve">, </w:t>
      </w:r>
      <w:hyperlink r:id="rId807" w:history="1">
        <w:r>
          <w:rPr>
            <w:rFonts w:ascii="arial" w:eastAsia="arial" w:hAnsi="arial" w:cs="arial"/>
            <w:i/>
            <w:color w:val="0077CC"/>
            <w:sz w:val="18"/>
            <w:u w:val="single"/>
            <w:shd w:val="clear" w:color="auto" w:fill="FFFFFF"/>
            <w:lang w:val="en-US" w:eastAsia="en-US" w:bidi="ar-SA"/>
          </w:rPr>
          <w:t>1999 BCCA 628</w:t>
        </w:r>
      </w:hyperlink>
    </w:p>
    <w:p>
      <w:pPr>
        <w:spacing w:before="120" w:after="20" w:line="240" w:lineRule="atLeast"/>
        <w:ind w:left="720" w:hanging="360"/>
        <w:jc w:val="both"/>
        <w:rPr>
          <w:rFonts w:ascii="arial" w:eastAsia="arial" w:hAnsi="arial" w:cs="arial"/>
          <w:sz w:val="20"/>
          <w:lang w:val="en-US" w:eastAsia="en-US" w:bidi="ar-SA"/>
        </w:rPr>
      </w:pPr>
      <w:bookmarkStart w:id="253"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25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Golden Hill Ventures Ltd. v. Kemess Mines Inc., </w:t>
      </w:r>
      <w:hyperlink r:id="rId520" w:history="1">
        <w:r>
          <w:rPr>
            <w:rFonts w:ascii="arial" w:eastAsia="arial" w:hAnsi="arial" w:cs="arial"/>
            <w:i/>
            <w:color w:val="0077CC"/>
            <w:sz w:val="18"/>
            <w:u w:val="single"/>
            <w:shd w:val="clear" w:color="auto" w:fill="FFFFFF"/>
            <w:lang w:val="en-US" w:eastAsia="en-US" w:bidi="ar-SA"/>
          </w:rPr>
          <w:t>[2002] B.C.J. No. 2340</w:t>
        </w:r>
      </w:hyperlink>
      <w:r>
        <w:rPr>
          <w:rFonts w:ascii="arial" w:eastAsia="arial" w:hAnsi="arial" w:cs="arial"/>
          <w:color w:val="6D6E71"/>
          <w:sz w:val="18"/>
          <w:lang w:val="en-US" w:eastAsia="en-US" w:bidi="ar-SA"/>
        </w:rPr>
        <w:t xml:space="preserve">, </w:t>
      </w:r>
      <w:hyperlink r:id="rId520" w:history="1">
        <w:r>
          <w:rPr>
            <w:rFonts w:ascii="arial" w:eastAsia="arial" w:hAnsi="arial" w:cs="arial"/>
            <w:i/>
            <w:color w:val="0077CC"/>
            <w:sz w:val="18"/>
            <w:u w:val="single"/>
            <w:shd w:val="clear" w:color="auto" w:fill="FFFFFF"/>
            <w:lang w:val="en-US" w:eastAsia="en-US" w:bidi="ar-SA"/>
          </w:rPr>
          <w:t>2002 BCSC 1460</w:t>
        </w:r>
      </w:hyperlink>
    </w:p>
    <w:p>
      <w:pPr>
        <w:spacing w:before="120" w:after="20" w:line="240" w:lineRule="atLeast"/>
        <w:ind w:left="720" w:hanging="360"/>
        <w:jc w:val="both"/>
        <w:rPr>
          <w:rFonts w:ascii="arial" w:eastAsia="arial" w:hAnsi="arial" w:cs="arial"/>
          <w:sz w:val="20"/>
          <w:lang w:val="en-US" w:eastAsia="en-US" w:bidi="ar-SA"/>
        </w:rPr>
      </w:pPr>
      <w:bookmarkStart w:id="254"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254"/>
      <w:r>
        <w:rPr>
          <w:rFonts w:ascii="arial" w:eastAsia="arial" w:hAnsi="arial" w:cs="arial"/>
          <w:sz w:val="20"/>
          <w:lang w:val="en-US" w:eastAsia="en-US" w:bidi="ar-SA"/>
        </w:rPr>
        <w:tab/>
      </w:r>
      <w:hyperlink r:id="rId808" w:history="1">
        <w:r>
          <w:rPr>
            <w:rFonts w:ascii="arial" w:eastAsia="arial" w:hAnsi="arial" w:cs="arial"/>
            <w:i/>
            <w:color w:val="0077CC"/>
            <w:sz w:val="18"/>
            <w:u w:val="single"/>
            <w:shd w:val="clear" w:color="auto" w:fill="FFFFFF"/>
            <w:lang w:val="en-US" w:eastAsia="en-US" w:bidi="ar-SA"/>
          </w:rPr>
          <w:t>[1999] B.C.J. No. 160</w:t>
        </w:r>
      </w:hyperlink>
      <w:r>
        <w:rPr>
          <w:rFonts w:ascii="arial" w:eastAsia="arial" w:hAnsi="arial" w:cs="arial"/>
          <w:color w:val="6D6E71"/>
          <w:sz w:val="18"/>
          <w:lang w:val="en-US" w:eastAsia="en-US" w:bidi="ar-SA"/>
        </w:rPr>
        <w:t xml:space="preserve">, </w:t>
      </w:r>
      <w:hyperlink r:id="rId808" w:history="1">
        <w:r>
          <w:rPr>
            <w:rFonts w:ascii="arial" w:eastAsia="arial" w:hAnsi="arial" w:cs="arial"/>
            <w:i/>
            <w:color w:val="0077CC"/>
            <w:sz w:val="18"/>
            <w:u w:val="single"/>
            <w:shd w:val="clear" w:color="auto" w:fill="FFFFFF"/>
            <w:lang w:val="en-US" w:eastAsia="en-US" w:bidi="ar-SA"/>
          </w:rPr>
          <w:t>1999 BCCA 49</w:t>
        </w:r>
      </w:hyperlink>
    </w:p>
    <w:p>
      <w:pPr>
        <w:spacing w:before="120" w:after="20" w:line="240" w:lineRule="atLeast"/>
        <w:ind w:left="720" w:hanging="360"/>
        <w:jc w:val="both"/>
        <w:rPr>
          <w:rFonts w:ascii="arial" w:eastAsia="arial" w:hAnsi="arial" w:cs="arial"/>
          <w:sz w:val="20"/>
          <w:lang w:val="en-US" w:eastAsia="en-US" w:bidi="ar-SA"/>
        </w:rPr>
      </w:pPr>
      <w:bookmarkStart w:id="255"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255"/>
      <w:r>
        <w:rPr>
          <w:rFonts w:ascii="arial" w:eastAsia="arial" w:hAnsi="arial" w:cs="arial"/>
          <w:sz w:val="20"/>
          <w:lang w:val="en-US" w:eastAsia="en-US" w:bidi="ar-SA"/>
        </w:rPr>
        <w:tab/>
      </w:r>
      <w:hyperlink r:id="rId809" w:history="1">
        <w:r>
          <w:rPr>
            <w:rFonts w:ascii="arial" w:eastAsia="arial" w:hAnsi="arial" w:cs="arial"/>
            <w:i/>
            <w:color w:val="0077CC"/>
            <w:sz w:val="18"/>
            <w:u w:val="single"/>
            <w:shd w:val="clear" w:color="auto" w:fill="FFFFFF"/>
            <w:lang w:val="en-US" w:eastAsia="en-US" w:bidi="ar-SA"/>
          </w:rPr>
          <w:t>(1992), 89 D.L.R. (4th) 419</w:t>
        </w:r>
      </w:hyperlink>
    </w:p>
    <w:p>
      <w:pPr>
        <w:spacing w:before="120" w:after="20" w:line="240" w:lineRule="atLeast"/>
        <w:ind w:left="720" w:hanging="360"/>
        <w:jc w:val="both"/>
        <w:rPr>
          <w:rFonts w:ascii="arial" w:eastAsia="arial" w:hAnsi="arial" w:cs="arial"/>
          <w:sz w:val="20"/>
          <w:lang w:val="en-US" w:eastAsia="en-US" w:bidi="ar-SA"/>
        </w:rPr>
      </w:pPr>
      <w:bookmarkStart w:id="256"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256"/>
      <w:r>
        <w:rPr>
          <w:rFonts w:ascii="arial" w:eastAsia="arial" w:hAnsi="arial" w:cs="arial"/>
          <w:sz w:val="20"/>
          <w:lang w:val="en-US" w:eastAsia="en-US" w:bidi="ar-SA"/>
        </w:rPr>
        <w:tab/>
      </w:r>
      <w:hyperlink r:id="rId810" w:history="1">
        <w:r>
          <w:rPr>
            <w:rFonts w:ascii="arial" w:eastAsia="arial" w:hAnsi="arial" w:cs="arial"/>
            <w:i/>
            <w:color w:val="0077CC"/>
            <w:sz w:val="18"/>
            <w:u w:val="single"/>
            <w:shd w:val="clear" w:color="auto" w:fill="FFFFFF"/>
            <w:lang w:val="en-US" w:eastAsia="en-US" w:bidi="ar-SA"/>
          </w:rPr>
          <w:t>[1988] B.C.J. No. 306</w:t>
        </w:r>
      </w:hyperlink>
      <w:r>
        <w:rPr>
          <w:rFonts w:ascii="arial" w:eastAsia="arial" w:hAnsi="arial" w:cs="arial"/>
          <w:color w:val="6D6E71"/>
          <w:sz w:val="18"/>
          <w:lang w:val="en-US" w:eastAsia="en-US" w:bidi="ar-SA"/>
        </w:rPr>
        <w:t xml:space="preserve">, </w:t>
      </w:r>
      <w:hyperlink r:id="rId810" w:history="1">
        <w:r>
          <w:rPr>
            <w:rFonts w:ascii="arial" w:eastAsia="arial" w:hAnsi="arial" w:cs="arial"/>
            <w:i/>
            <w:color w:val="0077CC"/>
            <w:sz w:val="18"/>
            <w:u w:val="single"/>
            <w:shd w:val="clear" w:color="auto" w:fill="FFFFFF"/>
            <w:lang w:val="en-US" w:eastAsia="en-US" w:bidi="ar-SA"/>
          </w:rPr>
          <w:t>49 D.L.R. (4th) 205</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257"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257"/>
      <w:r>
        <w:rPr>
          <w:rFonts w:ascii="arial" w:eastAsia="arial" w:hAnsi="arial" w:cs="arial"/>
          <w:sz w:val="20"/>
          <w:lang w:val="en-US" w:eastAsia="en-US" w:bidi="ar-SA"/>
        </w:rPr>
        <w:tab/>
      </w:r>
      <w:hyperlink r:id="rId811" w:history="1">
        <w:r>
          <w:rPr>
            <w:rFonts w:ascii="arial" w:eastAsia="arial" w:hAnsi="arial" w:cs="arial"/>
            <w:i/>
            <w:color w:val="0077CC"/>
            <w:sz w:val="18"/>
            <w:u w:val="single"/>
            <w:shd w:val="clear" w:color="auto" w:fill="FFFFFF"/>
            <w:lang w:val="en-US" w:eastAsia="en-US" w:bidi="ar-SA"/>
          </w:rPr>
          <w:t>[1999] B.C.J. No. 409</w:t>
        </w:r>
      </w:hyperlink>
      <w:r>
        <w:rPr>
          <w:rFonts w:ascii="arial" w:eastAsia="arial" w:hAnsi="arial" w:cs="arial"/>
          <w:color w:val="6D6E71"/>
          <w:sz w:val="18"/>
          <w:lang w:val="en-US" w:eastAsia="en-US" w:bidi="ar-SA"/>
        </w:rPr>
        <w:t xml:space="preserve">, </w:t>
      </w:r>
      <w:hyperlink r:id="rId811" w:history="1">
        <w:r>
          <w:rPr>
            <w:rFonts w:ascii="arial" w:eastAsia="arial" w:hAnsi="arial" w:cs="arial"/>
            <w:i/>
            <w:color w:val="0077CC"/>
            <w:sz w:val="18"/>
            <w:u w:val="single"/>
            <w:shd w:val="clear" w:color="auto" w:fill="FFFFFF"/>
            <w:lang w:val="en-US" w:eastAsia="en-US" w:bidi="ar-SA"/>
          </w:rPr>
          <w:t>1999 BCCA 115</w:t>
        </w:r>
      </w:hyperlink>
    </w:p>
    <w:p>
      <w:pPr>
        <w:spacing w:before="120" w:after="20" w:line="240" w:lineRule="atLeast"/>
        <w:ind w:left="720" w:hanging="360"/>
        <w:jc w:val="both"/>
        <w:rPr>
          <w:rFonts w:ascii="arial" w:eastAsia="arial" w:hAnsi="arial" w:cs="arial"/>
          <w:sz w:val="20"/>
          <w:lang w:val="en-US" w:eastAsia="en-US" w:bidi="ar-SA"/>
        </w:rPr>
      </w:pPr>
      <w:bookmarkStart w:id="258"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258"/>
      <w:r>
        <w:rPr>
          <w:rFonts w:ascii="arial" w:eastAsia="arial" w:hAnsi="arial" w:cs="arial"/>
          <w:sz w:val="20"/>
          <w:lang w:val="en-US" w:eastAsia="en-US" w:bidi="ar-SA"/>
        </w:rPr>
        <w:tab/>
      </w:r>
      <w:hyperlink r:id="rId812" w:history="1">
        <w:r>
          <w:rPr>
            <w:rFonts w:ascii="arial" w:eastAsia="arial" w:hAnsi="arial" w:cs="arial"/>
            <w:i/>
            <w:color w:val="0077CC"/>
            <w:sz w:val="18"/>
            <w:u w:val="single"/>
            <w:shd w:val="clear" w:color="auto" w:fill="FFFFFF"/>
            <w:lang w:val="en-US" w:eastAsia="en-US" w:bidi="ar-SA"/>
          </w:rPr>
          <w:t>(1992), 73 B.C.L.R. (2d) 212</w:t>
        </w:r>
      </w:hyperlink>
      <w:r>
        <w:rPr>
          <w:rFonts w:ascii="arial" w:eastAsia="arial" w:hAnsi="arial" w:cs="arial"/>
          <w:color w:val="6D6E71"/>
          <w:sz w:val="18"/>
          <w:lang w:val="en-US" w:eastAsia="en-US" w:bidi="ar-SA"/>
        </w:rPr>
        <w:t xml:space="preserve"> (C.A.)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Rodgers v. Floercke, [2008] B.C.J. No. 1271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2-5 and 20,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4,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M92301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1271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2008 BCSC 874</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169 A.C.W.S. (3d) 111</w:t>
        </w:r>
      </w:hyperlink>
    </w:p>
    <w:p>
      <w:pPr>
        <w:spacing w:before="120" w:line="260" w:lineRule="atLeast"/>
        <w:rPr>
          <w:lang w:val="en-US" w:eastAsia="en-US" w:bidi="ar-SA"/>
        </w:rPr>
      </w:pPr>
      <w:r>
        <w:rPr>
          <w:rFonts w:ascii="arial" w:eastAsia="arial" w:hAnsi="arial" w:cs="arial"/>
          <w:color w:val="000000"/>
          <w:sz w:val="20"/>
          <w:lang w:val="en-US" w:eastAsia="en-US" w:bidi="ar-SA"/>
        </w:rPr>
        <w:t>Between Lindsay Anne Rodgers, Plaintiff, and Viktor Viktorovitch Floercke and Lawrence Raymond Laronde,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2" style="position:absolute;z-index:2516971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9" w:name="Keywords_26"/>
      <w:bookmarkEnd w:id="259"/>
      <w:r>
        <w:rPr>
          <w:rFonts w:ascii="arial" w:eastAsia="arial" w:hAnsi="arial" w:cs="arial"/>
          <w:b/>
          <w:color w:val="000000"/>
          <w:sz w:val="20"/>
          <w:lang w:val="en-US" w:eastAsia="en-US" w:bidi="ar-SA"/>
        </w:rPr>
        <w:t>Damages — Physical and psychological injuries — Physical injuries — Body injuries — Back and spine — Action by plaintiff for personal injury damages from motor vehicle accident — Plaintiff awarded $30,000 non-pecuniary loss, $320 past wage loss and $2,810 special damages — Plaintiff not awarded cost of future care or loss of earning capacity as she failed to prove defendant caused ruptured disc rather than previous motor vehicle accident she was in.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by plaintiff for personal injury damages from motor vehicle accident — Plaintiff awarded $30,000 non-pecuniary loss, $320 past wage loss and $2,810 special damages — Plaintiff not awarded cost of future care or loss of earning capacity as she failed to prove defendant caused ruptured disc rather than previous motor vehicle accident she was in — Equally likely that first accident caused ruptured disc and second accident exacerbated it — Also likely that plaintiff's symptoms would have worsened even without accident in question.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0" w:name="Case Summary_26"/>
            <w:bookmarkEnd w:id="26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for personal injury damages for a motor vehicle accident. The plaintiff was a passenger in a car that was rear-ended by the defendant. The accident was in June 2003. However, in 2002, the plaintiff had been involved in another motor vehicle accident when the car she was driving was struck by a vehicle fleeing from the police. After the first accident, the plaintiff suffered low back and posterior neck pain and had to take a year off from soccer, a sport in which she was a gold-medal player. After the accident in question, the plaintiff immediately complained of low back and hip pain, which she felt became worse over the first week. Two years later, the plaintiff began to suffer nerve pain, radiating from her back, down her legs to her feet. The plaintiff was diagnosed with a ruptured disc. The plaintiff argued that the defendant's accident caused the ruptured disc. The defendant acknowledged that the second accident may have exacerbated the plaintiff's symptoms, but argued that the first accident caused the ruptured disc. The plaintiff called her physiatrist and general practitioner as expert witnesses. </w:t>
            </w:r>
            <w:r>
              <w:rPr>
                <w:lang w:val="en-US" w:eastAsia="en-US" w:bidi="ar-SA"/>
              </w:rPr>
              <w:cr/>
            </w:r>
          </w:p>
          <w:p>
            <w:pPr>
              <w:spacing w:before="120" w:line="260" w:lineRule="atLeast"/>
              <w:ind w:left="240"/>
              <w:jc w:val="both"/>
              <w:rPr>
                <w:lang w:val="en-US" w:eastAsia="en-US" w:bidi="ar-SA"/>
              </w:rPr>
            </w:pPr>
            <w:bookmarkStart w:id="261" w:name="Holdings of Court_21"/>
            <w:bookmarkEnd w:id="261"/>
            <w:r>
              <w:rPr>
                <w:rFonts w:ascii="arial" w:eastAsia="arial" w:hAnsi="arial" w:cs="arial"/>
                <w:color w:val="000000"/>
                <w:sz w:val="20"/>
                <w:lang w:val="en-US" w:eastAsia="en-US" w:bidi="ar-SA"/>
              </w:rPr>
              <w:t>HELD: The action was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failed to prove the second accident ruptured the disc but was awarded $30,000 non-pecuniary loss for exacerbated to symptoms following the second accident, $320 in past wage loss and $2,810 in special damages. Since causation was not established, the defendant was not liable for any cost of future care or loss of earning capacity. The plaintiff's physiatrist's notes attributed the ruptured disc to the first accident and he had no reasonable explanation for his change of opinion in testimony. The general practitioner suggested the second accident caused more significant injuries. However, early examinations following the second accident did not support this. It was just as likely the disc had been ruptured by the first accident and exacerbated by the second or even that the plaintiff's symptoms would have worsened without the second accident. </w:t>
            </w:r>
            <w:r>
              <w:rPr>
                <w:lang w:val="en-US" w:eastAsia="en-US" w:bidi="ar-SA"/>
              </w:rPr>
              <w:cr/>
            </w:r>
          </w:p>
          <w:p>
            <w:pPr>
              <w:rPr>
                <w:lang w:val="en-US" w:eastAsia="en-US" w:bidi="ar-SA"/>
              </w:rPr>
            </w:pPr>
          </w:p>
        </w:tc>
      </w:tr>
    </w:tbl>
    <w:p>
      <w:pPr>
        <w:jc w:val="both"/>
        <w:rPr>
          <w:lang w:val="en-US" w:eastAsia="en-US" w:bidi="ar-SA"/>
        </w:rPr>
      </w:pPr>
      <w:bookmarkStart w:id="262" w:name="Counsel_36"/>
      <w:bookmarkEnd w:id="26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3" style="position:absolute;z-index:2517483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L.R.E. Taneda.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J.K. Lamb.</w:t>
      </w:r>
      <w:r>
        <w:rPr>
          <w:lang w:val="en-US" w:eastAsia="en-US" w:bidi="ar-SA"/>
        </w:rPr>
        <w:cr/>
      </w:r>
    </w:p>
    <w:p>
      <w:pPr>
        <w:spacing w:after="240"/>
        <w:rPr>
          <w:lang w:val="en-US" w:eastAsia="en-US" w:bidi="ar-SA"/>
        </w:rPr>
      </w:pPr>
      <w:bookmarkStart w:id="263" w:name="Judgment_36"/>
      <w:bookmarkEnd w:id="263"/>
      <w:r>
        <w:pict>
          <v:line id="_x0000_s1204" style="position:absolute;z-index:25179852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4" w:name="E.M. MYERS J."/>
            <w:bookmarkEnd w:id="264"/>
            <w:r>
              <w:rPr>
                <w:rFonts w:ascii="arial" w:eastAsia="arial" w:hAnsi="arial" w:cs="arial"/>
                <w:b/>
                <w:color w:val="000000"/>
                <w:sz w:val="30"/>
                <w:lang w:val="en-US" w:eastAsia="en-US" w:bidi="ar-SA"/>
              </w:rPr>
              <w:t>E.M. MYERS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who is 24 years old, was involved in three motor accidents: April 2002; June 2003; and January 2006. This action involves the second accident only. Liability was admitted for that accident and it remains for me to assess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Floercke was the driver of the vehicle in the second accident; Mr. Laronde was the owner. For ease of reference I will refer to them in the singular as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 MRI done in May 2006 determined that the plaintiff had a ruptured disc. The main issue is whether the ruptured disc was caused by the first or the second accident; the defendant does not take the position that third accident caused the disc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only the second accident is involved, it will be necessary to discuss the other accidents in order to determine the issue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first accident the plaintiff was in grade 12, living at home with her mother. She was an athletic woman, involved in track, basketball and volleyball. She was on a gold level soccer team. The plaintiff was also involved in a number of other extra-curricular activities and did snowboarding and wakeboarding. The plaintiff worked part-time as a cashier at Kin's Farm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first accident on April 20,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accident occurred on April 20, 2002. The plaintiff was driving when the right rear quarter of her vehicle was struck by a Camaro that was fleeing a police cruiser. The impact spun the plaintiff's vehicle 180 degrees.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Immediately after the accident, the plaintiff went to Langley Memorial Hospital where she was examined and released. It was recommended that she take Tylenol for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Three days after the accident, the plaintiff went to the Glover Road Medical Clinic because she was experiencing low back pain and posterior neck pain. Her back pain was worse on the right side than the left. She was diagnosed with a soft tissue injury of the neck and back. On the advice of the clinic she took a week off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25, 2002, the plaintiff saw her family doctor, Dr. Stepney. Dr. Stepney noted that the plaintiff had reduced range of motion and tenderness in her neck. She had reduced flexion and tenderness in her lumbar spine. Dr. Stepney diagnosed level 2 (out of 3) neck and back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went to a chiropractor four, times before returning to Dr. Stepney on May 16, 2002 to complain of muscle tenderness. Dr. Stepney referred the plaintiff to a physiotherapist to increase her muscle tone and strength. The plaintiff did not go to the physiotherapist; she did go to see her chiropractor several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did not miss any school as a result of the accident (it occurred approximately two months before her graduation). She was able to return to work at Kin's Farm Market. In the summer she began work at a gas station two days a week, in addition to her work at Kin's. She pumped gas, checked the oil in customers' cars, did general clean-up work and took the garbage out. She said she tried not to lift heavy things, but otherwise did everything the job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fall of 2002 the plaintiff began a B.Ed. programme at Simon Fraser University.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did not re-join a soccer team after the first accident. She decided to take a year off because of her back. However, she was able to snowboard and bought a season pass for Mount Seymour.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Second Accident on June 14,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accident occurred on June 14, 2003. As I mentioned, this accident is the only subject of this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a passenger sitting in the middle rear seat of her friend's Chevrolet Tahoe. The car was rear-ended by the defendant Mr. Floercke when it was stopped in traffic coming down a hill from the Saltspring Island ferry terminal.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body did not hit any part of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there was some evidence of the physical damage to the vehicles, the distance between them after the accident and the cost of repair, that evidence was of little or no assistance without the interpretation of an expert. I will therefore not summarise that evidence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second accident, the plaintiff and her friends drove to the police station to report the accident. They then went to the local hospital and the plaintiff complained of pain in her lower back and her right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following day - a Sunday - the plaintiff slept in and woke up feeling "pretty sore". She reported late to work at the gas station. She left work early.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Monday the plaintiff went to the Glover Road Medical Clinic and complained of low back pain and neck pain. She was told not to do any heavy work and for the following week did as little as possible. She felt like she was getting worse over that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June 21, 2003, the plaintiff returned to the Glover Road Medical Clinic complaining of pain shooting down her left leg to her knee. The plaintiff did not initially recall this pain of her own accord; rather, her memory was refreshed by the Glover Road Medical Clinic records, which she reviewed in preparation for trial. The plaintiff said that the leg pain lasted one day. She did not initially tell Dr. Stepney or the physiatrist she saw later - Dr. Chu - about that brief interval of leg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went for physiotherapy over the summer. She said the first few sessions caused her condition to improve. In addition, she went for chiropractic treatment. At the last two of those visits she reported that she was feeling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did not participate in organised soccer over the summer, but did "kick a ball around".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August the plaintiff took a road trip to California with friends. She said she could not hold her head up without pain unless it was supported. Therefore she was unable to do any of the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September 2003, the plaintiff returned to Simon Fraser University. She said she went to classes most days but could not complete the day. The plaintiff also began additional part-time work delivering pizza. After the first semester ended she went back to working at the gas station she had worked at previously.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saw Dr. Stepney on March 8, 2004. She complained of ongoing low back and neck complaints. Dr. Stepney recommended the use of an Obusform back support. Dr. Stepney referred the plaintiff to Healthx for active rehabilitation. The plaintiff underwent an assessment at Healthx on April 27, 2004. The plaintiff did not get beyond the assessment because ICBC did not provide funding for an active rehabilitation programme and the plaintiff was not able to pay for it herself.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May 2004, the plaintiff began full time office work at New Era Trucking. She gave up her other jobs.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September 2004 the plaintiff returned to Simon Fraser but kept working at New Era Trucking.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went for further chiropractic treatment between September 16, 2004, and December 8, 2004. She then returned to Dr. Stepney on March 17, 2005, with ongoing complaints of low back pain. She was again referred to active physiotherapy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June 2005, the plaintiff went to Healthx for a second assessment and began a course of further physiotherapy treatment. Initially, there was some improvement in her symptoms. However, after a few weeks, the plaintiff experienced nerve pain down her legs into her feet. This is her first independent recollection of her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said her back was bad throughout that summer and she could barely do anything. She commented that the more physiotherapy she engaged in, the worse her back became.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saw Dr. Stepney on July 25, 2005, and complained of leg pain and low back pain. Dr. Stepney referred the plaintiff to a physical medicine specialist, Dr. Chu, and also sent her for an x-ray. The x-ray - taken on September 22, 2005 - showed a mild narrowing of the L5-LS 1 disc space.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continued with the Healthx program until September 30, 2005. The plaintiff's neck symptoms appear to have resolved by the end of this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saw Dr. Chu on December 15, 2005. She complained of low back pain, worse on her left side than the right, and pain to the left leg and foot. She told Dr. Chu that the leg symptoms had started in 2005. By the time she saw Dr. Chu, her symptoms had abated somewhat from what they had been in August and September, 2005. Dr. Chu referred her for an MRI and recommended that she resume some of her exercise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third accident on January 6, 2006, and subsequent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January 6, 2006, the plaintiff's vehicle was rear-ended. She said her neck became more sore, and remained that way for about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returned to Dr. Stepney on January 26. She reported that her low back had been somewhat aggravated by this third accident, but at the time of the visit her low back symptoms had returned to their status before the third accident. The plaintiff also sustained an injury to her neck and upper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MRI requisitioned by Dr. Chu was done on May 12, 2006. It showed a moderate L4-5 bulging disc. It was noted that the bulging might cause contact with the L5 nerve roots.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saw Dr. Chu again on May 26, 2006. By that time her leg pain had dissipated. She was still experienced back pain when sitting.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that point, the plaintiff had resumed playing team soccer, but at a less competitive, and therefore aggressive,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graduated Simon Fraser University in October 2006. She is currently working full-time at a company related to New Era Trucking. She manages a small office and coordinates shipments. Beyond filing her work is non-physical.</w:t>
      </w:r>
      <w:bookmarkStart w:id="265"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65"/>
      <w:r>
        <w:rPr>
          <w:rFonts w:ascii="arial" w:eastAsia="arial" w:hAnsi="arial" w:cs="arial"/>
          <w:color w:val="000000"/>
          <w:sz w:val="20"/>
          <w:lang w:val="en-US" w:eastAsia="en-US" w:bidi="ar-SA"/>
        </w:rPr>
        <w:t xml:space="preserve"> That said, sitting is painful for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continues to complain of low back pain and at the time of trial was taking three Advils and three Tylenol 1's a day. The plaintiff had been taking that or similar pain medication for most of the time since the first accident. I will not detail that because I do not think it adds anything to my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POSITION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says that the second accident caused or contributed to her disc injury. In addition to general damages and special damages for past wage loss and medical expenses, the plaintiff claims loss of earning capacity and 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say that the plaintiff's disc injury was caused by the second accident. They acknowledge that the second accident aggravated the pre-existing disc injury, but only temporarily.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WAS THE PLAINTIFF'S DISC INJURY CAUSED BY THE FIRST OR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Two medical experts provided opinions on behalf of the plaintiff: Dr. Chu who is a physiatrist and Dr. Stepney who is the plaintiff's general practitioner. The defendants did not adduce any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report, Dr. Chu referred to the MRI and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showed a moderate sized diffuse disc bulge or protrusion at L-4/5 with associated disc desiccation or drying. This could very well have been a small disc herniation initially from the MVA which has shrunken to now a disc bulge and degenerative changes with drying of the disc.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Later in his report Dr. Chu concluded that the disc injury was caused by the first accident.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Prior to the motor vehicle accident Ms. Rodgers had only occasional transient low back pain when she did too many strenuous activities such as played soccer too long or too hard or fell in soccer and did something unusual. It would be transient short-lived pain. That is actually a very common phenomenon in athletes. She didn't have really the persistent low back pain until after the first motor vehicle accident which was exacerbated by the second motor vehicle accident. The neck pain was also brought on with the first motor vehicle accident but that eventually improved and resolved after some rehabilitation at Health-X after the second motor vehicle accident. She probably had an injury to the L-4/5 disc with the side impact and torquing of the spine where the seat belt holds the pelvis and the upper body moves.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giving his evidence at trial, Dr. Chu changed his opinion and said that on further consideration his view was that the herniated disc was caused by the second accident. He said that in the last sentence of the above-quoted paragraph he should have said that the first accident caused mechanical back injury without specifying that it caused an injury to the L-4/5 disc. That was so because he did not know what was causing injury at the time. He then went on to say that the L-4/5 disc could have been the source of the pain after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cross-examination he said that it was possible that the disc injury was caused by the first accident; that because the disc was weakened it could have been exacerbated or irritated by the second accident; and that the further injury when the plaintiff was undergoing at Healthx could have occurred absent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do not think that Dr. Chu gave a satisfactory explanation for the change in 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now to the evidence the plaintiff's general practitioner, Dr. Stepney. Dr. Stepney was also of the view that the plaintiff's disc injury was caused by the second accident. However, to a large - but not total - degree her opinion was based on the assumption that the plaintiff experienced significant forward flexion in the first accident. There was no evidence of that at the trial, including from the plaintiff herself. The clinical notes do not show that the plaintiff mentioned this to Dr. Stepney.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Stepney suggested that the second accident caused more significant injuries. However, the early examinations after the second accident suggested a minor low back strain with no reduced range of motion and Dr. Stepney diagnosed a soft tissue injury. While much was made by Dr. Stepney of the fact that the plaintiff returned to many of her pre-accident activities after the first accident, the more significant pain complaints were equally consistent with an exacerbation of prior disc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trial, Dr. Stepney suggested that the isolated note of leg pain in the Glover Medical clinical records was an indication that the second accident caused the disc injury. (In argument, the plaintiff placed much reliance on this incidence of pain.) However, Dr. Stepney acknowledged that a one day complaint of leg pain was unlikely to be disc-related. I also note that Dr. Chu testified that the L4 nerve root distribution would generally, but not always, cause pain in the anterior thigh and the shin. He also offered alternative explanations for leg pain, including tight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basis of the medical evidence and the other evidence, I do not think the plaintiff has proved on a balance of probabilities that the second injury caused or contributed to the disc injury. It is equally or more likely that it was caused by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EXTENT OF THE EXACERBATION CAUSED BY THE SECOND ACCIDENT -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I stated above, the defendant acknowledges, correctly, that the second injury exacerbated the plaintiff's pre-existing condition. What is the extent of that exacerbation?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Chu testified that the severe worsening of the plaintiff's symptoms in June 2005 (while undergoing active therapy at Healthx) could have occurred without the second accident. Between the time of that worsening and the time of the second accident the plaintiff appeared to be improving. I therefore agree with the defendant's submission that the time between those two events is a reasonable one for the purposes of assessing the plaintiff's entitlement to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argues that the general damages to which the plaintiff is entitled is in the range of $25,000 to $30,000. That was not seriously disputed by the plaintiff (whose main damage submission was made on the basis of the disc injury being caused by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assess general damages at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WAGE LOSS AND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parties agreed on $320.00 for past wage loss and $2,810.38 for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EARNING CAPACITY AND 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argued in favour of a very substantial loss of earning capacity and cost of future care awards, $147,000 and $106,000 respectively. But that was based on the presumption that the second accident caused the disc injury. In view of my rejection of that, I will not discuss this submission in detail, other than to say that even if the second accident was to blame for the plaintiff's disc problem, those figures seem to me to be exceedingly high.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flows from my finding that the second accident did not cause the disc injury, and from my view of the period of exacerbation, that the plaintiff will not suffer any loss of income earning capacity and is not entitled to an award for the 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assume that since liability was admitted there were offers to settle and counsel may, if necessary, speak to the issue of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E.M. MYERS J.</w:t>
      </w:r>
      <w:r>
        <w:rPr>
          <w:lang w:val="en-US" w:eastAsia="en-US" w:bidi="ar-SA"/>
        </w:rPr>
        <w:cr/>
      </w:r>
    </w:p>
    <w:p>
      <w:pPr>
        <w:spacing w:after="240"/>
        <w:rPr>
          <w:lang w:val="en-US" w:eastAsia="en-US" w:bidi="ar-SA"/>
        </w:rPr>
      </w:pPr>
      <w:r>
        <w:pict>
          <v:line id="_x0000_s1205" style="position:absolute;z-index:251838464" from="0,15pt" to="180pt,15pt" strokecolor="#bcbeb0" strokeweight="0.5pt">
            <v:stroke linestyle="single"/>
          </v:line>
        </w:pict>
      </w:r>
    </w:p>
    <w:p>
      <w:pPr>
        <w:rPr>
          <w:lang w:val="en-US" w:eastAsia="en-US" w:bidi="ar-SA"/>
        </w:rPr>
      </w:pPr>
    </w:p>
    <w:p>
      <w:pPr>
        <w:spacing w:before="120" w:after="20" w:line="240" w:lineRule="atLeast"/>
        <w:ind w:left="720" w:hanging="360"/>
        <w:jc w:val="both"/>
        <w:rPr>
          <w:lang w:val="en-US" w:eastAsia="en-US" w:bidi="ar-SA"/>
        </w:rPr>
      </w:pPr>
      <w:bookmarkStart w:id="266"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266"/>
      <w:r>
        <w:rPr>
          <w:lang w:val="en-US" w:eastAsia="en-US" w:bidi="ar-SA"/>
        </w:rPr>
        <w:tab/>
      </w:r>
      <w:r>
        <w:rPr>
          <w:rFonts w:ascii="arial" w:eastAsia="arial" w:hAnsi="arial" w:cs="arial"/>
          <w:color w:val="6D6E71"/>
          <w:sz w:val="18"/>
          <w:lang w:val="en-US" w:eastAsia="en-US" w:bidi="ar-SA"/>
        </w:rPr>
        <w:t>She did give evidence about setting up a trade show booth in Chicago this past April, but she did not say that that type of activity was a regular part of her work.</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R. v. De Bortoli, [2012] B.C.J. No. 2712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Salmon Arm,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9-13, August 2 and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28,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20786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Salmon Arm</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2712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1957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Carlo Alfonso De Bortoli</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27"/>
      <w:bookmarkEnd w:id="267"/>
      <w:r>
        <w:rPr>
          <w:rFonts w:ascii="arial" w:eastAsia="arial" w:hAnsi="arial" w:cs="arial"/>
          <w:b/>
          <w:color w:val="000000"/>
          <w:sz w:val="20"/>
          <w:lang w:val="en-US" w:eastAsia="en-US" w:bidi="ar-SA"/>
        </w:rPr>
        <w:t>Criminal law — Criminal Code offences — Offences against person and reputation — Motor vehicles — Dangerous operation of motor vehicle — Accused convicted of dangerous driving — Accused drove at excessive speed on a rural road on wrong side, drove across a shallow ditch and crashed into a school — Court did not accept his evidence that he tried to avoid children on the side of the road riding their bicycles — The entire course of his driving, from the moment the children first heard his vehicle until the vehicle struck the school, was conduct that could be characterized as dangerous — Totality of that conduct amounted to a marked departure from the norm.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27"/>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the accused charged with dangerous driving. The accused's vehicle left the road, drove across a shallow ditch, exited the ditch, crossed over a road, went through a chain link fence, travelled across approximately 10 metres of a grass field, and ended up embedded into the side of the school. The accused alleged that he lost control of his vehicle because he tried to avoid three children riding bicycles on the side of the road who veered into the centre of the road. The children testified that the accused's vehicle drove at them at great speed on the wrong side of the road. The children also testified that they had stopped riding their bicycles when they heard the accused's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22"/>
            <w:bookmarkEnd w:id="269"/>
            <w:r>
              <w:rPr>
                <w:rFonts w:ascii="arial" w:eastAsia="arial" w:hAnsi="arial" w:cs="arial"/>
                <w:color w:val="000000"/>
                <w:sz w:val="20"/>
                <w:lang w:val="en-US" w:eastAsia="en-US" w:bidi="ar-SA"/>
              </w:rPr>
              <w:t>HELD: The accused was convicted.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the evidence of the children that they were at or near the left side of the road at some distance from the school when the accused passed them. His vehicle was travelling at an unusually high rate of speed on the wrong side of the road and came very close to striking the children. The court did not accept the accused's version of the circumstances surrounding the accident. The accused did not drive off the road to avoid the children but drove off the road some distance after he drove past the children when they were standing at a driveway. The vehicle could not have become airborne unless it was travelling at a rate of speed well in excess of the speed limit. The accused's evidence that he was travelling the speed limit of 50 kmph was rejected. As the road was a rural road and there was an elementary school present, someone driving on the road in the position of the accused should have proceeded slowly and with caution. The accused did neither. His driving was objectively dangerous to the public. He drove in a manner that was dangerous to other users of the road, including cyclists. In addition, when he drove across the road and the ditch at a rapid rate of speed and across the schoolyard into the school, he endangered potential users of the schoolyard and building. The driving was a marked departure from the standard of care a reasonable person would have observed in his circumstances. The entire course of his driving, from the moment the children first heard his vehicle until the vehicle struck the school, was conduct that could be characterized as dangerous. When the totality of that conduct was considered, it amounted to a marked departure from the norm. For a sustained period he drove recklessly and with wilful inattention to the surrounding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17"/>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R.S.C. 1985, c. C-46, s. 249(1)(a)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37"/>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William J. Hilderman.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Glenn A.P. Verdurmen, Paul G Danyliu, Jonathan R. Avis.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37"/>
      <w:bookmarkEnd w:id="272"/>
      <w:r>
        <w:pict>
          <v:line id="_x0000_s1210"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G.B. BUTLER J. (orally)"/>
            <w:bookmarkEnd w:id="273"/>
            <w:r>
              <w:rPr>
                <w:rFonts w:ascii="arial" w:eastAsia="arial" w:hAnsi="arial" w:cs="arial"/>
                <w:b/>
                <w:color w:val="000000"/>
                <w:sz w:val="30"/>
                <w:lang w:val="en-US" w:eastAsia="en-US" w:bidi="ar-SA"/>
              </w:rPr>
              <w:t>G.B. BUTLER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Carlo De Bortoli is charged with operating a motor vehicle in a manner that was dangerous to the public, contrary to s. 249(1)(a)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The charges relate to a single vehicle collision that occurred on June 7, 2009 in Malakwa, British Columbia. Following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I refused to admit in evidence the test results from an analysis of blood samples taken from Mr. De Bortoli, and I acquitted him of a charge of operating a motor vehicle while his ability to do so was impaired by alcohol or a drug. These are my reasons for judgment regarding the dangerous driving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7, 2009, at approximately 5:00 p.m., a yellow Hummer H2 driven by Mr. De Bortoli left the road and crashed into Malakwa Elementary school. It was a sunny day and the roads were dry. The accident scene was remarkable. It was apparent from the photographs of the scene and the description provided by witnesses that, in order to collide with the school, the Hummer drove off of Malakwa Road, across a shallow ditch, exited the ditch, crossed over Cemetery Road, went through a chain link fence, travelled across approximately ten metres of a grass field, and ended up embedded into the side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Cst. Wilke, the attending officer, said she was quite shocked at how far the vehicle intruded into the school. Her assessment is not surprising. The vehicle ended up so far into the school that the wall of the school which was perpendicular to the vehicle was lined up with the door handle of the rear passenger door. In other words, the vehicle was embedded approximately two metres into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scene of the accident, Cst. Wilke found a beer can in the console that had a small amount of liquid in the bottom of it. She smelled a moderate odour of alcohol on Mr. De Bortoli when she leaned over to speak with him, while he was being attended by the ambulance attendants.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did not give evidence at trial; however, he provided a voluntary statement to the police when he was released from hospital about a week after the accident and that statement was admitted in evidence. He also provided a diagram he had drawn to explain the accident, which showed three children on the road close to the school. In his statement, he said that he saw the children as he was driving up Malakwa Road at a speed close to 50 kilometres per hour, which was the speed limit. He said he was watching the children as he approached, and in particular a young child who appeared to be four to five years old. That child was riding a bike and weaving erratically near the centre of the road. As he approached the children, he suddenly had to take evasive action when the children, on their bikes, did not hear his vehicle approaching and the young child veered from the centre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three children on the road at the time of the accident. However, they were not adjacent to the school; they were some distance down the road from the school. None of them were pre-schoolers; they were between the ages of 11 and 13. They all gave evidence at trial and said that the Hummer almost hit them when they were at or near the left side of the road. It then sped by at a high rate of speed. They said it swerved off the road into the ditch as it approached Cemetery Road and flew into the air, before striking the fence and driving into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two issues I must determine in these circumstances: Has the Crown proved beyond a reasonable doubt that the manner in which Mr. De Bortoli drove the Hummer was objectively dangerous, the prohibited conduct required for the offence and, in addition, has the Crown proved that Mr. De Bortoli drove in a manner which was a marked departure from the standard of care expected of a reasonable person in his circumstances, the necessary fault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reasons that follow, I set out the position of the parties, summarize the law relating to dangerous driving charges, and explain my findings of fact. Finally, I apply the law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Crown says I should accept the evidence of the three child witnesses. If I accept their evidence, the Crown says I must conclude that Mr. De Bortoli drove in a manner that was objectively dangerous. According to the three children, the Hummer was driven at a high rate of speed, such that it almost hit them, even though they were standing at the edge of the road. After it sped by them, it drove off the other side of the road and into the school at a speed sufficient to embed the vehicle deeply into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Crown emphasizes that the evidence of the three witnesses was reasonably consistent, and that when I take into account the time of day, the traffic circumstances, and the location, there can be little doubt the driving was objectively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addition, the Crown says I should infer, on the basis of all of the evidence, that Mr. De Bortoli had the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to commit the offence. The Crown says that the version of events put forward in Mr. De Bortoli's statement makes no sense and I should reject it entirely. If I accept the evidence of the children, there can be no rational explanation for the way Mr. De Bortoli drove on a Sunday afternoon in a 50-kilometre zone near an elementary school. In other words, the Crown says I must conclude that Mr. De Bortoli's manner of driving was dangerous to the public, and that it was performed either intentionally or recklessly. In any event, the Crown says he drove in a manner that was a marked departure from the standard of care expected of a reasonable person in his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defence argues that the Crown has failed to prove beyond a reasonable doubt that the accused drove in a manner that was objectively dangerous. The defence says that the evidence of the three children is inconsistent and unreliable. As a result, it is not possible to conclude that Mr. De Bortoli drove at an excessive speed or in an erratic manner. Mr. De Bortoli says that he made an intentional evasive manoeuvre to avoid the children and his statement cannot be completely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regard to proof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the defence argues that any evidence of alcohol consumption is so frail that it cannot inform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analysis. The only explanation as to why the Hummer drove off Malakwa Road is the one offered by Mr. De Bortoli. He says that his evasive manoeuvre may have been performed negligently, but it was no more than a single momentary error of judgment, which is not sufficient to attract criminal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Given the lack of reliability of the evidence of the three children, Mr. De Bortoli argues that even if I do not accept his explanation, I cannot conclude that his actions merit criminal responsibility. So long as it is possible that he was taking evasive action to miss children on the road, the Crown has not proved beyond a reasonable doubt that Mr. De Bortoli drove in a manner that was a marked departure from the standard of care a reasonable person would observe in his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249(1)(a)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249. (1) Every one commits an offence who operates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Bennett J.A. noted in </w:t>
      </w:r>
      <w:r>
        <w:rPr>
          <w:rFonts w:ascii="arial" w:eastAsia="arial" w:hAnsi="arial" w:cs="arial"/>
          <w:i/>
          <w:color w:val="000000"/>
          <w:sz w:val="20"/>
          <w:lang w:val="en-US" w:eastAsia="en-US" w:bidi="ar-SA"/>
        </w:rPr>
        <w:t>R. v. De Ciantis</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2011 BCCA 437</w:t>
        </w:r>
      </w:hyperlink>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Much judicial ink has been spilled over the past few decades in determining what constitutes the act of dangerous driving and formulating the fault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For some reason, most of that ink has been spilled in British Columbia. The leading case remains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xml:space="preserve">, where Charron J. restated the applicable tests for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She emphasized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made out by the manner in which the accused drives, not by the consequences of that driving. At para. 43, she noted that the test for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set out in the language in the section, while the test for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a modified objective test. In order to satisfy that test, the Crown must prove that the accused's manner of driving was a marked departure from the norm. She says at para. 43 of her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 In order to clarify the uncertainties I have mentioned, it may assist to restate the summary of the test in terms of both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I respectfully disagree with the Chief Justice that the test for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defined in terms of a marked departure from the normal manner of driving...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must be defined, rather, by the words of the enactment. Of course, conduct that is found to depart markedly from the norm remains necessary to make out the offence because nothing less will support the conclusion that the accused acted with sufficient blameworthiness, in other words with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to warrant conviction. In addition, it may be useful to keep in mind that while the modified objective test calls for an objective assessment of the accused's manner of driving, evidence about the accused's actual state of mind, if any, may also be relevant in determining the presence of sufficient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I would therefore restate the test reproduced above as follows: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Actus Reus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trier of fact must be satisfied beyond a reasonable doubt that, viewed objectively, the accused was, in the words of the section, driving in a manner that was "dangerous to the public, having regard to all the circumstances, including the nature, condition and use of the place at which the motor vehicle is being operated and the amount of traffic that at the time is or might reasonably be expected to be at that place".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Mens 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trier of fact must also be satisfied beyond a reasonable doubt that the accused's objectively dangerous conduct was accompanied by the required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In making the objective assessment, the trier of fact should be satisfied on the basis of all the evidence, including evidence about the accused's actual state of mind, if any, that the conduct amounted to a marked departure from the standard of care that a reasonable person would observe in the accused's circumstances. Moreover, if an explanation is offered by the accused, then in order to convict, the trier of fact must be satisfied that a reasonable person in similar circumstances ought to have been aware of the risk and of the danger involved in the conduct manifested by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Dangerous driving cases have proved so challenging for courts because of the difficulty in distinguishing between driving which is merely negligent and driving which is sufficiently dangerous to attract criminal sanction.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2012 SCC 26</w:t>
        </w:r>
      </w:hyperlink>
      <w:r>
        <w:rPr>
          <w:rFonts w:ascii="arial" w:eastAsia="arial" w:hAnsi="arial" w:cs="arial"/>
          <w:color w:val="000000"/>
          <w:sz w:val="20"/>
          <w:lang w:val="en-US" w:eastAsia="en-US" w:bidi="ar-SA"/>
        </w:rPr>
        <w:t xml:space="preserve"> at para. 2, Cromwell J. emphasized the importance of paying careful attention to the fault element of the offence: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Defining and applying this fault element is important, but also challenging, given the inherently dangerous nature of driving. Even simple carelessness may result in tragic consequences which may tempt judges and juries to unduly extend the reach of the criminal law to those responsible. Yet, as the Court put in R. v. Beatty, </w:t>
      </w:r>
      <w:hyperlink r:id="rId829" w:history="1">
        <w:r>
          <w:rPr>
            <w:rFonts w:ascii="arial" w:eastAsia="arial" w:hAnsi="arial" w:cs="arial"/>
            <w:i/>
            <w:color w:val="0077CC"/>
            <w:sz w:val="20"/>
            <w:u w:val="single"/>
            <w:shd w:val="clear" w:color="auto" w:fill="FFFFFF"/>
            <w:lang w:val="en-US" w:eastAsia="en-US" w:bidi="ar-SA"/>
          </w:rPr>
          <w:t>2008 SCC 5</w:t>
        </w:r>
      </w:hyperlink>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at para. 34, "If every departure from the civil norm is to be criminalized, regardless of the degree, we risk casting the net too widely and branding as criminals persons who are in reality not morally blameworthy." Giving careful attention to the fault element of the offence is essential if we are to avoid making criminals out of the merely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at para. 47, Charron J. describes the proper approach to the determination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determining the question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the court should consider the totality of the evidence, including evidence, if any, about the accused's actual state of mind. As discussed at length above,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 for the offence of dangerous driving will be satisfied by applying a modified objective test. This means that, unlike offences that can only be committed if the accused possesses a subjective form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it is not necessary for the Crown to prove that the accused had a positive state of mind, such as intent, recklessness or wilful blindness. Of course, this does not mean that the actual state of mind of the accused is irrelevant. For example, if proof is made that a driver purposely drove into the path of an oncoming vehicle in an intentionally dangerous manner for the purpose of scaring the passengers of that vehicle or impressing someone in his own vehicle with his bravado, the requirement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will easily be met. One way of looking at it is to say that the subjective mens rea of intentionally creating a danger for other users of the highway within the meaning of s. 249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constitutes a "marked departure" from the standard expected of a reasonably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Supreme Court of Canada once again revisited the issue of the fault element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The Court affirmed the test as set out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There are two lessons to take from the decision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which are relevant to the circumstances in the present case. First, it is an error to infer that a driver's conduct displays a marked departure from the standard of care of a reasonable person in the circumstances from the mere fact that the driver committed a dangerous act. As Cromwell J. explains at para. 44, before concluding that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element has been established, a trial judge must conduct a meaningful inquiry into whether the driver displayed a marked departure from the standard of care to be expected of a reasonable person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second lesson to take from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is that advertent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inferred from a dangerous act. There must be evidence to support a conclusion that the accused driver actually foresaw the risk and decided to take it: see para. 51.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the accused proceeded from a stop sign in an awkward intersection in reduced visibility into the path of an oncoming tractor-trailer unit. While the action was objectively dangerous, there was no evidence from which the Court could conclude that Mr. Roy actually foresaw and decided to take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Settle</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2010 BCCA 426</w:t>
        </w:r>
      </w:hyperlink>
      <w:r>
        <w:rPr>
          <w:rFonts w:ascii="arial" w:eastAsia="arial" w:hAnsi="arial" w:cs="arial"/>
          <w:color w:val="000000"/>
          <w:sz w:val="20"/>
          <w:lang w:val="en-US" w:eastAsia="en-US" w:bidi="ar-SA"/>
        </w:rPr>
        <w:t xml:space="preserve">, the court considered whether a trier of fact may take into consideration the consumption of alcohol by an accused in determining if he or she is guilty of dangerous driving where the accused is or has been acquitted of impaired driving. As I have already acquitted Mr. De Bortoli of impaired driving, this issue is relevant to this case. The court concluded that evidence of an accused's state of mind, including the voluntary consumption of alcohol prior to driving, may be considered by the court when determining if the Crown has proved that the accused possessed the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para. 55, the court explained that such evidence may be considered, along with the evidence of driving conduct because it "may demonstrate a 'pattern' of conduct that shows a disregard for the safety of others using the highway, which in its totality may be sufficient to establish a marked departure from the standard of a reasonably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three children were Erica Bairstow, who was 13 at the time of the incident, Andrew Kowalchuk, who was 12, and Tristan Begg who was 11. Ms. Bairstow was a very impressive witness. She had an excellent recollection of the events of the afternoon in question. She answered questions clearly and directly. I have no hesitation in accepting the substance of her evidence. Andrew Kowalchuk was less certain regarding his recollection of the events. However, his testimony regarding critical factual matters was generally consistent with Ms. Bairstow's evidence. Tristan Begg's testimony was also generally consistent with that of Ms. Bairstow, although his description of the Hummer's movements after it passed the children cannot be accurate. I will briefly summarize their evidence and set out my critical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Bairstow said that the three children had been riding bikes for some time and were heading home late on the Sunday afternoon. It was sunny and hot. The roads were dry. The children had reached the entrance to the driveway to her house and she had stopped riding when she heard the loud revving of a car engine. She saw the bright yellow Hummer as it drove up Malakwa Road and swerved towards them. It passed within one to three feet of the children and then drove back to the other side of the road. She thought it was travelling 80 to 90 kilometres per hour, which she described as a highway speed. She was certain that it was going much faster than cars usually drive on Malakwa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vehicle went into the ditch just before Cemetery Road and then became airborne and crashed through the chain-link fence that marked the school boundary. There were no other vehicles, people, or animals on the road. The Hummer stopped after it crashed into the corner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cross-examination, she indicated as they went up Malakwa Road the children travelled primarily on the left side of the road. She was certain that she had stopped riding when she first heard and saw the Hummer. She was reasonably certain that the three children were at the left margin of the pavement when the Hummer drove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Andrew Kowalchuk testified that they were on the entrance to the Bairstow driveway when they first heard the rev of the Hummer. He said the children had stopped riding when they heard the vehicle. He thought it came within six to eight inches of him as it sped past. He estimated the speed of the vehicle at 90 kilometres per hour. He based that estimate on the cars he saw driving on the Trans Canada Highway. The highway is located within a block or two of where the accident took place, so the children were familiar with vehicles on the highway. He said that the Hummer went as high as five feet in the air when it became airborne after passing through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cross-examination, he was less certain about his evidence. He could not say when the children had crossed to the left side of the road and admitted that they may have been quite spread out as they rode up Malakwa Road. He also indicated that Tristan Begg was behind him, and he was not certain that Tristan had crossed the road when they first heard the Hummer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Tristan Begg said that when he first saw the Hummer, Erica was on the driveway, while he and Andrew were on the edge of the pavement. None of them were riding their bikes at the time. He said that the Hummer swerved towards them and that it continued to swerve back and forth several times as it went up the road. He thought it looked like the driver was drunk. The vehicle drove within 30 inches of Mr. Begg.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was uncertain about the speed of the vehicle, but thought it was travelling faster than 60 kilometres per hour. It made a sudden swerve to the right as it approached Cemetery Road and became airborne before it crashed into the fence. He heard the car over-revving as it became airborne.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he said that they rode up the left side of the road all the way from the highway. He admitted that sometimes he rides up the right side of the road and knew that he was supposed to ride on that side. He was cross-examined on his statement to the police in which he said that they had skidded their bikes off the road after the Hummer went by. He agreed that sounded as if their bikes were on the road when the Hummer drove past them. However, he insisted that he was not on his bike when the vehicle drove by and that he was, in fact, at the side of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addition to the children's evidence about the manner of driving, two neighbours, Willy Unruh and Tyler Heppner, both of whom went to the scene of the accident at the school after the crash, gave potentially relevant evidence. In addition, James Dunham, an automobile service technician, gave expert evidence regarding the condition of the Hummer.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Unruh said that he saw faint but very fresh tire tracks on the pavement. He said that the tracks were certainly from the Hummer. They were not skid marks, but the kind of track left by rubber tires which are visible for a short period of time. He said the tire tracks indicated that the Hummer had travelled well over to the left side of the road as it approached the Bairstow driveway, and then went back to the right side of the road about a hundred feet past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reject Mr. Unruh's evidence regarding the tire tracks. I do not accept that he saw faint tire tracks on the road which showed the path of the vehicle. No supporting evidence was presented regarding the theory or existence of such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Heppner was outside his house, which is across the street and about 120 feet from the school. He heard a loud revving of an engine, followed immediately by the sound of metal crashing, and shortly after that a loud explosion. He could not see the school or the Hummer from where he was located. I accept Mr. Heppner's evidence. The evidence is significant because his description is consistent with what the children described. He heard the kind of over-revving of an engine which would be heard when a vehicle is airborne. I accept that the sound described by Mr. Heppner was the revving of the Hummer as it became airborne. Of course, the sounds he heard immediately after that were the collision with the chain-link fence (the "metal crashing") and the school (the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Dunham examined the Hummer after the accident and concluded that it was in good mechanical condition at the time of the accident. The vehicle had no mechanical defects which could explain the mishap. His opinion was not challenged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De Bortoli is critical of the evidence of the children because of alleged inconsistencies. They were cross-examined extensively about details of the bike riding: were they on or off their bikes; were they moving or stationary; were their wheels on or off the pavement; and were they crossing the road? While their answers were not entirely consistent and each of them agreed that they could be incorrect about some details, there was fundamental consistency about a number of significant facts. The testimony regarding these essential facts was not seriously challenged by the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critical evidence which I accept and find as factual includes the following: The three children were at or near the left side of the road by the driveway to the Bairstow residence when the Hummer passed them. The Hummer was travelling at an unusually high rate of speed for Malakwa Road. I conclude the speed was in the range of 70 to 80 kilometres per hour. The Hummer was driving on the wrong side of the road and came very close to striking the children. After the Hummer drove past the children, it moved back onto the right side of the road, and then drove into the ditch on the south side of Cemetery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would have taken a few seconds for Mr. De Bortoli to travel the distance from when he first saw the children until he drove off the road. He did not slow down during that period of time. When the Hummer left the ditch and crossed Cemetery Road, it became airborne as a result of the speed it was travelling and the Hummer crashed into the school while still travelling at considerable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Of course, I must consider the explanation offered by Mr. De Bortoli in the voluntary statement provided to the police. I have already described the essential assertions made by him; however, the substance of his statement bears repeating. He stated he was "not going particularly fast", maybe 50 kilometres per hour. He thought he saw a woman with two children who were riding bikes, but later realized it was three children. According to the diagram he prepared, the children were on Malakwa Road, just north of the intersection with Cemetery Road. As he approached, he saw them weaving back and forth. He was watching them closely, as they seemed to be having a hard time climbing the hill on their bikes. They were talking and he thought they could not hear his vehicle. He said his truck is not 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"little kid" who was four to five years old "weaved over" the centre of the road. When that happened, Mr. De Bortoli did not have any room on the road to avoid the child, and so he yanked his steering wheel over. He then thought he saw a vehicle coming on Cemetery Road and he headed straight for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reject Mr. De Bortoli's evidence in its entirety. Given the conclusions I have reached based on the evidence of the children, most of the averments in his statement are patently false. There is no doubt that the three children were at the entrance to the Bairstow driveway. They all testified to that fact and were not shaken in their testimony on that issue. The photographic evidence, and in particular the Google Earth photograph, indicate that the driveway was a considerable distance from Cemetery Road and the school. Some of the witnesses gave estimates of a distance along the road. While I cannot determine the distance from the driveway to the school with precision, it is approximately 100 metres. In other words, the three children were not in close proximity to the school or Cemetery Road, contrary to Mr. De Bortoli's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must also conclude that Mr. De Bortoli did not drive off of the Malakwa Road to avoid the children. Rather, he drove off the road some distance after he drove past the children when they were standing at the Bairstow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accept that he came close to striking the children, but when he did so, he was near the left shoulder of the road. I conclude there was ample room for him to move back to his side of the road. Further, the suggestion that he was driving at 50 kilometres per hour is patently false. I accept the evidence of the children that the Hummer was travelling much faster than the cars they usually saw on Malakwa Road and was going at a speed similar to cars they saw on the adjacent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Hummer could not have become airborne unless it was travelling at a rate of speed well in excess of the speed limit. All three children were certain the vehicle left the ground, and their evidence was supported by the evidence of Mr. Heppner.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Even if I accepted Mr. De Bortoli's description about the location of the children and the speed of his vehicle, the balance of his explanation is nonsensical. He was driving at the speed limit up a hill, while closely watching young children weaving back and forth on bikes. It is inconceivable that he could swerve off the road without applying his brakes. It is completely improbable that he could continue to drive through a ditch, across a road and a field, and become embedded in a stationary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summary, I reject Mr. De Bortoli's explanation in its entirety. It does not raise a reasonable doubt regarding the facts as I have found them in relation to his manner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now turn to the application of the law to the facts I have found. For the reasons that follow, I have concluded that the Crown has met the burden of proof with regard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required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1: Did Mr. De Bortoli drive his vehicle in a</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manner that, viewed objectively, was dangerous to the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public, having regard to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Whether or not the manner of driving was objectively dangerous to the public having regard to all the circumstances requires consideration of the manner of driving in relation to the nature, condition, and use of the place in which the motor vehicle was operated and the amount of traffic that might reasonably be expected to be at that place. Even though Malakwa is right beside the Trans Canada Highway, it is a sleepy, rural municipality. Malakwa Road travels through a residential area adjacent to an elementary school. It was a hot Sunday afternoon in early June. Mr. De Bortoli was very familiar with the area, as he lived within two blocks of the school. He should reasonably have expected that there would be people from the neighbourhood driving, walking, or cycling on the road. He would not have expected many users on the road, but those he came across were likely to be moving in a relaxed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Users of the roadway would not expect a vehicle to be driving at a speed well in excess of the speed limit. The presence of the elementary school should have caused a driver to anticipate that there might be children playing at the school or nearby. In these circumstances, someone driving on the road in the position of Mr. De Bortoli should have proceeded at or near the speed limit; in other words, slowly and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fact, Mr. De Bortoli did neither. He proceeded at a speed well in excess of the speed limit, drove on the wrong side of the road, and then veered off the road, became airborne as he drove through a ditch and across a school field. Finally, he drove into the building and ended up embedded in the school wall. He did not slow down or brake when he saw three children on the road, and he did not slow down as he drove off the driveway and sped towards the school. His driving was objectively dangerous to the public. He drove in a manner that was dangerous to other users of the road, including cyclists. In addition, when he drove across Cemetery Road and the ditch at a rapid rate of speed and across the schoolyard into the school, he endangered potential users of the schoolyard and building. It was fortunate there were no children playing in the schoolyard and no one in the school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De Bortoli argued that the consequences of the driving, the collision with the school, should not be used to draw conclusions about the manner of driving. However, in the circumstances of this case, there is no need to focus on the consequences. It is easy to focus on the manner of driving. I had the benefit of three excellent witnesses who described the manner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addition, the consequence of Mr. De Bortoli's driving was a collision at a high speed with a building that is some distance from the travelled roadway. That is a fact that I can take into account when determining the manner of driving. In that sense, this case is distinguishable from cases like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where there were tragic consequences from a motor vehicle collision between two vehicles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De Bortoli also relies on the decision in </w:t>
      </w:r>
      <w:r>
        <w:rPr>
          <w:rFonts w:ascii="arial" w:eastAsia="arial" w:hAnsi="arial" w:cs="arial"/>
          <w:i/>
          <w:color w:val="000000"/>
          <w:sz w:val="20"/>
          <w:lang w:val="en-US" w:eastAsia="en-US" w:bidi="ar-SA"/>
        </w:rPr>
        <w:t>R. v. Lokken</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2012 SKPC 100</w:t>
        </w:r>
      </w:hyperlink>
      <w:r>
        <w:rPr>
          <w:rFonts w:ascii="arial" w:eastAsia="arial" w:hAnsi="arial" w:cs="arial"/>
          <w:color w:val="000000"/>
          <w:sz w:val="20"/>
          <w:lang w:val="en-US" w:eastAsia="en-US" w:bidi="ar-SA"/>
        </w:rPr>
        <w:t xml:space="preserve">, where the Provincial Court judge concluded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had not been established, even though the accused's vehicle was seen driving at a very high rate of speed on a highway sometime prior to the accident which gave rise to the charge. The judge arrived at that conclusion because there was no reliable evidence describing what happened once the accused's vehicle drove down the main street of town and struck a tree. The lack of reliable evidence meant the judge could not "conclude nor infer based on the evidence" what happened on the city street just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Of course, I do not have that difficulty here. I have accepted the evidence of the three children who witnessed the manner of driving. That evidence, combined with the evidence of the collision with the school, enable me to make sufficient findings of fact to conclude that the driving was objectively dangerous to the public.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2: Has the Crown proved that Mr. De Bortoli drove in a manner that was a marked departure from the standard of care that a reasonable person would observe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De Bortoli argues I must conclude, on the evidence, that he saw the children on the road and was taken by surprise by the sudden movement of the youngest child into his lane of travel. When that occurred, he reacted by swerving to miss the child. His sudden reaction took his vehicle off the road and ultimately into a collision with the school. He argues that swerving off of the pavement in order to avoid striking a cyclist is not a marked departure from the standard of care that a reasonable person would observe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While he may have overreacted and may have performed the manoeuvre negligently, his actions cannot possibly, he says, satisfy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requirements for the offence.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overreaction in an emergent situation cannot amount to a marked departure from the standard of care of the reasonably prudent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have reviewed the cases relied upon by Mr. De Bortoli, including </w:t>
      </w:r>
      <w:r>
        <w:rPr>
          <w:rFonts w:ascii="arial" w:eastAsia="arial" w:hAnsi="arial" w:cs="arial"/>
          <w:i/>
          <w:color w:val="000000"/>
          <w:sz w:val="20"/>
          <w:lang w:val="en-US" w:eastAsia="en-US" w:bidi="ar-SA"/>
        </w:rPr>
        <w:t>R. v. Adams</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2012 PECA 15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Desilets</w:t>
      </w:r>
      <w:r>
        <w:rPr>
          <w:rFonts w:ascii="arial" w:eastAsia="arial" w:hAnsi="arial" w:cs="arial"/>
          <w:color w:val="000000"/>
          <w:sz w:val="20"/>
          <w:lang w:val="en-US" w:eastAsia="en-US" w:bidi="ar-SA"/>
        </w:rPr>
        <w:t xml:space="preserve"> (3 December 2010), Vernon 43997 (B.C.S.C.), as well as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De Bortoli says that if I accept that he saw the children on the road and tried to avoid them, this case is similar to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where the accused negligently performed driving manoeuvres which, by themselves, were not a marked departure from the standard of care. Mr. De Bortoli says that if I do not accept his explanation about swerving to avoid the children, then the case has similarities to </w:t>
      </w:r>
      <w:r>
        <w:rPr>
          <w:rFonts w:ascii="arial" w:eastAsia="arial" w:hAnsi="arial" w:cs="arial"/>
          <w:i/>
          <w:color w:val="000000"/>
          <w:sz w:val="20"/>
          <w:lang w:val="en-US" w:eastAsia="en-US" w:bidi="ar-SA"/>
        </w:rPr>
        <w:t>Desilets</w:t>
      </w:r>
      <w:r>
        <w:rPr>
          <w:rFonts w:ascii="arial" w:eastAsia="arial" w:hAnsi="arial" w:cs="arial"/>
          <w:color w:val="000000"/>
          <w:sz w:val="20"/>
          <w:lang w:val="en-US" w:eastAsia="en-US" w:bidi="ar-SA"/>
        </w:rPr>
        <w:t xml:space="preserve">, where an accident occurred for no apparent reason other than excessive speed, or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where the accident occurred as a result of a momentary unexplained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either case, he argues, I must conclude that the Crown has failed to prove that he had the necessary intent. If he was performing an avoidance manoeuvre, then I should conclude that his driving was not a marked departure from the norm. If I do not accept his explanation, then all I can conclude from the circumstances is that Mr. De Bortoli experienced an unexplained momentary lapse of attention. In either situation, he argues that I cannot infer from the collision with the school that there was a marked departure from the standard of care a reasonable person would observe.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reject Mr. De Bortoli's arguments. When I apply the test to the circumstances of this case, I find that Mr. De Bortoli did drive in a manner that was a marked departure from the standard of care a reasonable person would have observed in his circumstances. Therefore, Mr. De Bortoli's conduct is sufficient to attract criminal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test requires me to review the totality of the evidence, including any evidence about the actual state of mind of Mr. De Bortoli. I must compare the conduct, which I have characterized as dangerous driving, against the standard expected of a reasonably prudent driver, to see if the departure from that norm is serious enough to merit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What constitutes a marked departure is a matter of degree. As noted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 There is no doubt that conduct occurring in a few seconds can constitute a marked departure from the standard of a reasonable person. Nonetheless, as Doherty J.A. aptly remarked in </w:t>
      </w:r>
      <w:r>
        <w:rPr>
          <w:rFonts w:ascii="arial" w:eastAsia="arial" w:hAnsi="arial" w:cs="arial"/>
          <w:i/>
          <w:color w:val="000000"/>
          <w:sz w:val="20"/>
          <w:lang w:val="en-US" w:eastAsia="en-US" w:bidi="ar-SA"/>
        </w:rPr>
        <w:t>Willock</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[2006] O.J. No. 2451</w:t>
        </w:r>
      </w:hyperlink>
      <w:r>
        <w:rPr>
          <w:rFonts w:ascii="arial" w:eastAsia="arial" w:hAnsi="arial" w:cs="arial"/>
          <w:color w:val="000000"/>
          <w:sz w:val="20"/>
          <w:lang w:val="en-US" w:eastAsia="en-US" w:bidi="ar-SA"/>
        </w:rPr>
        <w:t xml:space="preserve">, "conduct that occurs in such a brief timeframe in the course of driving, which is otherwise proper in all respects, is more suggestive of the civil rather than the criminal end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continuum"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I examine the whole of the evidence, Mr. De Bortoli drove at a speed well over the speed limit, up a quiet road, on a Sunday afternoon. He drove on the wrong side of the road and almost struck three cyclists who were at the edge of the pavement. He then continued at the same speed further up the road, where he drove off into a ditch. He did not slow down as his vehicle was launched into the air, across another roadway, continued to drive at speed into a school that was well off the road. A reasonably prudent driver would not have travelled up Malakwa Road at or near the speed limit, would have stayed on the right side of the road away from the children, would have not continued to travel at speed if he or she came close to the children, and would have stayed on Malakwa Road as the vehicle approached Cemetery Road and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manner in which Mr. De Bortoli drove was a marked departure from that standard of care. From that conclusion, I can infer the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However, my analysis requires further explanation, particularly with regard to Mr. De Bortoli's actual state of mind. He described how he performed a sudden move to avoid striking one of the cyclists. I have rejected this evidence for the reasons set out above. I concluded that his explanation has no merit and that it does not raise a reasonable doubt as to what occurred. He drove off the road well after passing the children at a speed far faster than he asserted he was travelling. Further, he did not slow down or swerve directly off the road as a result of seeing the children as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his explanation does not raise a reasonable doubt as to what occurred, it cannot raise a reasonable doubt as to his subjective intent. To describe it another way, this case is distinguishable from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where the accused may not have appreciated the risk associated with pulling out from the position in which he was stopped on the highway. Here Mr. De Bortoli's driving was such that any reasonable person in his circumstances should have appreciated the risk of harm to members of the public. He drove up Malakwa Road on the wrong side of the street, failed to slow down, drove off the road without braking, and continued at a high speed, over Cemetery Road, through the school field, and into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An important aspect of Mr. De Bortoli's driving is that the conduct I have characterized as dangerous took place over several seconds. It is more than a momentary lapse of judgment. It was not a single manoeuvre that was ill-timed or careless. The entire course of his driving, from the moment the children first heard his Hummer until the vehicle struck the school, was conduct that could be characterized as dangerous. When the totality of that conduct is considered, it amounts to a marked departure from the norm. It is very different from the driving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where the accused's conduct was within the standard of a reasonable driver, except for the momentary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inattention which resulted in a serious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fact that I have rejected Mr. De Bortoli's explanation does not make this case analogous to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where the courts did not have evidence to explain the driving conduct.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the accused believed he must have fallen asleep or lost consciousness.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the accused had no memory of what happened when he pulled his vehicle out in the path of the tractor trailer. Here Mr. De Bortoli has given an explanation that I have rejected. His explanation is not credible. He did not fall asleep or lose consciousness, according to his statement. He does say that he has a memory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these circumstances, I can conclude that he acted either recklessly or advertently. I must arrive at this conclusion because Mr. De Bortoli was conscious and awake. He saw the children on the road. In spite of that, he drove at a high speed on the wrong side of the road and then left the road, drove through a ditch at a high speed, and continued at that speed when he was well past the children, as he drove into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Finally, I should note that I have considered the Crown's argument that the evidence of alcohol consumption by Mr. De Bortoli while he was driving is relevant to his state of mind. As noted in </w:t>
      </w:r>
      <w:r>
        <w:rPr>
          <w:rFonts w:ascii="arial" w:eastAsia="arial" w:hAnsi="arial" w:cs="arial"/>
          <w:i/>
          <w:color w:val="000000"/>
          <w:sz w:val="20"/>
          <w:lang w:val="en-US" w:eastAsia="en-US" w:bidi="ar-SA"/>
        </w:rPr>
        <w:t>Settle</w:t>
      </w:r>
      <w:r>
        <w:rPr>
          <w:rFonts w:ascii="arial" w:eastAsia="arial" w:hAnsi="arial" w:cs="arial"/>
          <w:color w:val="000000"/>
          <w:sz w:val="20"/>
          <w:lang w:val="en-US" w:eastAsia="en-US" w:bidi="ar-SA"/>
        </w:rPr>
        <w:t>, evidence of the voluntary consumption of alcohol prior to driving may, along with dangerous driving behaviour, demonstrate a pattern of conduct that shows a disregard for the safety of others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Pursuant to </w:t>
      </w:r>
      <w:r>
        <w:rPr>
          <w:rFonts w:ascii="arial" w:eastAsia="arial" w:hAnsi="arial" w:cs="arial"/>
          <w:i/>
          <w:color w:val="000000"/>
          <w:sz w:val="20"/>
          <w:lang w:val="en-US" w:eastAsia="en-US" w:bidi="ar-SA"/>
        </w:rPr>
        <w:t>Settle</w:t>
      </w:r>
      <w:r>
        <w:rPr>
          <w:rFonts w:ascii="arial" w:eastAsia="arial" w:hAnsi="arial" w:cs="arial"/>
          <w:color w:val="000000"/>
          <w:sz w:val="20"/>
          <w:lang w:val="en-US" w:eastAsia="en-US" w:bidi="ar-SA"/>
        </w:rPr>
        <w:t>, I have considered the evidence of Cst. Wilke. She noted an odour of alcohol on Mr. De Bortoli's breath, as well as the open beer can in the console. I conclude that this does provide some evidence that Mr. De Bortoli was willing to conduct himself in a way which shows disregard for others. I should note that I reject Mr. De Bortoli's explanation that he was taking the beer can home to his young daughter to show her how the mountain on the can turns blue when it is cold. This is an excuse that simply does not meet the smell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However, the evidence of alcohol consumption by Mr. De Bortoli when he was driving was very limited. While I have taken it into account, I would have arrived at the same conclusion about the manner of Mr. De Bortoli's driving without that additional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summary, I have concluded from all of the evidence that the manner in which Mr. De Bortoli drove was a marked departure from the standard expected of a reasonably prudent driver. The degree to which his driving conduct departed from that standard is sufficient to attract criminal responsibility. That allows me to conclude that the Crown has established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ingredient of the offence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I am able to go further in this case. I reject the explanation offered by Mr. De Bortoli as to why he collided with the school. I know from his evidence that he was conscious and awake. The proper inference to draw about his subjective intent, when I consider all of the evidence, is that for a sustained period he drove recklessly and with wilful inattention to the surrounding circumstances. In other words, I have no doubt that his conduct was morally blameworthy.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conclusion, I find Mr. De Bortoli guilty of the offence of dangerous driving pursuant to s. 249(1)(a)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That concludes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Savvas v. Green, [2008] B.C.J. No. 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Caldwell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M92375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545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Sophia Savvas and John Savvas, Plaintiffs, and David Frederick Green,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28"/>
      <w:bookmarkEnd w:id="274"/>
      <w:r>
        <w:rPr>
          <w:rFonts w:ascii="arial" w:eastAsia="arial" w:hAnsi="arial" w:cs="arial"/>
          <w:b/>
          <w:color w:val="000000"/>
          <w:sz w:val="20"/>
          <w:lang w:val="en-US" w:eastAsia="en-US" w:bidi="ar-SA"/>
        </w:rPr>
        <w:t>Civil litigation — Civil procedure — Parties — Adding or substituting — After expiry of limitation period — Application by the plaintiffs to add a new defendant allowed — The parties were involved in a motor vehicle accident — The new defendant was the driver of the plaintiffs' vehicle — After the expiration of the limitation period, a witness provided a statement that suggested the new defendant was responsible for the accident — There was no prejudice to the new defendant, save for the loss of the limitation defence — The court found that the prejudice to the plaintiffs outweighed the prejudice to the new defendant.</w:t>
      </w:r>
    </w:p>
    <w:p>
      <w:pPr>
        <w:jc w:val="both"/>
        <w:rPr>
          <w:rFonts w:ascii="arial" w:eastAsia="arial" w:hAnsi="arial" w:cs="arial"/>
          <w:sz w:val="20"/>
          <w:lang w:val="en-US" w:eastAsia="en-US" w:bidi="ar-SA"/>
        </w:rPr>
      </w:pPr>
      <w:bookmarkStart w:id="275" w:name="Counsel_38"/>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K.A. Murray, R. Fister.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M.G. Voros.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6" w:name="Judgment_38"/>
      <w:bookmarkEnd w:id="276"/>
      <w:r>
        <w:pict>
          <v:line id="_x0000_s1214"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7" w:name="MASTER CALDWELL"/>
            <w:bookmarkEnd w:id="277"/>
            <w:r>
              <w:rPr>
                <w:rFonts w:ascii="arial" w:eastAsia="arial" w:hAnsi="arial" w:cs="arial"/>
                <w:b/>
                <w:color w:val="000000"/>
                <w:sz w:val="30"/>
                <w:lang w:val="en-US" w:eastAsia="en-US" w:bidi="ar-SA"/>
              </w:rPr>
              <w:t>MASTER CALDWELL</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plaintiffs to add a new defendant to this proceeding well outside of the two year limitation period and outside of the "two years and one year to serve" guideline which is normally applied in such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proposed new defendant was notified of the application and was represented by counsel who opposed the order sought. It was acknowledged by counsel that on the facts of this case there is no actual prejudice to the proposed defendant save and except for the loss of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were passengers in a vehicle driven by their sister, the proposed new defendant. That vehicle was "rear-ended" by a vehicle driven by the original defendant, Green. The plaintiffs statements to ICBC indicated that their vehicle was stopped when it was struck by Mr. Green's vehicle. Based upon similar information as related to him by his clients, plaintiffs counsel commenced action against Mr. Green. Liability was not admitted by the defendant, Green, but rather alleges that the motor vehicle accident and any injuries were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however no further details of such allegations are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February of this year, after the expiry of the limitation period plus one year, counsel for the defendant advised plaintiffs counsel that a witness to the accident had provided a statement to ICBC on November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contents of that statement raise the possibility that the driver of the plaintiffs vehicle, i.e. the intended new defendant, may have been wholly or partly responsible for the accident. No such allegation was contained in the Statement of Defence, however, the identity of the witness and her phone number were noted on the original Accident Report and it appears that she may well have provided a similar statement to the police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Evidence is provided by Mr. Soo, an adjuster employed by ICBC. Mr. Soo states at para. 6-8 of his affidavit number two:</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the adjuster assigned to investigate the claim brought against Roza Savvas.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June 6, 2003, I met with Roza Savvas and obtained from her a statement with respect to how the motor vehicle accident happened. Now produced and shown to me and marked </w:t>
      </w:r>
      <w:r>
        <w:rPr>
          <w:rFonts w:ascii="arial" w:eastAsia="arial" w:hAnsi="arial" w:cs="arial"/>
          <w:b/>
          <w:color w:val="000000"/>
          <w:sz w:val="20"/>
          <w:lang w:val="en-US" w:eastAsia="en-US" w:bidi="ar-SA"/>
        </w:rPr>
        <w:t>Exhibit "A"</w:t>
      </w:r>
      <w:r>
        <w:rPr>
          <w:rFonts w:ascii="arial" w:eastAsia="arial" w:hAnsi="arial" w:cs="arial"/>
          <w:color w:val="000000"/>
          <w:sz w:val="20"/>
          <w:lang w:val="en-US" w:eastAsia="en-US" w:bidi="ar-SA"/>
        </w:rPr>
        <w:t xml:space="preserve"> to this my Affidavit is a true copy of that statement.</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separate adjuster with ICBC had been appointed to investigate the claim brought against Mr.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Accordingly, it is clear that Mr. Soo was not in fact the adjuster on this file but rather was the adjuster on another file arising from this accident and which involved a claim against Ms. Savvas, the intended new defendant herein. No evidence has been provided by the adjuster who did in fact have conduct of this particular file. Notwithstanding this fact, Mr. Soo's affidavit number two exhibits telephone conversation notes on file L322982-4 which is ICBC's reference for this matter naming Mr. Green as the defendant. Mr. Soo's notes appear to indicate that he advised plaintiffs counsel that liability was not being admitted, was still a live issue, and was being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One week earlier however, Mr. Soo wrote to plaintiffs counsel in this action and identified himself as "the ICBC adjuster assigned to this case". Nowhere does the material indicate that Mr. Soo ever advised plaintiff's counsel that he was Ms. Savvas' adjuster regarding the claim being pursued against her as he has sworn in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short it appears that everyone, including Mr. Soo and plaintiffs counsel were unclear, at the time of information exchange, as to which file involved which possible defendants. In this regard, it does not appear that plaintiffs counsel knew that there was a separate file, upon which Mr. Soo acted as the adjuster, and wherein there was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Ms. Roza Savvas. Perhaps this confusion could have been resolved by evidence from the adjuster who was actually assigned to the "Green" file at the outset, but no such evidence was placed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Roza Savvas admits that there is no prejudice to her save and except the loss of the limitation defence. It is clear that she was aware from the outset that the plaintiffs were pursuing a claim regarding injuries suffered in the accident. No evidence of Roza Savvas is tendered to suggest that she was unaware of a claim that she was at least partly liable for the collision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evidence before me I find that the prejudice to the plaintiffs outweighs the prejudice to the intended defendant and I exercise my discretion to add Roza Savvas as a defendant, to amend the style of cause accordingly and to grant the plaintiffs liberty to file the amended writ and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Each party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CALDWELL</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Strata Plan LMS 1400 v. Objekt Properties Corp., [2002] B.C.J. No. 2305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C995675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C.L.R. (3d)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M.P.L.R. (3d)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981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1400, plaintiff, and Objekt Properties Corp., Brenton Construction Ltd., Robert Leshgold, Architect, Jonathan Stovell, City of Vancouver, Reliance Holdings Ltd., Read Jones Christoffersen Ltd., A.V. Western Stucco Ltd., McLaughlin Construction, Jack Leshgold, Leiba Leshgold, Michael Brent Alston, Sally Ann F. Alston,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8" w:name="Keywords_29"/>
      <w:bookmarkEnd w:id="278"/>
      <w:r>
        <w:rPr>
          <w:rFonts w:ascii="arial" w:eastAsia="arial" w:hAnsi="arial" w:cs="arial"/>
          <w:b/>
          <w:color w:val="000000"/>
          <w:sz w:val="20"/>
          <w:lang w:val="en-US" w:eastAsia="en-US" w:bidi="ar-SA"/>
        </w:rPr>
        <w:t xml:space="preserve">Practice — Pleadings — Striking out pleadings — 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building construction approval.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9" w:name="Case Summary_28"/>
            <w:bookmarkEnd w:id="2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of Vancouver to have the action against it struck for failure to disclose a reasonable claim. The plaintiff Strata Plan LMS 1400 claimed against 13 defendants for damages for construction defects in a condominium development. The strata plan alleged that the City was negligent in its inspections of the building and failed in its duty to ensure that the building was constructed in compliance with City bylaws and the provincial and federal building codes. It also claimed that the City breached its duty to warn of defects and deficiencies. The City relied on the Vancouver Charter, which provided that it was not liable for failure to discover contraventions of the bylaws when it inspected buildings. The Charter enabled the City to give constructive notice of a building's contravention of a bylaw or regulation.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0" w:name="Holdings of Court_23"/>
            <w:bookmarkEnd w:id="28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the claims for failure to ensure that the building was constructed in compliance with the relevant legislation and negligent inspection would fail based on the Vancouver Charter. Those paragraphs were struck. However, it was not clear that the Charter extinguished a cause of action for failure to warn of a defect. Accordingly, that paragraph was not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1" w:name="Legislation Cited_18"/>
      <w:bookmarkEnd w:id="2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7"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19(24), 19(24)(a),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hyperlink r:id="rId849" w:history="1">
        <w:r>
          <w:rPr>
            <w:rFonts w:ascii="arial" w:eastAsia="arial" w:hAnsi="arial" w:cs="arial"/>
            <w:i/>
            <w:color w:val="0077CC"/>
            <w:sz w:val="20"/>
            <w:u w:val="single"/>
            <w:shd w:val="clear" w:color="auto" w:fill="FFFFFF"/>
            <w:lang w:val="en-US" w:eastAsia="en-US" w:bidi="ar-SA"/>
          </w:rPr>
          <w:t>S.B.C. 1953, c. 55, s. 294</w:t>
        </w:r>
      </w:hyperlink>
      <w:r>
        <w:rPr>
          <w:rFonts w:ascii="arial" w:eastAsia="arial" w:hAnsi="arial" w:cs="arial"/>
          <w:color w:val="000000"/>
          <w:sz w:val="20"/>
          <w:lang w:val="en-US" w:eastAsia="en-US" w:bidi="ar-SA"/>
        </w:rPr>
        <w:t>(8).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2" w:name="Counsel_39"/>
      <w:bookmarkEnd w:id="2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Garth M. Evans, for the plaintiff. D. Scott Lamb, for the defendants, Robert Leshgold, Architect, Jonathan Stovell, Reliance Holdings Ltd., Jack Leshgold and Leiba Leshgold. Brent D. Jordan, for the defendant, City of Vancouver.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3" w:name="Judgment_39"/>
      <w:bookmarkEnd w:id="283"/>
      <w:r>
        <w:pict>
          <v:line id="_x0000_s1219" style="position:absolute;z-index:2518415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November 5, 2002.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BROOKE J."/>
            <w:bookmarkEnd w:id="284"/>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City of Vancouver, seeks dismissal of the action against it pursuant to Rules 18A, 19(24) and 25(1) of the Rules of Court. The application is resisted by the plaintiff and by the defendants, Robert Leshgold, Architect, Jonathan Stovell, Reliance Holdings Ltd., Jack Leshgold and Leiba Leshgold.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the plaintiff claims against 13 defendants, including the defendant, City of Vancouver, for damages for construction defects in a condominium development undertaken between 1993 and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claims against the City of Vancouver are specifically set out in paragraphs 40 and 41 of the statement of claim, and generally against all of the defendants in paragraph 33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Paragraph 40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of Vancouver was negligent in its inspections of the Building and failed in its duty to ensure that the Building was constructed to and complied with the City of Vancouver Building By-laws, the British Columbia Building Code and the National Building Code and was further negligent in issuing the Occupancy Permit without ensuring that the Building had been constructed in compliance with the City of Vancouver Building By-laws, the British Columbia Building Code and the National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 41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breach of the duty of care owed to the Plaintiff by the City of Vancouver the Building was not constructed in accordance with the City of Vancouver Building By-laws, the British Columbia Building Code and the National Building Code which resulted in structural defects, water leaks, rotting and other damage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Paragraph 33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owe a duty to warn the Plaintiff of any potential or actual defects, deficiencies and/or damages in the construction of the Building. In breach of their duty to the Plaintiff, the Defendants, and each of them, failed to warn the Plaintiff of the Defects and Deficiencies which were known to the Defendants and each of them. As a result of the said failure to warn, the Plaintiff has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hearing of the notice of motion the defendant, City of Vancouver, abandoned its application under Rule 25(1), adjourned its application for summary trial under Rule 18A, and proceeded with its application under Rule 19(24). Rule 19(24) provides: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Hunt v. Carey Can.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the Supreme Court of Canada said this at p. 289: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City of Vancouver relies upon s. 294(8) of the 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or any officer or employee thereof, in inspecting and approving plans or in inspecting buildings, utilities, structures or other things requiring a permit for their construction, has no legal duty, on which a cause of action can be based, to ensure that plans, buildings, utilities, structures, or other things so constructed, comply with the by-laws of the city or any other enactment. The city, or any officer or employee thereof is not liable for damages of any nature, including economic loss, sustained by any person as a result of neglect or failure of the city or officer or employee thereof to discover or detect contraventions of the by-laws of the city or other enactment or from the neglect or failure, for any reason or in any manner, to enforce such a by-law or enactment or for any damage from a failure to recommend, or resolve to file a notice in the land title office pursuant to section 336D.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defendant, City of Vancouver, also relies upon the decision of the Court of Appeal in Kaiser v. Bufton's Flowers Ltd. </w:t>
      </w:r>
      <w:hyperlink r:id="rId850" w:history="1">
        <w:r>
          <w:rPr>
            <w:rFonts w:ascii="arial" w:eastAsia="arial" w:hAnsi="arial" w:cs="arial"/>
            <w:i/>
            <w:color w:val="0077CC"/>
            <w:sz w:val="20"/>
            <w:u w:val="single"/>
            <w:shd w:val="clear" w:color="auto" w:fill="FFFFFF"/>
            <w:lang w:val="en-US" w:eastAsia="en-US" w:bidi="ar-SA"/>
          </w:rPr>
          <w:t>(1995), 2 B.C.L.R. (3d) 85</w:t>
        </w:r>
      </w:hyperlink>
      <w:r>
        <w:rPr>
          <w:rFonts w:ascii="arial" w:eastAsia="arial" w:hAnsi="arial" w:cs="arial"/>
          <w:color w:val="000000"/>
          <w:sz w:val="20"/>
          <w:lang w:val="en-US" w:eastAsia="en-US" w:bidi="ar-SA"/>
        </w:rPr>
        <w:t xml:space="preserve"> where, at p. 93,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and purpose of s. 294(8) is to protect the City, a public entity, against liability arising out of a particular common law cause of action (see Nielsen v. Kamloops (City), </w:t>
      </w:r>
      <w:hyperlink r:id="rId46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The protection accorded by the legislation is related, not to the moment carelessness occurred, but to attempts subsequent to its enactment, to found a cause of action based on breach of a legal duty arising from such carelessness. However, unless such a cause of action was complete before the legislative enactment, the cause of action is abolished by the prospective effect of the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later on the same page: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on the plain meaning of the language of the section, the appellant's action against the City is barred because there was no cause of action in existence at the time the statute was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satisfied that the broad and inclusive language of s. 294(8) captures the claims set out in paragraphs 40 and 41 of the statement of claim, and that it is "plain and obvious" that the cause of action contained within those paragraphs of the statement of claim is abolished.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now turn to the more generalized claim against all of the defendants set out in paragraph 33 of the statement of claim. There it is said that the defendant, City of Vancouver, owed a duty to warn the plaintiff of any potential or actual defects in construction and that the defendant city failed to warn the plaintiff of any such defects which were known to the defendant, as a result of which the plaintiff has suffered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Paragraph 33 of the statement of claim should be amended to assert that the defendants knew (or perhaps should have known) of the alleged defects, and I proceed as if it had been so amended and material facts pled in support of each element of this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City of Vancouver, says that s. 294(8) is cast broadly enough to capture a cause of action based upon a failure to warn. The defendant, City of Vancouver, relies upon the last sentence of this subsection, which I paraphrase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 is not liable ... for any damage from a failure to recommend, or resolve to file a notice in the land title office pursuant to section 336D.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section, and I paraphrase, says this:</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during the course of carrying out his duties, the City Building Inspector observes a condition, with respect to ... a building ... that he considers</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a contravention of a by-law or regulation relating to the construction or safety of buildings ... or</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contravention is of a nature that a purchaser, unaware of the contravention, would suffer a significant loss or expense if the by-law were enforced against him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he may, in addition to any other action that he is authorized or permitted to take, recommend to Council that a resolution under subsection (2) be considered.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Council may confirm the recommendation of the City Building Inspector and may pass a resolution directing the City Clerk to file a notice in the land title office stating that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resolution relating to that land has been made under this section, and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information respecting it may be inspected at the offices of the City Clerk.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336D is permissible in nature and enables the City to give constructive notice to the world of a condition with respect to a building that may be in contravention of a building by-law or regulation. As such, it is a form of warning. The question is this: Is the exclusion of liability, as a result of failure to recommend or resolve to file a notice, sufficient to discharge the defendant, City of Vancouver, upon its duty to warn of a defect of which it knows (or reasonably should know)? The law is that a party possessed of knowledge of danger in the continuing use of a mechanical device has, from the moment that that party becomes seized of that knowledge, a duty to warn those to whom that mechanical device has been supplied. Moreover, the failure to warn constitutes an independent tort and renders the party liable for the economic loss directly attributable to the failure to warn (Rivtow Marine Limited v. Washington Iron Works, </w:t>
      </w:r>
      <w:hyperlink r:id="rId422" w:history="1">
        <w:r>
          <w:rPr>
            <w:rFonts w:ascii="arial" w:eastAsia="arial" w:hAnsi="arial" w:cs="arial"/>
            <w:i/>
            <w:color w:val="0077CC"/>
            <w:sz w:val="20"/>
            <w:u w:val="single"/>
            <w:shd w:val="clear" w:color="auto" w:fill="FFFFFF"/>
            <w:lang w:val="en-US" w:eastAsia="en-US" w:bidi="ar-SA"/>
          </w:rPr>
          <w:t>[1973] 6 W.W.R. 692</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I am satisfied that s. 294(8) extinguishes the liability of the City for damage arising from a failure to recommend or resolve to file a notice under s. 336D, I am not satisfied that it goes so far as to extinguish any cause of action for damages arising from a more generalized failure to warn of a defect of which the City knew (or should have known). My task is to determine whether it is "plain and obvious" that there is no cause of action on the facts alleged in the pleadings, which I must assume to be capable of proof. There is, in my opinion, a chance that the plaintiff might succeed in its claim arising out of the failure of the defendant, City of Vancouver, to warn of a defect or danger of which it knew (or reasonably should have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result, paragraphs 40 and 41 of the statement of claim are struck as disclosing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is at liberty to seek to amend paragraph 33 of the statement of claim, and the application to strike that paragraph is dismissed. Should the plaintiff fail to seek these amendments within a reasonable time the defendant, City of Vancouver, may renew its application under Rule 19(24). The defendant, City of Vancouver's application under Rule 18A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further to my Reason for Judgment dated and filed on October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Paragraph 13 on page 7 is amended in the first line following the quote to change the word "permissible" to "permissive". Paragraph 13 is amended to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City of Vancouver, says that s. 294(8) is cast broadly enough to capture a cause of action based upon a failure to warn. The defendant, City of Vancouver, relies upon the last sentence of this subsection, which I paraphrase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 is not liable ... for any damage from a failure to recommend, or resolve to file a notice in the land title office pursuant to section 336D.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section, and I paraphrase, says this:</w:t>
      </w:r>
      <w:r>
        <w:rPr>
          <w:rFonts w:ascii="arial" w:eastAsia="arial" w:hAnsi="arial" w:cs="arial"/>
          <w:sz w:val="20"/>
          <w:lang w:val="en-US" w:eastAsia="en-US" w:bidi="ar-SA"/>
        </w:rPr>
        <w:cr/>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during the course of carrying out his duties, the City Building Inspector observes a condition, with respect to ... a building ... that he considers</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a contravention of a by-law or regulation relating to the construction or safety of buildings ... or</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contravention is of a nature that a purchaser, unaware of the contravention, would suffer a significant loss or expense if the by-law were enforced against him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he may, in addition to any other action that he is authorized or permitted to take, recommend to Council that a resolution under subsection (2) be considered.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Council may confirm the recommendation of the City Building Inspector and may pass a resolution directing the City Clerk to file a notice in the land title office stating that</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resolution relating to that land has been made under this section, and</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information respecting it may be inspected at the offices of the City Clerk.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336D is permissible in nature and enables the City to give constructive notice to the world of a condition with respect to a building that may be in contravention of a building by-law or regulation. As such, it is a form of warning. The question is this: Is the exclusion of liability, as a result of failure to recommend or resolve to file a notice, sufficient to discharge the defendant, City of Vancouver, upon its duty to warn of a defect of which it knows (or reasonably should know)? The law is that a party possessed of knowledge of danger in the continuing use of a mechanical device has, from the moment that that party becomes seized of that knowledge, a duty to warn those to whom that mechanical device has been supplied. Moreover, the failure to warn constitutes an independent tort and renders the party liable for the economic loss directly attributable to the failure to warn (Rivtow Marine Limited v. Washington Iron Works, </w:t>
      </w:r>
      <w:hyperlink r:id="rId422" w:history="1">
        <w:r>
          <w:rPr>
            <w:rFonts w:ascii="arial" w:eastAsia="arial" w:hAnsi="arial" w:cs="arial"/>
            <w:i/>
            <w:color w:val="0077CC"/>
            <w:sz w:val="20"/>
            <w:u w:val="single"/>
            <w:shd w:val="clear" w:color="auto" w:fill="FFFFFF"/>
            <w:lang w:val="en-US" w:eastAsia="en-US" w:bidi="ar-SA"/>
          </w:rPr>
          <w:t>[1973] 6 W.W.R. 692</w:t>
        </w:r>
      </w:hyperlink>
      <w:r>
        <w:rPr>
          <w:rFonts w:ascii="arial" w:eastAsia="arial" w:hAnsi="arial" w:cs="arial"/>
          <w:color w:val="000000"/>
          <w:sz w:val="20"/>
          <w:lang w:val="en-US" w:eastAsia="en-US" w:bidi="ar-SA"/>
        </w:rPr>
        <w:t xml:space="preserve"> (S.C.C.)).</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(amendment underlined)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The Reasons are amended accordingly. In all other aspects, the Reasons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Turner v. Coblenz, [2008] B.C.J. No. 2561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M7679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2008 BCSC 1801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Olive Turner, Plaintiff, and Victor Allan Coblenz,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30"/>
      <w:bookmarkEnd w:id="285"/>
      <w:r>
        <w:rPr>
          <w:rFonts w:ascii="arial" w:eastAsia="arial" w:hAnsi="arial" w:cs="arial"/>
          <w:b/>
          <w:color w:val="000000"/>
          <w:sz w:val="20"/>
          <w:lang w:val="en-US" w:eastAsia="en-US" w:bidi="ar-SA"/>
        </w:rPr>
        <w:t>Damages — Physical and psychological injuries — Physical injuries — Body injuries — Chest — Back and spine — Neck — Head injuries — Ears — Hearing — Concussion — Considerations impacting on award — Degree of impairment — Mitigation — Plaintiff, age 64, awarded damages of $55,000, less 10 per cent for failure to mitigate, for soft tissue injuries and mild hearing loss caused by motor vehicle accident — The defendant attempted a left-turn and collided with the front driver's side of the plaintiff's vehicle in the intersection — The court found that the injuries, except for a shoulder injury, had subsided in the subsequent three years — A mild brain injury was not proven — The plaintiff unreasonably failed to submit to a recommended treatment that had a 50 per cent chance of substantially improving her condition.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For personal injuries — Considerations — Extent of incapacity — Duration of loss — Calculation — Mitigating factors — Non-pecuniary loss — Pain and suffering — Special damages — Plaintiff, age 64, awarded damages of $55,000, less 10 per cent for failure to mitigate, for soft tissue injuries and mild hearing loss caused by motor vehicle accident — The defendant attempted a left-turn and collided with the front driver's side of the plaintiff's vehicle in the intersection — The court found that the injuries, except for a shoulder injury, had subsided in the subsequent three years — A mild brain injury was not proven — The plaintiff unreasonably failed to submit to a recommended treatment that had a 50 per cent chance of substantially improving her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29"/>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Turner, against the defendant, Coblenz, for damages for personal injuries. The plaintiff, age 64, lived an active and busy life prior to her involvement in a motor vehicle accident with the defendant. She had suffered recent mild depression. The defendant attempted a left-turn and collided with the front driver's side of the plaintiff's vehicle in the intersection. The force of the impact caused the plaintiff's airbags to engage and resulted in the total loss of the vehicle. The defendant admitted liability for the accident. At issue was assessment of damages. The ambulance attendant noted that the plaintiff was conscious, hyperventilating, and complaining of tingling in her hands and feet and sharp pain in her chest. She was discharged from the hospital that evening and returned home. In the ensuing months, her physician opined that the plaintiff had suffered neck, back and chest wall soft tissue injuries, and possibly a minor head injury. He reported that the plaintiff was capable of part-time light work activities, and all non-work activities. The plaintiff claimed that the head injury was a concussion that caused a loss of cognitive and hearing abilities, and affected her balance. Her depression had intensified post-accident. The parties adduced expert medical evidence regarding the extent and duration of the plaintiff's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24"/>
            <w:bookmarkEnd w:id="28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sustained injuries of moderate severity to the soft tissues of her neck and upper back, the rotator cuff muscles in her left shoulder and the soft tissues in her chest wall. All but the shoulder injury had subsided. She sustained a mild permanent loss of hearing ability as a result of a mild concussion caused by the accident. Some of the loss was attributable to the normal aging process. It was not established that the plaintiff sustained a brain injury, as there was no visible head injury. In addition, there was concern regarding the underlying assumptions of the plaintiff's expert, and a lack of evidence regarding the force of impact. Her remaining symptoms were troublesome and on occasion, painful. They were likely to persist for a further two years. The plaintiff's injuries aggravated her pre-existing psychological condition to some extent. The plaintiff incurred a significant amount of pain and suffering and loss of enjoyment of life. She was entitled to general damages of $55,000 and special damages of $7,180. The general damages award was reduced by 10 per cent, as the plaintiff unreasonably failed to submit to a recommended course of injection treatment that had a 50 per cent chance of producing a substantial improvement in her condition.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Counsel_40"/>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G.P. Sinnott and S. Sinnott.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P.J. 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40"/>
      <w:bookmarkEnd w:id="289"/>
      <w:r>
        <w:pict>
          <v:line id="_x0000_s1223" style="position:absolute;z-index:2518026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0" w:name="D.A. HALFYARD J."/>
            <w:bookmarkEnd w:id="290"/>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trial, the plaintiff, Patricia Olive Turner, claims against the defendant Victor Coblenz for damages for personal injuries. The plaintiff alleges that, on December 13, 2005, at Campbell River, she was injured in a two-motor vehicle accident which was caused by the negligent driving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the morning of the trial date, liability was admitted on behalf of the defendant, and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abandoned. The trial proceeded as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damages only under the two categories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pain and suffering and loss of enjoyment of life; and</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(past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the plaintiff was 61 years of age. She is now 64. Shortly after 6:00 p.m. on December 13, 2005, the plaintiff was driving her Dodge Caravan west on 16th Avenue, and was travelling through the intersection with Dogwood Street on a green traffic light. The defendant was driving his 1997 Chevrolet Tahoe east on 16th Avenue, and was intending to turn left onto Dogwood Street. When he turned left, the front of his vehicle on the driver's side collided with the front driver's side of the plaintiff's van. Both drivers were alone in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force of the impact was such that the airbags in the plaintiff's vehicle inflated. The damage to the plaintiff's motor vehicle was considerable, and the insurer chose not to repair the vehicle. The plaintiff was wearing her seat belt at the time of the collision. There was obviously contact between parts of the plaintiff's body and the airbag, but she was unable to describe the movements of her body caused by the force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not knocked unconscious and was able to get out of her vehicle. An ambulance came. The ambulance attendant (Brenda Alexander) noted that Mrs. Turner was hyperventilating (breathing too much) and that she was complaining of tingling in her hands and feet. The attendant also noted Mrs. Turner complained of sharp pain in her chest. The attendant described the plaintiff's state of consciousness as being "alert/dizzy," and 15/15 on the Glasgow coma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taken by ambulance to the hospital emergency ward. She was examined by Dr. Anthony Aubin, the physician on duty. Dr. Aubin noted that Mrs. Turner was complaining of pain in her chest and left shoulder, as well as both of her hips. He found tenderness over her mid-sternum area. He found that the range of motion of her cervical spine and of her hips was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8:30 p.m. that evening, Mrs. Turner was discharged from hospital and her son, Michael Turner, drove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saw her regular physician, Dr. Ralston, on December 15, 2005. Dr. Ralston wrote a form CL19 medical report to ICBC on March 14, 2006. By that time, Mrs. Turner had seen him five times in connection with her injuries from the motor vehicle accident. I would summarize Dr. Ralston's findings and opinions as stated in this report,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first examined the plaintiff on December 15, 2005, she complained of neck and head ache and a "foggy" head. At that time, he made objective findings of spasm (presumably in the neck muscles) and loss of range of motion.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14, 2006, the plaintiff made complaints of neck pain and stiffness, and head aches. He made objective findings of palpatory tenderness in the cervical spine area, spasm, and pain on flexion movements of the neck.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Dr. Ralston's opinion, the plaintiff had sustained injuries to her neck and upper back, a chest wall injury and possibly a minor head injury, as a result of the motor vehicle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March 14, 2006, Dr. Ralston described the plaintiff as being capable of only light work, and only for part time. He said that she was able to work for short periods of time and should avoid lifting objects at work. He reported the plaintiff as being "capable of carrying out her non-work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Beginning on December 21, 2005, the plaintiff began receiving chiropractic treatments from Dr. John Bradley, a chiropractor whom she had been visiting on a fairly regular basis for several years prior to the motor vehicle accident. It is apparent that these chiropractic treatments were taken with the approval of Dr. Ralston. It appears that some pain and anti-inflammatory medication was prescribed, but it is unclear as to how often or for how long the plaintiff took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leading a very active life at the time of the motor vehicle accident of December 13, 2005. She lived with her husband and was required to care for him in many respects, as he had been disabled by a stroke in 1992. He had not been able to work since that time, and his mental abilities had been affected to some extent. The plaintiff did the cooking, handled all the family financial matters, and did gardening. Her husband did most of the other housework, and did the yard work. By reason of his disability, her husband was sometimes very difficult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had been somewhat depressed, due to the death of her best friend in November 2003, and the death of her mother in January, 2004. But she appears to have been coping well with her busy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contributed in a substantial way to a business owned and operated by her daughter Sharon Turner, known as Imaginations Unlimited. The main part of this business was the rental of costumes to members of the public predominantly around the times of Halloween, Christmas and Easter. The plaintiff was instrumental in making, fitting and repairing these costumes, and she also dealt directly with customers in her daughter's shop, and took telephone calls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Sharon Turner also entertained people and children at various gatherings acting as a clown. The plaintiff drove her daughter to and from these business appointments because Sharon Turner has restricted peripheral vision and so cannot drive a motor vehicle. The plaintiff also babysat her granddaughters (Sharon Turner's children) from time to time, drove them to and from their children's activities and made various articles of clothing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appears that the plaintiff had made most of the costumes used in the rental business. She was also usually working on other sewing projects, such as articles of clothing and bed spreads. She seems to have had her own method of visualizing, designing and creating costumes and articles of clothing, without the use of patterns. The plaintiff's abilities would seem to place her in the category of a seamstress.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Sharon Turner paid compensation to her mother for her work in the business, in the form of buying her gasoline, car insurance and some groceries. The amount of this payment in kind, was significant, but not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had resumed working with her daughter before Easter of 2006, but not at her previous level of activity. In her trial testimony, the plaintiff said that she has continued to feel the effects of her injuries, and to be impaired by them, in several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receive in the accident, and what was the degree of severity of each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did it take the plaintiff to recover from each injury and, if she has not recovered from a particular injury, when will she recover from 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effects of the injuries on the plaintiff, what amount of damages should be awarded to her: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non-pecuniary loss,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special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the effects of her injuries, and if so, what reduction should be made from the damages assessed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alleges that she sustained the following injuries: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her neck and upper back;</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rotator cuff muscles in her left shoulder;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wall of her chest in the sternum area;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her hips and low back;</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injury to her brain which caused loss of cognitive abilities;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injury to the nerves in her left ear, which caused loss of hearing ability, and loss of ability to maintain proper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admits that the plaintiff sustained soft tissue injuries to her neck and upper back, to her left shoulder, and to her chest wall. The defendant denies that the plaintiff sustained any injury to the hips or low back, and denies that she received any brain injury. It is conceded that the plaintiff did suffer loss of hearing in her left ear as a result of the accident, but it is argued that the cause of the hearing loss was either a labyrinthine concussion (involving only the ear canal, and not the brain) or the loud noise of the air bag inflating at impact. The defendant denies that the plaintiff sustained an injury which affected her equilibrium or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agree with the defence submission that the evidence fails to prove that the plaintiff sustained any injury to her hips or lower back as a result of the accident. The plaintiff did injure her hip in a fall in August 2007, but counsel for the plaintiff did not contend (and it has not been proved) that the fall was caused by an injury received in the motor vehicle accident. I must review the evidence in order to consider the other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an adverse inference be drawn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Before proceeding further, I will consider an argument made by defence counsel based on the plaintiff's failure to call certain medical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the defendant submitted that the plaintiff's failure to call Dr. Bradley, her chiropractor and Dr. Ralston, her family physician as witnesses at the trial should cause the court to draw an adverse inference against the plaintiff. In particular, counsel submitted that the court was deprived of evidence which was relevant to the issue of the plaintiff's physical and mental condition in the few years before the motor vehicle accident, and how it compared to her post-accident condition. Counsel sited </w:t>
      </w:r>
      <w:r>
        <w:rPr>
          <w:rFonts w:ascii="arial" w:eastAsia="arial" w:hAnsi="arial" w:cs="arial"/>
          <w:b/>
          <w:i/>
          <w:color w:val="000000"/>
          <w:sz w:val="20"/>
          <w:lang w:val="en-US" w:eastAsia="en-US" w:bidi="ar-SA"/>
        </w:rPr>
        <w:t>Busksh v. Miles</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in support of 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Busksh v. Miles</w:t>
      </w:r>
      <w:r>
        <w:rPr>
          <w:rFonts w:ascii="arial" w:eastAsia="arial" w:hAnsi="arial" w:cs="arial"/>
          <w:color w:val="000000"/>
          <w:sz w:val="20"/>
          <w:lang w:val="en-US" w:eastAsia="en-US" w:bidi="ar-SA"/>
        </w:rPr>
        <w:t>, the defendant challenged the credibility of the two plaintiffs on the issue of whether they had been injured at all in the motor vehicle accident. The jury decided that neither of the plaintiffs had been injured, and the action was dismissed. One of the grounds of appeal was that the trial judge had erred in instructing the jury that they could, if they saw fit, draw an adverse inference against the plaintiffs for failing to provide the opinions of several doctors who had examined them, if the jury did not accept the explanation for this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Speaking for the court, Madam Justice Saunders discussed the adverse inference ground of appeal at paragraphs 16 - 38. Paragraphs 28 - 35 contain her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Saunders J.A. first noted the traditional rule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an inference adverse to a litigant may be drawn if, without sufficient explanation, that litigant fails to call a witness who might be expected to give supporting evidence ... a plaintiff seeking damages for personal injuries ought to call all doctors who attended him in respect of any important aspect of the matters that are in dispute or explain why he does not do so. (Paragraph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Madam Justice Saunders observed that "the present model of medical care" and "the discovery process available to both sides of a law suit" have changed considerably over the years, and stated that these changes required a new approach to instructions on adverse inference. This approach is stated in detail at paragraph 35. In essence, such an instruction should not be given, unless the circumstances of the case could reasonably support "the inference that the witness not called would have given evidence detrimental to the party's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present case, the clinical records of Dr. Bradley and Dr. Ralston had been produced to defence counsel, and defence counsel knew (or had the opportunity to know) what the opinions of these two experts would have been. In these circumstances, I do not think that it would be open to the court to draw an adverse inference against the plaintiff from the failure to call Dr. Bradley or Dr. Ralston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Field also complained about the failure of the plaintiff to tender a report from Dr. Andrew Crosby, the orthopaedic surgeon who treated the plaintiff for her hip injury. By the end of the trial, counsel for the plaintiff had abandoned the argument that the plaintiffs' injury from her fall in August 2007 was related to the motor vehicle accident. Accordingly, it is unnecessary for me to consider this aspect of the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plaintiff sustain an injury to her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relies on the expert evidence of Dr. Galia Artzy, registered psychologist, on this issue. She is qualified in neuro-psychology. She first saw the plaintiff on April 13 and 14, 2007, which was about 16 months after the motor vehicle accident. She conducted a neuropsychological assessment of the plaintiff, and wrote a report dated April 25,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history was taken from the plaintiff, and a series of psychological tests were administered. Dr. Artzy assumed the truth of certain facts related to the motor vehicle accident of December 13, 2005, and about the apparent effects of the impact on the plaintiff. As I understood it, the facts that Dr. Artzy assumed to be true, included the following (my paraphrasing):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forces applied to the plaintiff's head and neck in the collision were capable of causing a concussion injury to her brain.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was not knocked unconscious by the collision forces, she was dazed, light-headed and dizzy and was unable to remember some of the events following the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a whip-lash injury and an injury to the rotator cuff muscles in her left shoulder.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 the plaintiff was a reasonably skilled seamstress, and therefore would have possessed above average cognitive ability for visual - spatial organization and for hand dexterity.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Artzy's neuropsychological assessment of the plaintiff in April 2007 included the opinion that she had suffered a concussion injury to the right side of her brain, which Dr. Artzy described as a coup-contre coup impact concussion. The main findings relied on by Dr. Artzy in reaching this opinion appear to be her conclusions, based on the neuropsychological testing, that the plaintiff had suffered a loss of cognitive ability in the areas of visual-spatial organization and left hand dexterity. Dr. Artzy placed considerable weight on the plaintiff's loss of "her ability to manipulate shapes and forms in her mind's eye - a skill that is imperative to a seamstress, and in particular to one who uses visual creativity in designing costumes and producing crafts." (page 14 of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Artzy expressed the opinion that improvement in the plaintiff's condition was to be expected, but would require treatment by way of anti-depressive medication (for anxiety and depression) and about three months of weekly psycho-therapy sessions with a registered psychologist. She recommended that the plaintiff's visual-spatial skills should be reassessed in about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Artzy reassessed the plaintiff on August 29 and 30, 2008, and wrote a second report dated September 10, 2008. The plaintiff had not followed her recommendations that she take anti-depressive medication and psycho-therapy. The plaintiff told Dr. Artzy that she stopped taking the medication because of its side-effects, and that she did not seek psycho-therapy because she felt that the support and love of her friends and family would prevent her from becoming isolated. The plaintiff also told Dr. Artzy that she had been under stress associated with a family dispute over her step-father's inheritance, and her continued grieving over her mother's death. The plaintiff complained about having increased levels of self-doubt, emotionality, and being reluctant to do things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Artzy repeated most of the neuropsychological tests that had been conducted on the plaintiff in April 2007. In Dr. Artzy's opinion, the plaintiff's "visual-spatial skills indeed have improved significantly", although she thought these skills still seemed "lower than expected for a seamstress." (see page 5 of the report). Her working memory had decreased, but Dr. Artzy thought this could have been caused by pain, depression, anxiety or an increase in the plaintiff's physical or emotional stress. Decreased concentration was noted, which Dr. Artzy said was "likely associated with emotional factors." (page 9) The plaintiff's "ability to mentally abstract, manipulate, and synthesize spatial images" had improved from "the mildly impaired range" to "the average range." (page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Dr. Artzy's opinion, there had also been improvement in the plaintiff's executive function and left-hand manual dexterity. She opined that the plaintiff's improved scores on some of the cognitive ability tests were consistent with some improvement to her brain injury. It was her opinion that much of the plaintiff's difficulty with attention, concentration and speed of processing was attributable to "her deteriorated emotional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Dr. Artzy's further opinion that the plaintiff was more depressed and more anxious than she had been in April 2007, and that "psychological treatment and support are paramount." She stated that depression and anxiety were affecting the plaintiff's cognitive functioning level in several areas. Dr. Artzy recommended a year of weekly psychotherapy sessions with a registered psychologist. In her opinion, the plaintiff had recovered from her brain injury to some extent, but was still experiencing some symptoms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cross-examination, Dr. Artzy testified that the diagnosis of a brain injury requires the identification of at least one of three factors: loss of consciousness, amnesia and/or loss of cognitive ability. She agreed that the absence of loss of consciousness and amnesia suggested that there was no brain injury, but stated that the absence of those factors was not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Artzy agreed that some cognitive deficit can be caused by chronic pain and by depression. She testified that she did not believe that the plaintiff's left hand dexterity had been adversely affected by her left shoulder injury or by her previous problems with carpal-tunnel syndrome (which was in both hands). Dr. Artzy noted that she had made an error at page 10 of her second report, when she stated: "her previous scores were consistent with her complaints of left arm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Artzy agreed that it was possible that the plaintiff's reported lack of motivation and disorganization had been caused by pain, depression and grief.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Artzy agreed that the majority of persons who had sustained a mild brain injury will recover in three to six months. She agreed that the plaintiff had chronic pain, depression and anxiety and that these conditions may have affected her scores in some of the tests, such as those measuring concentration and memory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defendant suggested to Dr. Artzy that the plaintiff's dizziness after the accident could have been caused by her hyper-ventilating, and Dr. Artzy seemed to agree with this. But she did not accept that the plaintiff's apparent disorientation was all caused by hyper-ventilating, because the ambulance attendant had noted that the plaintiff was not given any oxygen to treat the hyperventilation.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should be noted that Dr. Artzy did not attempt to identify the causes of the plaintiff's depression and anxiety, and thus did not attempt to link them to the injuries sustained by the plaintiff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Ian Turnbull, neuro-surgeon, gave opinion evidence with respect to the injuries sustained by the plaintiff. He examined the plaintiff on August 6, 2008, prepared two written reports and also testified at the trial. He was asked to comment on the opinions expressed by Dr. Stanley Leete, orthopaedic surgeon and by Dr. Artzy.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Dr. Artzy's opinion, Dr. Turnbull disagreed with her opinion that the plaintiff had suffered injury to the right side of her brain as a result of a coup-contre coup concussion injury. In his view, none of Dr. Artzy's findings suggested that the plaintiff had sustained an injury of that kind, and in order for that to occur, there would have to be a loss of consciousness. He also testified that, if the plaintiff had suffered a coup-contre coup concussion injury to the right side of her brain, she would have experienced noticeable motor deficit on her left side (and he noted there was no evidence that this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cross-examination, counsel put the following hypothetical question to Dr. Turnbull: If the airbag in the plaintiff's motor vehicle deployed as a result of the collision, if the plaintiff was unable to recollect details of the events immediately following the accident, if she was confused following the accident and if she experienced hearing loss not long after the accident, then could those symptoms be evidence that she had suffered a mild concussion as a result of the accident? Dr. Turnbull discounted the relevance of hearing loss, but conceded that it was possible that the other symptoms could be evidence of a mild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Turnbull stated that he did not disagree with Dr. Artzy's opinion as to the psychological effects of the motor vehicle accident on the plaintiff. He further stated, in effect, that if the plaintiff had lost some ability to deal with visual-spatial problems, that finding would not by itself indicate injury to any specific part of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questioned Dr. Turnbull about the last sentence in his report dated November 5, 2008,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Turner's ability to clearly recollect the MVA and records of her conduct and complaints when she was taken to the Campbell River Hospital on the day of the accident rule out the possibility of her having sustained brain injury of any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asked Dr. Turnbull what he meant by a "brain injury of any significance." He answered that he was referring to an injury that was "not important," such as a minor concussion from which people recover in a short time. I think it was implicit in Dr. Turnbull's evidence that it was possible that the plaintiff sustained a very minor concussion to her brain, but that if this did occur, then she had recovered from it soon after the accident, and long before she saw Dr. Artzy.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Both Dr. Artzy and Dr. Turnbull are experienced specialists and well qualified to give opinion evidence on the issue. I accept Dr. Artzy's opinion that a mild (but significant) concussion injury can occur, without loss of consciousness or amnesia being identified. I do not think that Dr. Turnbull disagreed with this proposition, except to say that any such concussion injury would be minor. However, I have some reservations about accepting Dr. Artzy's diagnosis of brain injury. This is not because of any concern about her qualifications, experience or skills as a neuro-psychologist. Rather, I question whether some of the main facts she assumed to be true, have been proved. First, Dr. Artzy relied upon the fact that the plaintiff "experienced a brief period of altered consciousness"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about the events that occurred after the collision. She described how she got out the driver's door, and seeing the driver of the other vehicle there. She said he had a bleeding nose and told her he was sorry. She said she realized that her car engine was still running, so she went and reached into the vehicle and shut off the keys. She said she saw a lady with a cell phone, and she asked the woman to call her home and tell her son and husband that she was alright. The plaintiff said she saw a little boy on or near the roadway, and because of the traffic she was concerned for his safety and told him to stand back. She described how she was hyperventilating and that she felt somewhat offended when the ambulance attendant told her (while they were in the ambulance) that a woman of her age should be able to handle matters without hyperventilating. The plaintiff did testify that she did not recall driving to or arriving at the hospital, but I understood her to mean that she does not now recollect any of the details of the ride to the hospital or arriving there. She seemed to recall what occurred when she arrived at the hospital, beginning with when she saw her son in the hallway.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experts agreed that hyperventilating can cause dizziness and tingling in the limbs. It appears that Dr. Artzy was not informed of these details of the plaintiff's memory of events following the accident. Had she known these things, she may not have concluded that the plaintiff was briefly in a state of "altered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Second, I do not take issue with Dr. Artzy's assumption that, before the motor vehicle accident, the plaintiff was a reasonably skilled seamstress. Nor do I disagree with her assumption that one would expect a reasonably skilled seamstress to have better visual-spatial skills and left hand dexterity than she found the plaintiff to have, 16 months after the accident. But I am hesitant to accept the assumption that the plaintiff's skills in these two respects were significantly greater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sister, Mary Stoker, testified about the plaintiff's skills as a seamstress, and her enthusiasm for such work. Ms. Stoker testified that the plaintiff could visualize in her head what a person wanted (various kinds of costumes and dresses), and then make that article of clothing, without using patterns. She described the plaintiff's skills as being superior to her own, and above those of the average home sewer. Ms. Stoker stated that the plaintiff now does not have the patience or focus to do the fine work involved in seamstress work, and now does not have the same enthusiasm for sewing that she had before the accident. She described the biggest change that she has seen in the plaintiff is her inability to focus, her forgetting some things, and her sometimes snapping at children. But Ms. Stoker did not say that the plaintiff had lost her skills as a seamstress, only that she does not seem to enjoy it or have the patience for doing it, that she used to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Sharon Turner, the plaintiff's daughter, testified that her mother now cannot make clothing and costumes the way she used to do, but she seemed to attribute this change to her mother's loss of strength and stamina and the pain she was experiencing from her injuries. Ms. Turner said that her mother did not have the stamina to sew for hours at a time, and that she "can't produce the costumes like she used to do." Moreover, she said that the plaintiff had become short tempered and was not enjoying life the way she used to. The plaintiff's son, Michael Turner, confirmed what his sister had said about their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conclude that there is considerable doubt as to whether the plaintiff possessed the visual - spatial skills and the left-hand dexterity before the accident, at the level assumed by Dr. Artzy.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a third concern about the facts upon which Dr. Artzy relied. I cannot fault Dr. Artzy for assuming that the force of the impact exerted on the plaintiff's body at the time of the collision was capable of causing a significant concussion injury to the brain. But the sufficiency of the evidence to support this inference is, in my opinion, questionable. There was no visible injury to the plaintiff's head, and there was no evidence to establish the speeds at which the two vehicles were traveling at the time of impact nor do the photographs to the damaged vehicles support an inference that high speed was involved. In these circumstances, I am hesitant to conclude that the assumption made about the force of impact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bears the onus of proving that it is more probable than not that she suffered each of the injuries she alleges. In my opinion, it has been shown that there is a reasonable possibility that the plaintiff sustained a mild brain injury as a result of the motor vehicle accident. But I am not persuaded that it is more probable than not that this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type of injury caused the plaintiff's loss of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mentioned, it was conceded that the plaintiff suffered a significant loss of hearing in her left ear as a result of the accident. It was alleged on behalf of the plaintiff that the hearing loss was caused by a labyrinthine concussion to the inner ear, or by nerve injury due to coup-contre coup concussion to the brain which stretched the nerve. The defendant alleged that the hearing loss was caused either by a labyrinthine concussion or by the loud noise of the air bag inflating. The importance of the cause of the hearing loss has significantly diminished, in the face of my finding that a brain injury has not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Charles van Rooy, an ear, nose and throat specialist (and surgeon) gave evidence on this issue. He examined the plaintiff on April 7, 2008, wrote a report of the same date and testified in court. In Dr. van Rooy's opinion, the hearing loss was caused by trauma suffered by the plaintiff in the motor vehicle accident. He said that the cause was either a concussion to the brain or a labyrinthine concussion. He was not prepared to concede that the inflating air bags could cause such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van Rooy described the extent of the hearing loss and stated that the plaintiff would have no difficulty hearing when engaged in a face-to-face discussion with another person, without significant background noise. He said the condition was permanent, and recommended that the plaintiff should obtain and use two hearing aids to improve her hearing ability. He said that each hearing aid would cost between $3,000 and $4,000, that they would last for about five years or so, and that the batteries would cost about $60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cross examining the plaintiff, counsel for the defendant sought to establish that the plaintiff would probably not wear hearing aids, even if they were purchased for her. The plaintiff made some concessions in this regard, but I was not persuaded that awarding an amount for hearing aids would be futile.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accept Dr. van Rooy's opinion that the plaintiff sustained a mild loss of hearing ability as the result of injuries she sustained in the accident. I also accept his opinion (at page 2 of his report dated April 7, 2008) that "part of this nerve hearing loss is due to age-related changes of the cochlea." I find that the remainder of the cause was a mild labyrinthine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plaintiff suffer a loss of her ability to maintain proper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Dr. van Rooy examined the plaintiff she told him that sometimes after doing strenuous activities such as shovelling, she felt a tendency to want to fall to her right and veer to her right when walking. She said that this had only rarely occurred, and that it had not occurred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van Rooy conducted a balance test on the plaintiff, and noted that she had a tendency to veer to the right when walking, which he described as mild. Dr. van Rooy seemed to relate the plaintiff's complaint of dizziness as only occurring at the time of her occasional balance difficulties.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dizziness is not serious and it has little impact on her qualify of life in terms of her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also described "the hearing loss over all" as being "of mild degree in terms of impact on her life." It is Dr. van Rooy's opinion that the plaintiff's condition will not worsen, but will remain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trial, the plaintiff testified that she had problems with her balance when she gets up from a sitting position and when she goes up and down stairs. She described this problem as a feeling of going sideways and she said that she is on the lookout for it to occur, so she moves slowly. The complaints she made to Dr. van Rooy about her balance problem seemed to be inconsistent with her trial testimony,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cross examination, counsel for the defendant questioned the plaintiff about notes made by Dr. Bradley, her chiropractor, in his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was referred to a note made by Dr. Bradley dated January 15, 2003, which stated that the plaintiff had told him that she "fell a few days ago." The plaintiff agreed that she had passed out and had fallen into the bath tub while talking on the phone upon hearing that her friend had been diagnosed with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 note dated April 28, 2004, Dr. Bradley wrote: "fell a month ago." The plaintiff agrees that she had fallen at that time, but gave no details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November 11, 2004, Dr. Bradley noted that the plaintiff "fell on right side." The plaintiff testified that she had fallen on two occasions while negotiating the two stairs leading into her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infer that Dr. van Rooy accepted the plaintiff's statements to him, and assumed that she had not experienced any problems with her balance before the motor vehicle accident. The plaintiff's trial testimony casts serious doubt on that assumption. I conclude that it has not been shown that the injuries sustained by the plaintiff in the accident caused her to have balance problems, or that they aggravated any balance problems that pre-existed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When will the plaintiff recover from her left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relies on the evidence of Dr. Stanley Leete, orthopaedic surgeon. In his opinion, the plaintiff still has some residual neck and shoulder discomfort. Dr. Leete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work involving her looking up and working above shoulder level will provoke pain, not only in the shoulder, but also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Leete expressed the opinion that the plaintiff will eventually completely recover from her injury, and that this should occur "within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again relies on the expert evidence of Dr. Ian Turnbull, neuro-surgeon. In Dr. Turnbull's opinion, the only evidence of continuing residual effect in the plaintiff's left shoulder injury is that she experienced "some discomfort" when he moved her shoulder through its full range of movement. He did not consider this to be physically disabling. His opinion appeared to be that the plaintiff had achieved substantial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Leete examined the plaintiff on four occasions, namely:</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12, 2006;</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6, 2006;</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15, 2006;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Leete wrote two reports, the first dated November 15, 2006 and the second dated September 3, 2008. In his first three examinations of the plaintiff, Dr. Leete made objective findings which supported the plaintiff's complaints of ongoing pain in her neck and left shoulder. In his examination of September 3, 2008, Dr. Leete found "ongoing tenderness in the paravertibral muscles on either side of her neck", although she had a full range of movement in the neck. Dr. Leete found that the plaintiff had regained full strength in her left shoulder, but was experiencing pain when moving her arm up to and above the level position. In my opinion, these findings of Dr. Leete are a combination of both objective and subjective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November 15, 2006, Dr. Leete thought that the injury to the plaintiff's neck and to her rotator cuff should resolve in "several more months". He said that if the shoulder pain persisted, "then I think it would be appropriate to carry out a subacromial injection of local anaesthetic and steroid." His opinion at that time was that "it may be a further eighteen months or so before we can anticipate total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Dr. Leete saw the plaintiff 22 months later on September 3, 2008, he opined that the plaintiff would be fully recovered "within two years." He made no mention in his final report about a cortisone injection into the plaintiff's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trial testimony, Dr. Leete stated that the plaintiff could benefit from the cortisone injection into her shoulder joint, which he had previously recommended. He did not think that physiotherapy or chiropractic treatments would help the plaintiff,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cross-examination, Dr. Leete agreed that, if the cortisone injection was successful, it would likely shorten the recovery period, although more than one injection might be necessary. He said that there could be full recovery in a year, if such treatment was taken and proved successful. Dr. Leete expressed the opinion that, if the plaintiff had received the cortisone injection treatment in 2006, there is a 50/50 chance that she would have recovered from her left shoulder injury by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Turnbull examined the plaintiff on only one occasion, August 6, 2008. He made the following essential findings: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her left shoulder is put through a full range of passive movement, she experiences some discomfort." (page 3)</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found no evidence, on physical examination, of physical disability." (page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Turnbull was later asked by defence counsel to comment on Dr. Leete's report dated November 15, 2006 (I presume Dr. Leete's second report was not then available to counsel). In his second report of November 5, 2008, Dr. Turnbull did not disagree with Dr. Leete's opinion. In his trial testimony, Dr. Turnbull agreed with Dr. Leete's opinion that a cortisone injection into her left shoulder would help her recovery. He did not contradict Dr. Leete's opinion that the plaintiff's full recovery may take up to two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I interpret Dr. Turnbull's opinion, he found some evidence of ongoing pain in the plaintiff's left shoulder, but believes that this pain does not disable her. He seemed to accept the plaintiff's complaint that: "when she has to work holding things over her head, her shoulders become tense and uncomfortable." (report dated August 7, 2008, 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see no contradiction between the findings made by Dr. Turnbull on August 6, 2008, and those of Dr. Leete made on September 3, 2008. The plaintiff testified that her left shoulder does not hurt all of the time, only when she does things with her arms extended to the front, or above shoulder height. I accept that evidence. I also accept that this residual shoulder pain does not totally disable the plaintiff from doing such activities. But in my opinion, her ability has been and continues to be impaired,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effects of the injuries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do not intend to summarize all of the evidence presented which describes the effects of her injuries on the plaintiff's ability to do the things that she had been doing before the accident. As mentioned, she had been leading a full and very active life, and had been depended upon by her family to carry out numerous responsibilities. She had also been deeply involved in her daughter's business. I find that the impact of her injuries on her former activities was devastating for several months after the accident. About four months after the accident, the plaintiff resumed some of her work with her daughter but has never attained the level of productivity she had been achieving before the accident. In addition to the impairment of her physical abilities, the plaintiff experienced considerable pain and suffering. Those effects were more pronounced in the first six months after the accident, but they have continued, in lesser measure, up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hearing impairment is of course permanent. The injury to her left shoulder continues to trouble her. There are a number of activities which cause pain to emanate from her rotator cuff muscles, and impair her functioning. It bothers her the most, when she is working with her arms out in front of her or reaching above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the plaintiff had recovered from the soft tissue injuries to her neck and upper back and to her chest wall within about 18 months after the accident. I think her recovery was complicated and hindered by the underlying depression and anxiety that she had been experiencing, before the accident. Those psychological problems increased after the accident. I find that some of that increase was due to the injuries she sustained, but that by far the most of it is attributable to the plaintiff's failure to take medication or therapy. Her condition was also aggravated by a dispute caused by her two older sisters concerning the settlement of their mother's estate. The plaintiff's physical activities have been significantly impaired by the hip and low-back injury sustained by the plaintiff when she fell in August 2007, while working on a deck at her daughter's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that the plaintiff sustained injuries to the soft tissues of her neck and upper back, the rotator cuff muscles in her left shoulder and the soft tissues in her chest wall. I would describe the severity of these injuries as being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that the plaintiff sustained a loss of her hearing ability (much more pronounced in her left ear), as a result of a mild labyrinthine concussion caused by the accident. Not all of this loss of hearing was caused by the injury. Some of it was attributable to the normal aging process. I accept Dr. van Rooy's description of the overall loss of hearing ability as being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not satisfied that the plaintiff sustained injury to her brain. Nor am I satisfied that any injury she sustained in the accident caused a loss of her ability to maintain proper balance or equilibrium.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has substantially recovered from all of her injuries except for the injury to her left shoulder. Three years have elapsed since the accident, and the plaintiff's symptoms may persist for another two years into the future. These symptoms will be troublesome and sometimes painful, when she is working with her hands while holding her arms in certain positions. To some degree, these effects will affect the plaintiff's ability to make and repair costumes, and to work in her daughter's shop. But her hip and her low back problem are probably as much or more a hindrance to the plaintiff, than is the residual problem with her left shoulder. The depression and anxiety that has plagued the plaintiff for some years is the most likely cause of her loss of motivation. But I accept that the plaintiff's emotional reaction to her injuries from the motor vehicle accident did aggravate her pre-existing psychological condition,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amount should be awarded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Counsel for the plaintiff submitted that the appropriate range of damages for non-pecuniary loss is $45,000 to $90,000. Counsel for the defendant submitted that the proper range was $25,000 to $35,000. Both sides have referred me to case authorities that support their respective positions, on the assumption that their version of the facts is accepted. The facts which I have found do not correspond with the set of facts advanced by either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well accepted that previously-decided cases have limited value which usually consists in establishing a general range of damages within which the award in a particular case may fall. No two plaintiffs will ever be the same in age, previous state of strength and health, occupation and other activities. The injuries sustained by one plaintiff will never be the same as those received by another, in kind or severity. The reaction of any two persons to the pain of a similar injury, or to particular treatments, will be different. The length of time that has passed between the date of the injury and the date of trial will vary from case to case, and can be a significant distinguishing feature.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With these qualifications in mind, I have read all of the cases cited by counsel to support their arguments. The evidence proves a substantial possibility that the plaintiff will continue to experience intermittent problems with her left shoulder for the next two years. The injuries have caused substantial interference with the plaintiff's ability to perform her pre-accident activities. The hearing loss is permanent, but causes only mild impairment. I conclude that, as a result of the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plaintiff has incurred a significant amount of pain and suffering and loss of enjoyment of life. There is a reasonable probability that these effects will continue, to a lesser degree, with respect to the plaintiff's left shoulder, for up to two more years. In my opinion, Mrs. Turner's damages for non-pecuniary loss should be assessed at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making this assessment, I have taken into account the effects of the injuries on the plaintiff's housekeeping and gardening abilities. I see no proper basis for making a separate award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Has the plaintiff failed to mitigate her loss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 alleges that the plaintiff has failed to mitigate her damages by failing to accept and undergo the cortisone injection treatment that was recommended by Dr. Leete in 2006. Dr. Leete testified at trial that, had the plaintiff undergone this treatment, there was a 50% chance that she would have recovered within a year following the treatment. In his two reports, Dr. Leete did not mention any discussion he may have had with the plaintiff about this recommended course of treatment. Nor was he asked about it when he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testified that Dr. Leete may have told her that a cortisone injection could help resolve the pain in her shoulder and chest, but she seemed uncertain in this respect. She did say that she never got the impression that Dr. Leete was urging her to have the injection, and said she would have taken the injection if she felt that he was urging her to do so. She stated that she had received such an injection into her hip from Dr. Crosby (a colleague of Dr. Leete) after her fall in the summer of 2007 and said that she would not have had any reluctance to undergo a similar injection in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cross examination, Mrs. Turner agreed that she probably talked to her daughter Sharon about whether or not she should have a cortisone injection into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Sharon Turner testified that her mother had told her about Dr. Leete's recommendation of a cortisone injection for her left shoulder. She said that she encouraged her mother to take this treatment. I infer that Mrs. Turner did have this discussion with her daughter and that she declined to take the treatment recommended by Dr. Leete.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 bears the onus of proving the essential elements of failure to mitigate, which are the following:</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qualified medical expert recommended that a plaintiff undergo a particular form of treatment;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failed or refused to take the recommended treatment although it was available to him or her;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refusal or failure was unreasonable, in that if the plaintiff had taken the recommended treatment, there is some likelihood that he or she would have received substantial benefit from it, and the treatment would not expose the plaintiff to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Chiu (guardian ad litum of) v. Chiu</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paragraph 57; and </w:t>
      </w:r>
      <w:r>
        <w:rPr>
          <w:rFonts w:ascii="arial" w:eastAsia="arial" w:hAnsi="arial" w:cs="arial"/>
          <w:b/>
          <w:i/>
          <w:color w:val="000000"/>
          <w:sz w:val="20"/>
          <w:lang w:val="en-US" w:eastAsia="en-US" w:bidi="ar-SA"/>
        </w:rPr>
        <w:t>Middleton v. Morcke</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color w:val="000000"/>
          <w:sz w:val="20"/>
          <w:lang w:val="en-US" w:eastAsia="en-US" w:bidi="ar-SA"/>
        </w:rPr>
        <w:t xml:space="preserve"> at paragraph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first two essential elements of this defence were not in dispute and have been well made out. The question is whether the plaintiff's refusal to undergo the injection treatment has been shown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Counsel for the plaintiff submitted that Dr. Leete had estimated the chances of success for the injection treatment was only 50%, and it was said that this evidence failed to meet the burden of proof placed on the defendant. I do not agree with this submission. The 50% chance that the plaintiff would receive substantial benefit from this treatment is, in my view, sufficient. Moreover, there was no suggestion that the plaintiff would be exposed to any significant risk by undergoing the injection nor did the plaintiff say that she was afraid to have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conclude that the plaintiff acted unreasonably in failing to submit to the treatment recommended by Dr. Leete. However, I think it is obvious there is a substantial possibility that the treatment would fail to induce full recovery of the plaintiff. Taking all of the circumstances into account, I have decided that the plaintiff's damages should be reduced by 10%. This means that the award for non-pecuniary loss will be reduced from $55,000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my judgment, the defence of failure to mitigate does not apply to the issue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would add that, even if I had found that the plaintiff had sustained a mild brain injury, I would not have accepted the defence of failure to mitigate on that issue. Dr. Artzy recommended psychotherapy, but in my opinion, the plaintiff did not "refuse" to take it. Her counsel took steps to follow up with Dr. Artzy's recommendation, but was unable to get the assistance of the plaintiff's regular physician. The plaintiff could not afford to pay the cost of such treatment on her own, and another source of funding was not easily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amount should be awarded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had 55 chiropractic treatments between December 21, 2005 and September 26, 2008. With respect to expenses for chiropractic treatments for which the plaintiff has not been reimbursed, those expenses will be allowed up to August 3, 2007. I am not persuaded that after that date, the treatments related to any injury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would make the same allowance with respect to the expenses incurred by the plaintiff for medication. Any such expenses that were incurred before August 3, 2007, and have not been reimbursed, will be allowed. I will leave it to counsel to agree on the amounts of the expenses which I have described because I think they can calculate the proper amounts much more easily than I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to the claim for cost of future care, Dr. Van Rooy recommended hearing aids that would cost between $3,000 and $4,000 each, and said that replacing the batteries would cost about $60 per year. Counsel for the defendant properly argued that some risk exists that the plaintiff might not purchase hearing aids if an award is made, and if she does purchase them she may not make significant use of them. I accept that some risk exists in this regard. But I am not persuaded that this risk is enough to neutralize the plaintiff's claim on this issue. However, I do take the risk into account. I will award $7,000 to cover the cost of hearing aids, and a further $180 to cover the cost of purchasing replacement batteries for several years. I think the evidence supports the conclusion that the plaintiff will not use the hearing aids on a regular basis so that she will not wear them out in the time estimated by Dr. Van Rooy, and will not use as many batteries as would a regular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Absent the existence of relevant matters of which I am not aware, the plaintiff will have her costs of this proceeding, at the usual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0"/>
          <w:headerReference w:type="default" r:id="rId861"/>
          <w:footerReference w:type="even" r:id="rId862"/>
          <w:footerReference w:type="default" r:id="rId863"/>
          <w:headerReference w:type="first" r:id="rId864"/>
          <w:footerReference w:type="first" r:id="rId8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6" w:history="1">
        <w:r>
          <w:rPr>
            <w:rFonts w:ascii="arial" w:eastAsia="arial" w:hAnsi="arial" w:cs="arial"/>
            <w:b/>
            <w:bCs/>
            <w:i/>
            <w:color w:val="0077CC"/>
            <w:kern w:val="32"/>
            <w:sz w:val="28"/>
            <w:szCs w:val="32"/>
            <w:u w:val="single"/>
            <w:shd w:val="clear" w:color="auto" w:fill="FFFFFF"/>
            <w:lang w:val="en-US" w:eastAsia="en-US" w:bidi="ar-SA"/>
          </w:rPr>
          <w:t>United Furniture Warehouse LP v. 551148 B.C. Ltd., [2006] B.C.J. No. 271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S056221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152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United Furniture Warehouse LP, plaintiff, and 551148 BC Ltd., 462307 BC Ltd., U.B.S. Realty Ltd., and John Volken, defendants, and Blake, Cassels &amp; Graydon,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1" w:name="Keywords_31"/>
      <w:bookmarkEnd w:id="291"/>
      <w:r>
        <w:rPr>
          <w:rFonts w:ascii="arial" w:eastAsia="arial" w:hAnsi="arial" w:cs="arial"/>
          <w:b/>
          <w:color w:val="000000"/>
          <w:sz w:val="20"/>
          <w:lang w:val="en-US" w:eastAsia="en-US" w:bidi="ar-SA"/>
        </w:rPr>
        <w:t>Civil procedure — Injunctions — Circumstances when not granted — Interlocutory or interim injunctions — Preservation of property — The application for an interim injunction restraining the escrow agent law firm from releasing the sum of $2,500,000 until further order of the court or agreement of the parties was dismissed, as the plaintiff failed to demonstrate it had a proprietary interest in the fund — There was no evidence before the Court to support the allegation the defendants or any of them made any negligent or fraudulent or reckless misrepresentations to the plaintiff — In any case, the court was not persuaded the evidence established the plaintiff would suffer any irreparable harm, should the escrow funds be released to the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2" w:name="Case Summary_30"/>
            <w:bookmarkEnd w:id="2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an order that Blake, Cassels &amp; Graydon LLP, in its capacity as escrow agent be restrained from releasing the sum of $2,500,000 which it held pursuant to the terms of the Assets Purchase Agreement and Indemnification Holdback Agreement until further order of the court or agreement of the parties -- Plaintiff's counsel conceded the application was effectively an application for an injunction pursuant to Rule 46 of the Rules of Court, that is an application for "an order for the detention, custody or preservation of any property that is the subject matter of a proceeding or as to which a question may arise" -- The plaintiff asserted a right to enjoin a "specific fund", that is the escrow fund held by the escrow agent -- Held: The application for an interim injunction was dismissed as the plaintiff failed to demonstrate it had a proprietary interest in the fund -- The court found that in essence the plaintiff was claiming the defendants negligently, fraudulently or recklessly represented the books and records of 551148 were accurate, with the result that the value of the inventory was overstated and the value of the Assumed Liabilities was understated, and that the plaintiff relied upon those misrepresentations and suffered certain damages as a result -- Thus, the court could not conclude that this claim for damages could not be characterized as a "proprietary" interest in the escrow funds so as to allow for the extraordinary relief set out in Rule 46 -- There was no evidence before the Court to support the allegation the defendants or any of them made any negligent or fraudulent or reckless misrepresentations to the plaintiff -- In any case, the court was not persuaded the evidence established the plaintiff would suffer any irreparable harm, should the escrow funds be released to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3" w:name="Legislation Cited_19"/>
      <w:bookmarkEnd w:id="2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4" w:name="Counsel_41"/>
      <w:bookmarkEnd w:id="2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Hiebert and C.D. Veinotte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Sullivan and J.R. Goheen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5" w:name="Judgment_41"/>
      <w:bookmarkEnd w:id="295"/>
      <w:r>
        <w:pict>
          <v:line id="_x0000_s1228"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6" w:name="BOYD J."/>
            <w:bookmarkEnd w:id="296"/>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an order that Blake, Cassels &amp; Graydon, LLP, in its capacity as Escrow Agent, be restrained from releasing the sum of $2,500,000, which it holds pursuant to the terms of the Assets Purchase Agreement and Indemnification Holdback Agreement until further Order of this Court or agreement of the parties. In the alternative, the plaintiff seeks an order that those funds be paid into Court by way of interpleader and not be disposed of without further Order of the Court or agreement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16, 2004, the United Furniture Warehouse Ltd. ("UFW") agreed to sell to the plaintiff, United Furniture Warehouse (2004) Corporation ("the Purchaser") substantially all of the retail business of UFW under the trade name "United Furniture Warehouse". This is referred to in the agreements as the "Purchased Business". At that time UFW operated approximately 80 retail outlets under the "United Furniture Warehouse" name and approximately 6 other retail outlets under the "Wosk" name. The plaintiff did not purchase these other retail outlets of UFW and as of March 16, 2004, UFW continued to operate the "Wosk" and "Now"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sale purchase transaction was documented in an agreement entitled the Asset Purchase Agreement ("APA") and four related escrow agreements, two of which are entitled Closing Adjustment Holdback Escrow Agreement and Indemnification Holdback Escrow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One of the major issues in negotiating the agreements was the price to be paid for the inventory of the Purchased Business, including the manner in which the inventory value would be calculated. At that time the business operation of UFW was not computerized. As a result, any determination of inventory required a physical count. UFW also utilized a retail method of accounting. In the course of their negotiations the parties agreed on an accounting methodology to determine the amount of inventory in the Purchased Business and the price to be paid for that inventory, as reflected in the APA.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result of that chosen methodology, the parties agreed to a price for the Purchased Business as of the closing date, March 16, 2004, which price was to be subsequently readjusted after the plaintiff took possession of the business. A Mutual Undertaking to Readjust executed March 16, 2004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AND NOTWITHSTANDING the closing ... the Purchaser and the Vendor undertake to one another to readjust, if necessary, forthwith upon the request of the other party, all adjustments to the Purchase Price and allocation thereof .... as set out in section 2.16, 2.19(7) and 4.03 of the Purchase Agreement, and all adjustments to any and all sales taxes payable pursuant to the above noted transaction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closing, as part of the due diligence process, the plaintiff and its agents were provided unfettered access to the records and business information in the possession of UFW. There were extensive discussions between the plaintiff and UFW and its auditors regarding the scope and methodology to be used in the inventory valuation. The plaintiff also retained the services of Deloitte &amp; Touche to verify the methodology and the inventory count performed by the UFW auditors. A number of the plaintiff's employees were directly involved in the inventory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at the March 16, 2004 closing date, $4.5 million of the total purchase price was set aside. The sum of $2 million was paid into trust, to be held by the Escrow Agent, pursuant to the terms of both the APA and the Closing Adjustment Holdback Escrow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on March 16, 2004, pursuant to the terms of the Indemnification Holdback Escrow Agreement, the plaintiff paid a further $2.5 million ("the Escrow Amount") into trust, to be held by the Escrow Agent pursuant to the terms of both the APA and the Indemnification Holdback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15, 2004, pursuant to the terms of the APA and the Closing Adjustment Holdback Escrow Agreement, the defendant, 551148 B.C. Ltd. ("551148"), and the plaintiff delivered to the Escrow Agent a joint written direction, directing the Escrow Agent to pay the Closing Adjustment Holdback as follows: $1,026,449 to the Purchaser, UFW Ltd. and, $973,551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20, 2004, as part of an internal restructuring plan, the purchaser, United Furniture Warehouse (2004) Corporation, assigned its right, title and interest in and to the APA, the Closing Adjustment Holdback Escrow Agreement, the Indemnification Holdback Escrow Agreement, and the Mutual Undertaking to Readjust to the Plaintiff, United Furniture Warehouse L.P., and the plaintiff assumed all of the covenants, liabilities and obligation of the purchaser under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Kerschbaum, the Vice President Finance of the Plaintiff, has deposed that during the course of a physical inventory count conducted in June 2004, the plaintiff discovered certain errors in the figures used in the determination of the Purchase Price and the post-closing adjustments to the Purchase Price. Specifically the plaintiff says it discovered the defendant had substantially overstated and inflated the Inventory amount by $2,136,668.85, while substantially understating the Assumed Liabilities by $96,199.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discovering these errors, the plaintiff advanced three claims against the Escrow Funds (its Six Month, Nine Month and Twelve Month claims), which claims total $2.4 million. It advised the Escrow Agent it would seek a readjustment of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disputed these claims and submitted them to arbitration pursuant to the terms of the Indemnification Escrow Holdback Agreement. By agreement, Mr. Murray Clemens Q.C., was appointed as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Vendor took the position that none of the plaintiff's claims came within the definition of "Claims" contained in the APA.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Clemens considered the first branch of the Claims definition, governed by subparagraph (i) of the definition of "claims" set out in the APA. That sub-paragraph reads as follows:</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losses, damages, expenses, liabilities, claims, proceedings, judgments, assessments and demands of whatever nature or kind (whether accrued, actual, contingent or otherwise) of the Vendor relating to the Purchased Business that existed prior to the Closing Date and for which the Purchaser may reasonably be expected to be liable or which create a lien on any of the Assets and including all reasonable legal fees and costs in connection therewith, but not including the Assumed Liabilities and Assumed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Clemens ruled that most of the plaintiff's claims did not fall within the definition of "Claims" as set out in sub-paragraph (i). Very broadly, the claims either did not exist prior to the closing date (but rather arose on payment of the Purchase Price), or were specifically excluded by the definition of Claims (ie. Assumed Liabilities and Assumed Payables). He ruled however that Claim 9 (a post-closing expense of $24,460 borne by the plaintiff for the defendant/vendor's pre-closing liability for various Workers' Compensation Board assessments) did come within the subparagraph (i) of the definition of Claims and that the plaintiff did have a potential claim to be tried against the Escrow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the second branch of the Claims definition (sub-paragraph (ii) of the definition of Claims) the plaintiff submitted it was entitled to claim against the Indemnification Escrow Holdback for the "shortfall" it had suffered. Sub-paragraph (ii) of the definition of Claims reads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amounts payable by the Vendor under Sections 2.15(5), 2.19(7) and 7.05 and Landlord Legal Fees Post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2.15(5) of the APA provides under the heading Adjustment Amount: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Vendor Payment Amount exceeds the Purchaser Payment Amount by more than $1,000,000, then the Vendor shall make payment of the excess over $1,000,000 to the Purchaser by way of cash, certified cheque or direct deposit concurrently with the payment of the Closing Adjustment Holdback under Section 2.15(4). If the Vendor fails to make such payment as set out in this Section, the Purchaser shall be entitled to claim the amount of the shortfall against the Indemnification Holdback.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submitted to the Arbitrator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some or all of the Claims come within s. 2.15(5) of the APA, notwithstanding the joint direction given to the Escrow Agent directing release of the Closing Adjustment Holdback. The Purchaser alleges that insofar as its claims are characterized as having effected an overpayment of the Purchase Price, that overpayment was not known at the time the direction was given because of a mistake or breaches of representations and warranties by the Vendor or the Vendor's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misrepresentations'. As a result, it says the Vendor has failed to make the payments required under s. 2.15(5) of the APA and the Purchaser is entitled to claim the amount of the shortfall against the Indemnification Holdback under s. 4.3(b) of the Escrow Agreement. The amount of this shortfall is alleged to be the difference between the Vendor Payment Amount (when properly calculated in accordance with the terms of the APA) following findings of mistake, breaches of representations and warranties by the Vendor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misrepresentations on its behalf. (see [paragraph] 68 of Interim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Clemens held he had no jurisdiction to address any claims brought under the second branch of the definition of Claims (subparagraph (ii)),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claims such as these do not come within the limited arbitration clause and would have me adjudicating disputes beyond my jurisdiction. Similarly, claims relating to mistake, braches of representations and warranties,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are new causes of action, not included in the Notice to Arbitrate. ([paragraph] 68 of Interim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concluded at [paragraph] 7, page 30 of the Interim Award that "Nothing in this award shall limit or impair in any way the ability or right of the purchaser to bring proceedings with respect to the other claims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then brought an application seeking an injunction restraining the Escrow Agent from releasing the Indemnification Escrow Holdback until further order of the arbitrator, the Supreme Court or agreement of the parties, and for an order that the Indemnification Escrow Holdback be paid into Court by way of interpleader.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Arbitrator's Final Partial Award was released on November 28, 2005, directing the Escrow Agent to make payment of the entire Escrow Amount less $24,460 to the defendant. Regarding the plaintiff's application for injunctive relief Mr. Clemens ruled: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consideration of the parties' arguments, I conclude that I do not have jurisdiction to grant the injunction sought as I do not have jurisdiction over the other claims' as set out in my interim award. Further my jurisdiction is limited to making a determination as to whether the claims which have been made are valid claims against the Escrow Fund and, if so, whether those claims have been proven. As is set out in my interim award, I have determined that all of the claims, with the exception of Claim 9, are not proper claims against the Escrow Fund. As I pointed out in my interim award, nothing which I said or decided in that award, would limit or impair in any way the ability or right of the Purchaser to bring proceedings with respect to the other claims elsewhere. Absent jurisdiction in this arbitration, the proper forum for those claims, and any injunction related to them, is a superior court, not this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heels of that ruling, the plaintiff made application to this Court and an interim injunction was granted by Burnyeat J. to allow the plaintiff an opportunity to amend various irregularities in its supporting affidavit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subject application was heard on December 14, 2005 and it was ordered at the close of submissions that the Interim Injunction would remain in place, pending the handing down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the plaintiff rely on the Affidavit material sworn by Mr. Kerschbaum?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plaintiff met the test for an interlocutory injunction, restraining the escrow agent from paying out the escrow funds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defence has seriously challenged the admissibility of the Affidavits sworn by Mr. Kerschbaum, complaining that he was not employed by the plaintiff until November 2004, well after the events in issue, and therefore cannot be said to have personal knowledge of the matters deposed to. Further the defence complains that many of the documents which Mr. Kerschbaum relies upon in outlining the plaintiff's claims were created in the course of the plaintiff's preparation of the Three Month, Six Month, and Twelve Month claims, when the plaintiff clearly anticipated legal proceedings. As a result the defence submits the documents the plaintiff relies upon to pursue this application are not admissible as business records under the Evidence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intend to address these various complaints since I have decided in any case that the plaintiff's application cannot succeed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it is not specifically stated in its Notice of Motion, plaintiff's counsel conceded that this application was effectively an application for an injunction pursuant to Rule 46 of the Rules of Court, that is an application for "an order for the detention, custody or preservation of any property that is the subject matter of a proceeding or as to which a question may arise". The plaintiff asserts a right to enjoin a "specific fund", that is the Escrow Fund held by the Escrow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Osooli-Talesh v. Emami </w:t>
      </w:r>
      <w:hyperlink r:id="rId867" w:history="1">
        <w:r>
          <w:rPr>
            <w:rFonts w:ascii="arial" w:eastAsia="arial" w:hAnsi="arial" w:cs="arial"/>
            <w:i/>
            <w:color w:val="0077CC"/>
            <w:sz w:val="20"/>
            <w:u w:val="single"/>
            <w:shd w:val="clear" w:color="auto" w:fill="FFFFFF"/>
            <w:lang w:val="en-US" w:eastAsia="en-US" w:bidi="ar-SA"/>
          </w:rPr>
          <w:t>[2003] B.C.J. No. 2904</w:t>
        </w:r>
      </w:hyperlink>
      <w:r>
        <w:rPr>
          <w:rFonts w:ascii="arial" w:eastAsia="arial" w:hAnsi="arial" w:cs="arial"/>
          <w:color w:val="000000"/>
          <w:sz w:val="20"/>
          <w:lang w:val="en-US" w:eastAsia="en-US" w:bidi="ar-SA"/>
        </w:rPr>
        <w:t xml:space="preserve"> (S.C.), in discussing the test for an in junction under Rule 46, Gray J. noted the following considerations at [paragraph] 43:</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claim on the evidence and not just on the pleadings to a proprietary interest in property?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evidence to render reasonable the belief of the plaintiff that the property is threatened with disposition or transfer outside the jurisdiction?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substantial question to be decided as to the plaintiff's entitlement to the property?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balance of convenience favour the granting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later noted at [paragraph] 49-52 that this test was substantially similar to the traditional test for an injunction: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test as developed in B.C. under Rule 46 is essentially the application of the general interim injunction principles to circumstances dealing with property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requirement that there be a claim on the evidence and not just on the pleadings to a proprietary interest in property, and the requirement that there be a substantial question to be decided as to the plaintiff's entitlement to the property, are essentially the same question as whether there is a fair or serious question to be tried.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requirement to show that there is evidence to render reasonable the belief that the property is threatened with disposition or transfer is another formulation of the question of whether the applicant would suffer irreparable harm if the application were refused. Lastly, the question of whether the balance of convenience favours the granting of the order is similar to the traditional test for an interim injunction.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test under Rule 46 and for a traditional interim injunction is, in essence,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evidentiary requirement-that is that there be a claim on the evidence and not just on the pleadings to a proprietary interest in property-was emphasized by Southin J. in Kongrecki v. Raphael </w:t>
      </w:r>
      <w:hyperlink r:id="rId868" w:history="1">
        <w:r>
          <w:rPr>
            <w:rFonts w:ascii="arial" w:eastAsia="arial" w:hAnsi="arial" w:cs="arial"/>
            <w:i/>
            <w:color w:val="0077CC"/>
            <w:sz w:val="20"/>
            <w:u w:val="single"/>
            <w:shd w:val="clear" w:color="auto" w:fill="FFFFFF"/>
            <w:lang w:val="en-US" w:eastAsia="en-US" w:bidi="ar-SA"/>
          </w:rPr>
          <w:t>[1993] B.C.J. No. 1631</w:t>
        </w:r>
      </w:hyperlink>
      <w:r>
        <w:rPr>
          <w:rFonts w:ascii="arial" w:eastAsia="arial" w:hAnsi="arial" w:cs="arial"/>
          <w:color w:val="000000"/>
          <w:sz w:val="20"/>
          <w:lang w:val="en-US" w:eastAsia="en-US" w:bidi="ar-SA"/>
        </w:rPr>
        <w:t xml:space="preserve"> (B.C.C.A.) where she stated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applicant's assertion in the pleadings of a right of property is not enough. His evidence must support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defence position here turns primarily on the principle that while a party may allege a proprietary claim to an escrow fund, it must prove a connection between the claim and its right to the fund. Thus where an alleged misrepresentation would only create a tenuous connection to a fund, the defence says the extraordinary remedy under Rule 46 should not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this regard the defendants rely heavily on the decision of Kirkpatrick J. (as she then was) in e-Scotia Acquisition Inc. v. Motivus Software Ltd. </w:t>
      </w:r>
      <w:hyperlink r:id="rId869" w:history="1">
        <w:r>
          <w:rPr>
            <w:rFonts w:ascii="arial" w:eastAsia="arial" w:hAnsi="arial" w:cs="arial"/>
            <w:i/>
            <w:color w:val="0077CC"/>
            <w:sz w:val="20"/>
            <w:u w:val="single"/>
            <w:shd w:val="clear" w:color="auto" w:fill="FFFFFF"/>
            <w:lang w:val="en-US" w:eastAsia="en-US" w:bidi="ar-SA"/>
          </w:rPr>
          <w:t>[2004] B.C.J. No. 940</w:t>
        </w:r>
      </w:hyperlink>
      <w:r>
        <w:rPr>
          <w:rFonts w:ascii="arial" w:eastAsia="arial" w:hAnsi="arial" w:cs="arial"/>
          <w:color w:val="000000"/>
          <w:sz w:val="20"/>
          <w:lang w:val="en-US" w:eastAsia="en-US" w:bidi="ar-SA"/>
        </w:rPr>
        <w:t xml:space="preserve"> (B.C.S.C.). In that case the plaintiff applied for an injunction restraining the defendant from disposing of or dealing with certain funds held in escrow. The plaintiff company, e-Scotia, which had invested approximately $1 million in Motivus, claimed that in the course of that transaction Motivus had failed to disclose to e-Scotia its current business prospects as required by a term of the Share Purchase Agreement. Four days after the sales transaction with the plaintiff closed Motivus sold its technology and trade name to a third party. After this sale, e-Scotia and Motivus arranged for $4.5 million to be paid into an escrow account for one month, in order that the closing of that third-party sale transaction be facilitated. As a term of the Escrow Agreement e-Scotia acknowledged and agreed the Escrow Agreement did not create any legal or beneficial interest in e-Scotia.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Kirkpatrick J. acknowledged e-Scotia's claim of a proprietary interest in the escrow funds (by virtue of what it alleged was Motivus' breach of a term of the Share Purchase Agreement), she concluded nevertheless at [paragraph] 68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allegations made by e-Scotia do not render the plaintiffs' claim to be anything more than a claim for unspecified damages for an alleged misrepresentation. The connection between the allegation of breach of warranty and the specific fund is tenuous. As such, I do not consider that the allegations justify the extraordinary remedy made available by Rule 46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Likewise here, the defendant says that the plaintiff's claim to the Escrow funds, founded on the contractual terms of the Indemnification Holdback Escrow Agreement, cannot succeed since those matters have already been determined by the arbitrator. Mr. Clemens held he had jurisdiction to assess those claims which related to the payment from the Escrow Fund pursuant to the terms of the Indemnification Holdback Agreement. He ruled that all of the plaintiff's claims, save a claim for $24,460, did not fall within the definition of "claims" and thus could not attach to the Escrow Funds. Accordingly the defendant says the plaintiff cannot show any proprietary right to the Escrow Funds, at least as contemplated by the Indemnification Holdback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counsel, Ms. Hiebert, has submitted that while Mr. Clemens ruled he had jurisdiction to determine claims under s. 4.3(c) of the Indemnification Holdback Agreement (for claims under sub-paragraph (i) of the Definition of Claims), he also ruled he had no jurisdiction under s. 4.3(b) of that agreement. Accordingly she says it remains open for this Court to consider claims under subparagraph (ii) of the definition of Claims (which entitles the Purchaser to seek recovery of its shortfall against the Indemnification Holdback), which claims have not been the subject of any ruling by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To be more accurate, I believe that Mr. Clemens found he had no jurisdiction to determine any claims against the Escrow Fund based on an allegation that the "vendor has failed to pay to the Purchaser amounts under (ii) of the definition of Claims"-which is what Mr. Clemens described as the "second branch of the definition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My reading of the Interim Award is that in addition to the Six, Nine and Twelve Month claims, Mr. Clemens identified all of the additional claims as "Other Claims" over which he had no jurisdiction. He describes the claims at [paragraph] 26 of the Interim Award: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foregoing claims which related directly to the six, nine and twelve month notices and constitute direct claims against the Escrow Fund, the following additional claims were made: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alternative claim for a declaration that the Escrow Amount is not payable and for a constructive trust (prayer for relief, sub-paragraph (b));</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alternative claim for damages for breach of contract and/or breach of warranty and/or damages for negligent, reckless or fraudulent misrepresentations and/or damages for breach of duty to co-operate (prayer for relief, sub-paragraph (c));</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payment of $2,136,688.85 as restitution to the Vendor (prayer for relief, sub-paragraph (d));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purchase price is subject to readjustment (prayer for relief, sub-paragraph (e)).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referred to as the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should be noted that some of these "Other Claims" are repeated in the Statement of Claim filed in this action. In the Prayer for Relief, the plaintiff claims: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sum of $2,444,827.85 paid into trust for the purpose of forming part of the Purchase Price is held on an express, resulting or constructive trust for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Purchase Price is and always has been subject to an adjustment in the amount of $2,444,827.85;</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damages in the amount of $2,444,827.85.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Very clearly, Mr. Clemens rejected any notion he had jurisdiction to resolve disputes concerning these "Other Claims". He concluded at [paragraph] 42 of the Interim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jurisdiction under s. 8.14, or for that matter under the arbitration clauses in the two related agreements, does not go as far as the Purchaser urges, that is, to resolve disputes, which, in this case, are characterized by the "Other Claims". I agree with the Vendor that the limitations placed on the arbitrator's jurisdiction in s. 8.14 evidence the parties' intention that these claims be dealt with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submits that notwithstanding the arbitrator's award, it is entitled to continue to pursue its claims for recovery against the Escrow Funds under the terms of the Indemnification Holdback Escrow Agreement. This claim for recovery of the Escrow Funds is based on the theory that but for the defendant's alleged misrepresentations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purchase price would have been properly calculated and no "overpayment" would have been made. Accordingly the plaintiff submits the escrow funds should be available to indemnify the plaintiff for what amounts to an overpayment of the purchase price under s. 2.15(5) of the APA. In the Statement of Claim, this claim is also framed in the alternative as a claim for damages flowing from the defendant's breaches of covenants, representations, and warranties in the Asset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there is perhaps some greater connection between the plaintiff's allegations of the defendant's breaches and the Escrow Funds than was the case in e-Scotia, my view is that the connection nevertheless remains a somewhat tortured one. It depends heavily on the plaintiff succeeding in convincing the Court that its alleged overpayment of the Purchase Price falls within the second branch of the definition of Claims contained in the APA. This will be difficult, particularly given that the plaintiff's predecessor, the Vendor, and the defendant were each paid out in April 2004, based on their joint direction to the Escrow Agent to make such payments from the Closing Adjustment Holdback pursuant to s. 2.15(4) of the APA. The contract provided that it is only where the Vendor fails to make that payment that the right to claim under s. 2.15(5) of the APA is even triggered. In this case there was no event which triggered such a claim. The plaintiff's claims here strikes me as an attempt to retrospectively replay the history of events which occurred post-closing.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view, while the plaintiff has attempted to frame its claim as one for reimbursement of an "overpayment" of the Purchase Price, (thus providing some foundation for a claim against the escrow fund), its cause of action is fundamentally a claim for damages, as was the case in e-Scotia (supra). In essence the plaintiff claims the defendants negligently, fraudulently or recklessly represented the books and records of 551148 were accurate, with the result that the value of the Inventory was overstated and the value of the Assumed Liabilities was understated. The plaintiff says that it relied upon those misrepresentations and suffered certain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end result I conclude that this claim for damages cannot be characterized as a "proprietary" interest in the Escrow Funds so as to allow for the extraordinary relief set out in Rule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Even if I was able to find that the plaintiff's claim did constitute a claim for a specific proprietary interest in the Escrow funds, it remains that the plaintiff's action will ultimately turn on whether or not it can prove 551148 made a misrepresentation as to the veracity of its records regarding the Purchased Business. It is significant that beyond Mr. Kerschbaum's statement of his belief that the claims set out in the Three Month, Six Month and Twelve Month claims are true, there is no evidence before the Court to support the allegation the defendants or any of them made any negligent or fraudulent or reckless misrepresentations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Since the plaintiff has failed to meet the first of the four tests articulated in Osooli-Talesh (supra), that is that there is a proprietary interest in the fund, there is no need for this Court to address the balance of the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it is not necessary to address any other criteria, I will state that in any case, I am not persuaded the evidence establishes the plaintiff would suffer any irreparable harm, should the Escrow Funds be released to the defendant. Apart from Mr. Kerschbaum's bare assertion of his belief that the assets of 551148 would be dissipated, were the escrow funds to be released, there is no evidence that company would be unable to pay any judgment which the plaintiff might ultimately recover in this action. Nor is there any evidence regarding the financial status of any of the corporate respondents or the personal respondent to the effect they would be unable to satisfy any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For all of these reasons, I dismiss the plaintiff's application for an interim injunction,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Veszely v. Mair Jensen Blair, [2002] B.C.J. No. 2908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 2002, September 18, 2002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32913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2908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1028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Laurel Veszely, plaintiff, and Mair Jensen Blair,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32"/>
      <w:bookmarkEnd w:id="297"/>
      <w:r>
        <w:rPr>
          <w:rFonts w:ascii="arial" w:eastAsia="arial" w:hAnsi="arial" w:cs="arial"/>
          <w:b/>
          <w:color w:val="000000"/>
          <w:sz w:val="20"/>
          <w:lang w:val="en-US" w:eastAsia="en-US" w:bidi="ar-SA"/>
        </w:rPr>
        <w:t>Barristers and solicitors — Compensation — Agreements, contingent fees — Invalid agreements — Measure of compensation — Reasonable charges, reasonably performed.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8" w:name="Case Summary_31"/>
            <w:bookmarkEnd w:id="2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of the defendant law firm's account rendered to the plaintiff client. The account totalled $30,805, including fees of $18,514 and disbursements of $8,780. The client's parents, on her behalf, retained the firm to represent her regarding her brain injury claim arising from a catastrophic motor vehicle accident. The parties entered into a contingency fee agreement. A term of the agreement provided that if the client terminated the firm's services early, the firm was entitled to its fees and disbursements for services rendered by it at a rate of $175 per hour. The client signed the agreement while out of the hospital on a day pass shortly after the accident. The firm expended 167 hours on the file, including time recorded by legal assistants and paralegals, during the one year its services were retained. The lawyer responsible for the file had hired a private investigator and accident reconstructionist to deal with liability. He did not contact a witness immediately and eventually had to proceed with a Rule 28 application. He missed errors in the reconstructionist's report. The client's claim was eventually settled by different counsel for $970,000. The firm's disbursements were accepted in the settlement and the client was paid for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9" w:name="Holdings of Court_25"/>
            <w:bookmarkEnd w:id="299"/>
            <w:r>
              <w:rPr>
                <w:rFonts w:ascii="arial" w:eastAsia="arial" w:hAnsi="arial" w:cs="arial"/>
                <w:color w:val="000000"/>
                <w:sz w:val="20"/>
                <w:lang w:val="en-US" w:eastAsia="en-US" w:bidi="ar-SA"/>
              </w:rPr>
              <w:t>HELD: The firm's fees were assessed at $8,750.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disbursements were approved as claimed. The agreement between the parties was not enforceable. The client did not have the capacity to enter into the agreement when she signed it. The lawyer was a credible witness. He had left much of the liability investigation in the hands of the investigator. The work undertaken by the firm could have been accomplished with 50 hours of lawyer's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Legislation Cited_20"/>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28. Legal Professions Act, s. 71, 71(4), 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1" w:name="Counsel_42"/>
      <w:bookmarkEnd w:id="3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 Zak, for the plaintiff. B. Carter,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2"/>
      <w:bookmarkEnd w:id="302"/>
      <w:r>
        <w:pict>
          <v:line id="_x0000_s1233"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MASTER GROVES"/>
            <w:bookmarkEnd w:id="303"/>
            <w:r>
              <w:rPr>
                <w:rFonts w:ascii="arial" w:eastAsia="arial" w:hAnsi="arial" w:cs="arial"/>
                <w:b/>
                <w:color w:val="000000"/>
                <w:sz w:val="30"/>
                <w:lang w:val="en-US" w:eastAsia="en-US" w:bidi="ar-SA"/>
              </w:rPr>
              <w:t>MASTER GROVES</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review pursuant to the provisions of the Legal Professions Act involves one bill dated August 20, 1998 rendered by the law firm of Mair Jensen Blair, the responsible lawyer being Michael Ernest Vannier ("Vannier"), to the client, Laurel Veszely.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breakdown of this account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$18,514.00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40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GST on Fees: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$ 1,295.98</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PST on Fees: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$ 1,295.98</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Taxable Disbursements: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$ 8,779.89</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627"/>
        <w:gridCol w:w="1150"/>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Taxes on Disbursements: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617.39</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419"/>
        <w:gridCol w:w="1150"/>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Non-taxable Disbursements:</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301.83</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282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$30,805.07</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fee has been calculated based on the provisions of a fee agreement purportedly entered into between the law firm of Mair Jensen Blair ("MJB") and Laurel Veszely ("Laurel") on the 11th August,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Vannier was retained initially by Mr. Frank Veszely on behalf of his daughter, Laurel. The service of Vannier and MJB were terminated on or about the 13th August,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fee agreement was a contingency fee agreement which had the following provisions as to early 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further agreed that if, during the course of this action, the client changes solicitor, the client will pay immediately to MJB its fees, disbursements and taxes for professional services rendered by it on this file to the date of discharge. These professional services will be billed by MJB to the date of its discharge at the rate of $175.00 an hour for the lawyer's fees and $75.00 an hour for para-legal and legal assistant's fees. It is understood that this account may be taxed before the Registrar of the Supreme Court of British Columbia pursuant to s. 71 and 78 of the Legal Profession Act, R.S.B.C. 1979 within twelve months from the date upon which a bill for such services rendered is delivered or sent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Based on the agreement, the breakdown of the calculation of fees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987"/>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PER HOUR: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TIME SPENT: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1255"/>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Michael Vannier</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66.7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464"/>
        <w:gridCol w:w="1359"/>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Dale Osborne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w:t>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1255"/>
        <w:gridCol w:w="1359"/>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Sherry Donegan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w:t>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Darren Paulson</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$ 75.00</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 hours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(Articled</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Student)</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568"/>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Para-legals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75.5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1255"/>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Word processors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$ 40.00</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67.7 hours of lawyers' time expended, 1.6 hours of student hours expended, 75.5 of legal assistant time expended, and 22.1 hours of word processing expended.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lawyers' time was all billed at $175.00, the articled student and para-legal time at $75.00 an hour, and the word processing time at $40.00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a total of 166.9 hours expended by the law firm of MJB according to the evidence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Vannier, formerly a partner at MJB, gave evidence on behalf of the solicitors. Vannier indicated that he first met with Laurel's parents, Mr. and Mrs. Veszely, after Laurel had been involved in a motor vehicle accident. As it turns out, this was a catastrophic motor vehicle accident. Laurel was struck in the early evening of June 30, 1997 by a fast moving vehicle on an unlit road on the Kamloops Indian Band Reserve. She was immediately hospitalized and was in a coma for ten days. It is during her initial hospitalization that Mr. and Mrs. Veszely contacted Vannier. It became apparent at the first meeting that liability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a crucial aspect to this case. Vannier stated he determined that it was important to find out what happened as early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being approached by Mr. and Mrs. Veszely, Vannier immediately contacted Larry Grant, a private investigator in Kamloops, to assist him in the investigation. Mr. Grant had already been retained by the Insurance Corporation of British Columbia, who was the insurer of the defendant in these proceedings. Vannier then contacted Larrie Riddell of Kamloops, who he viewed as an experienced investigator, someone he has used in motor vehicle matters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Vannier testified that he considered Larrie Riddell to be very experienced and that he used her work product, and that she did good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Laurel was clearly incapacitated, Vannier purported to enter into a contingency fee agreement with her, as noted, on the 11th August, 1997. This was the first occasion that he had met her; the instructions for his work, to that date, coming from Mr. Veszely. Vannier testified that he understood at this stage that this was a significant brain injury, and Laurel was obviously suffering from significant cognitive difficulties. Vannier testified that Laurel appeared to understand what Vannier told her, but as circumstances would turn out, this is clearly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regards to the actions taken by Vannier on behalf of Laurel, his evidence was that there were a number of initial concerns noted by him and he acted on those concerns. First and foremost, Vannier stated that he undertook to deal with the issue of liability. As noted earlier, Larrie Riddell was retained, a person Vannier considered an experienced investigator. In turn, Larrie Riddell retained the services of Don Le Comte, of Pacific Rim Accident Reconstruction Ltd., to provide accident reconstruction evidence as to this accident. A number of reports were prepared by Mr. Le Comte and Ms. Riddell conducted a number of investigations, including interviewing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Additionally, on the liability side, the R.C.M.P. records were obtained, including their report on the accident which was not favourable to Laurel's position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quantum side of the matter, medical records were received and reviewed by Vannier. These include the Royal Inland Hospital reports, as well as the clinical notes of Dr. Cleland, Dr. Porter, Dr. Brownley, Dr. Calder, as well as occupational therapists and records of the rehabilitation therapist. Vannier testified that he reviewed all these documents and made notes, as well as providing these materials to the various para-legals in his office who worked with him on the file to organize the file and summarize the contents of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to this work and conduct of the file generally, Vannier testified that he had a number of telephone conversations with Mr. Veszely, as well as a number of meetings with Mr. Veszely, his wife and with Laurel. Additionally, he corresponded with the doctors, the Insurance Corporation of British Columbia ("I.C.B.C.") their lawyers and representatives, as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Vannier came to the conclusion that I.C.B.C., who represented the defendant, intended to make a "serious run" at liability. Vannier's view was that I.C.B.C. could not minimize the seriousness of the injury and that they would try to reduce their liability by relying on a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Vannier testified that his strategy in handling the file was to deal with the issue of liability first, and "wrap that up" as soon as possible, and that the retaining of an investigator and an accident reconstruction specialist was a good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was particularly true in light of what the R.C.M.P.'s preliminary determination on the criminal investigation concluded. The R.C.M.P.'s records suggested that Laurel may have been in the middle of the road when the accident occurred, and that would obviously favour I.C.B.C.'s position that she was contributorarily negligent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the conduct of the file as described above, Vannier indicated it was necessary for him to take out a Rule 28 application to examine Mr. Tweedy, who was Laurel's boyfriend at the time of the accident. He was the only one who was a witness to the accident, or perhaps better described as a partial witness to the accident, and he appears, from Vannier's testimony, to have been somewhat less than co-operative for reasons which were not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Vannier testified that in addition to what is noted above, he contacted Mr. Dewey, who was Laurel's employer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Additionally, Vannier had a number of conversations, communications and meetings with Roxanne O'Connor, who was an I.C.B.C. rehabilitation representative, Dave Webster, an adjuster with the head office claims branch of I.C.B.C., Dr. Miller, a neuropsycholoigist who was treating Laurel at the time, and the various lawyers with I.C.B.C. who were handling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Vannier concluded that during the time he had conduct of the file he was never of the view that the trial could be lost. He was satisfied with the evidence that the liability issue or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of I.C.B.C. would not be successful. He also indicated that though no conversations had taken place with I.C.B.C. at the early stage of his involvement about settlement, he did view the case as being a "million dollar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behalf of the client, various representatives of her second solicitor's office, the law firm of Horne Marr Zak, were called to testify. In addition, her father, Frank Veszely, testified. The evidence called on behalf of the client is critical of the actions undertaken by Vannier. These criticisms can be characterized as follows: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Larrie Riddell: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Vannier is criticised for turning over conduct of the liability question, or the investigation side, to Larrie Riddell. It is suggested that Vannier did very little to retain control of the liability side of the file. Larrie Riddell is criticised as being an investigator with limited experience, and limited reputation. Her reports are criticised for various inaccuracies and she is particularly criticised for her retaining of Mr. Le Comte and Pacific Rim Accident Reconstruction Ltd., and for the limitations in his work.</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Tweedy: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Vannier is criticised for not speaking to the witness, David Tweedy, right away. It is suggested that Vannier was retained early on, that liability was clearly at issue, and David Tweedy was the best, or only witness available. It is suggested that Vannier's delay in speaking to David Tweedy could have had serious potential negative ramifications for the case, and his discussions should not have been left so long that a Rule 28 application was necessitated.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Don Le Comte's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Vannier is criticised for indirectly retaining Mr. Le Comte. Mr. Le Comte's report is criticised significantly for its failure to conduct the accident reconstruction with a vehicle similar to that driven by the person who struck Laurel. Vannier is criticised for not noting the errors in the accident reconstruction report of Mr. Le Comte, it being Frank Veszely who noticed the significant problems and pointed them out to Vannier, who then took action. Additionally, Vannier is criticised because I.C.B.C. had retained an engineer to conduct this work, rather than an accident investigator, Mr. Le Comte, who was a former R.C.M.P. officer.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Roxanne O'Connor: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parties spoke glowingly of the qualifications and competence of Roxanne O'Connor, who is an I.C.B.C. rehabilitation specialist. However, Vannier is criticised for turning over the rehabilitation aspect of the case to essentially a representative of the defendant. It is suggested that the issues of rehabilitation were crucial to a wage loss claim or a determination of non-pecuniary damages. As such, an independent rehabilitation specialist was called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these criticisms, Vannier commented in redirect that he had always found Roxanne O'Connor to be competent and even handed. His view of dealing with Roxanne O'Connor was that he needed to co-operate with her or else funding for rehabilitation could be cut off. Based on his past experience with her, that being that she was a "capable, trusted and fair" person, and though she was clearly a representative of the defendant, Vannier felt comfortable in dealing with her taking the lead rehabilitation aspect of the file. Vannier further testified that he had numerous conversations with Roxanne O'Connor, and that virtually every time she was in Kamloops he would meet with her to discuss issues concerning Laurel's rehabilitation and plans for it.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Wage Loss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Vannier is criticised for not attending to having these instituted immediately. Vannier testified in cross-examination that he was having difficulty getting the necessary documentation in place to apply for wage loss benefits, though he was close to having the materials together by the time the file was transferred. The evidence of the clients suggests that upon transfer of the file these wage loss benefits were almost immediately instituted, including retroactive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regards to Vannier's evidence, I accept his testimony. Vannier impressed me as a credible witness, whose evidence was believable. If he did not recall an aspect of a question he stated so. His evidence, as indicated, was believable and he was not seriously shaken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is not to say, however, that a number of the criticisms levelled against him do not have foundation. I think it is fair criticism that Vannier left much of the liability investigation in the hands of the investigator. There is no satisfactory explanation as to why Mr. Tweedy was not contacted earlier on, and there is no explanation provided for the difficulties which arose which required the Rule 28 application. Additionally, in my view, Vannier should have retained the accident reconstruction specialist directly, and should have been more attentive to the errors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the file was transferred from MJB to Horne, Marr, Zak there was very little evidence by way of memos and/or other work product which were of assistance to the new counsel. Counsel for the client raises a significant point that there are numerous time entries indicating memos to file, or memos to para-legal, which appear to involve reviews of medical reports, rehabilitation reports and other work product in the file which were not forwarded when the file was transferred, or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regards to the transfer of the file, as noted, the file was transferred to the law firm of Horne Marr Zak, and specifically to lead counsel, David Marr. David Marr gave evidence at the hearing and indicated that his office practise is to divide the issues of quantum and liability between the various lawyers at his firm. In this case, he retained the responsibility for quantum in regards to Laurel, and Graeme Black of his firm, retained the responsibility for liability. With Vannier, there was no such division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David Marr testified that, in his view, there was virtually no value to the work undertaken by Vannier on behalf of Laurel. He is critical of Vannier and of Larrie Riddell. He is critical of him for, in his view, leaving the rehabilitation aspect of the file completely in the hands of I.C.B.C. and Roxanne O'Connor. He is critical that, in his view, the medical information obtained by Vannier had "nothing useful"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Graeme Black also gave evidence on behalf of the client. Graeme Black was particularly critical of the work of Larrie Riddell and of Don Le Comte. Interestingly, however, Graeme Black admitted that in regards to Larrie Riddell, no further investigator was retained by him in regards to the work done by Larrie Riddell. He is critical that in regards to the Rule 28 examination of Mr. Tweedy no transcript was ordered, though he admitted in cross-examination that he did not order a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regards to the Le Comte report, Graeme Black indicated that he retained the services of Baker Material Engineering, an individual by the name of Harvey West. He was critical of the Le Comte report. He admitted in cross-examination that Harvey West has been extensively criticised in a number of cases before the Supreme Court of British for the work that he has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legal fees agreement between Laurel Veszely and MJB dated August 11, 1997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Laurel Veszely was seriously injured in a motor vehicle accident on June 30, 1997. She was in a coma for a significant period of time. She suffered a severe, traumatic brain injury. After her coma, she remained hospitalized for a long period of time and remained agitated, confused and unable to retain new information. A committee eventually had to be appointed to allow Laurel's claim to be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 date shortly after the accident that Laurel was out of the hospital temporarily on a day pass, while confined to a wheelchair, she signed the contingency fee agreement with MJB. She was suffering then, as she is suffering today, the affects of a traumatic brain injury. She clearly did not have the capacity to enter into a settlement of her I.C.B.C. claim, close to four years after she entered into the contingency fee agreement on August 11,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before me strongly suggests, and I have no difficulty in concluding, that Laurel did not have the capacity to enter into any fee agreement or any contract for that matter, when she purportedly entered into a fee agreement on the 11th August,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 result, the legal fees agreement between Laurel Veszely and MJB is not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disbursements incurred on behalf of Ms. Veszely by the law firm, MJB, recoverable by MJB?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conceded by both parties that the maximum settlement available to Laurel, considering insurance limits, would be $1,000,000.00, plus costs which included disbursements. Laurel Veszely's claim was settled at mediation for $970,000.00, plus costs and disbursements. All the disbursements incurred by MJB were accepted at face value, and for the amount claimed, by I.C.B.C. at mediation. Laurel was paid for the entire costs of these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Laurel now argues that the disbursements were not reasonably incurred, and that Laurel should be credited for them, and the solicitor is only entitled to some reduced amount of disbursements, to reflect the allegation that they were not reasonably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this argument holds no weight. The client, Laurel, has been totally reimbursed by the defendant for the disbursement costs. To accede to the argument would be to effectively award the client double recovery. She has been paid by I.C.B.C. for her costs of these disbursements and she would not be obliged to reimburse MJB for the disbursements. No legal authority was provided for this by the solicitor for the client, and I see no legal basis for such an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an argument that the initial report Mr. Le Comte was faulty in that he did not complete the initial accident reconstruction with a vehicle similar to the vehicle involved in the accident with Laurel. There is justifiable criticism that Larrie Riddell, upon Vannier's instructions, retained Le Comte on her own with little, if any, input from Vannier. However, I am not satisfied that these reports were in and of themselves of no value to the client. I note specifically that Mr. Black indicated in cross-examination that he did not feel it necessary to retain additional investigators.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the appropriate remuneration for the legal services rendered by MJB?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Any review in this area starts with a consideration of s. 71 of the Legal Professions Act. S. 71(4) &amp; (5) read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review of a lawyer's bill, the registrar must consider all of the circumstances, including</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of the registrar under subsection (4) is not limited by the terms of an agreement between the lawyer and the lawyer's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total fees charged by MJB to Laurel were $18,514.00. The lawyer and articling student time was $11,967.50 representing 67.7 hours of lawyer time, and 1.6 hours of articling student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legal assistant and word processing time totals $6,546.50.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absence of a contingency fee agreement confirming an agreement to bill secretarial and legal assistant time, lawyers are not entitled to bill such time. I have found here that there is no agreement. Additionally, no evidence was called by any party as to what role the para-legals at MJB played in the conduct of this file. Vannier testified that he would turn over medical information, clinical notes and the like, which he did request, to the para-legals who would vet them and organize them. There does not appear to be much value in this service to the client. The main criticism of David Marr of the work of Vannier was that when the file was turned over to David Marr, approximately one year after the accident, there was little work done on the quantum side of the case. No memos, summaries, or other follow-up on medical reports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indicated, David Marr testified there was virtually no value to the work undertaken by Vannier on behalf of the client, Laurel, on the quantum side of her claim. In my view, this comment ignores two significant facts. The first fact is that the work-up of this case, for lack of a better term, was very much at its early stage. It is not disputed that Vannier obtained a number of doctor's clinical notes and a number of hospital reports. Additionally, Vannier had organized a rehabilitation specialist for Laurel. He obtained records and reports from the rehabilitation therapist, as well as occupational therapist. The evidence before me suggests that all these records were turned over in an organized fashion to the law firm of Horne, Marr, Zak. That aspect of Vannier's testimony was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Secondly, in a significant personal injury case such as this, it is clearly the liability side of the case that would occupy the lawyer's primary work time in the first year, more so than the quantum side of the case. Clearly, the extent of the quantum would depend on the extent of Laurel's recovery, if any, and was clearly something that would develop over time. It is noted that after the file was turned over to Horne, Marr, Zak, the case did not resolve itself until approximately four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Graeme Black is critical of Vannier on the liability side. Some of those criticisms are justified and some are not. I cannot accept the criticism of Larrie Riddell, as suggested by Black, because Black did not, when he took over the liability aspect of Laurel's case, retain another accident investigator and clearly intended to rely on Larrie Riddell's work product. Graeme Black clearly does not appreciate the work of Mr. Le Comte, but it is equally clear that Vannier and his counsel do not appreciate or respect generally the quality of work which the accident investigator of choice of Mr. Black, Harvey West, would have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was no evidence called by anyone with expertise to criticize either the work of Larrie Riddell or Don Le Comte, or for that matter, Harvey West. Clearly the lawyers who handled Laurel's case at various times had their preferred experts and were critical of the experts of the other, but no evidence was called before me on which I could base an independent assessment of who was the better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left to conclude that the law firm of Horne, Marr, Zak and the law firm of MJB, specifically Vannier, handle the conduct of a personal injury case in a very different way. Again, I cannot conclude on the evidence before me that one law firm's way of doing it is superior to that of the other. Vannier's handling of the file was that Vannier was the one and only lawyer having conduct of the file. He was the one reviewing the clinical notes as they came in, and was directing support staff to assist him in file organization and management. At Horne, Marr, Zak things are done very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Clearly, Frank Veszely, Laurel's father, felt that he was not getting as detailed or thorough service from Vannier as he had expected. He testified that he felt Vannier should have been putting more effort into the file. He was not satisfied with the work effort which he believed Vannier to be providing him, and he moved Laurel's file, as is a client's right. I do accept the criticisms that Frank Veszely makes of Vannier. Vannier should have been more attentive to the report of Don Le Comte when it came in. It should not have been left to Frank Veszely to find errors in that report, and insist on those errors being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Additionally, Vannier should have acted much more promptly in dealing with Laurel's claim for Part VII benefits for loss of wages, a problem that was remedied immediately upon the file being transferred with no financial loss to Laurel.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noted earlier, and as noted by Frank Veszely in his testimony, no explanation is provided for the immediate lack of contact with David Tweedy.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general, the work provided by Vannier assisted Laurel in establishing initial accident investigation information, and providing at least the initial basis for an argument against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reduced liability by the defendant. On the quantum side, Vannier obtained initial medical information which was subsequently used in the ultimate settlement of Laurel's case. However, there is really no explanation for the extent of the legal assistants' and secretarial time in this case. No significant evidence was provided as to what role they played in the conduct of the file, and there is little evidence that any of their work was ultimately of any value to the client. In my view, the work undertaken by MJB and Vannier, on behalf of Laurel, could easily be accomplished with 50 hours of lawyer's time. I accept that Vannier's hourly rate of $175.00 per hour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will approve fees for MJB in the amount of $8,750.00, plus G.S.T. of $612.50 and P.S.T. of $612.50, for a total of $9,975.00 in legal fees and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disbursements are approved as claimed and I believe the evidence suggests that they have already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has been a substantial reduction in this account, and as a result, the client is entitled to their costs. This matter occupied one full day and two half days of hearing. I would fix costs for the hearing at $1,200.00 (inclusive of fees and disbursements), which should be deducted from the account of MJB.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can get back to me about the form of certificate if one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Zary v. Canada Mortgage and Housing Corp., [2015] B.C.J. No. 1407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S125094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1407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2015 BCSC 1145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21 C.C.L.T. (4th) 300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256 A.C.W.S. (3d) 242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2015 CarswellBC 1849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Darla Elizabeth Zary, Plaintiff, and Canada Mortgage and Housing Corporation,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5"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33"/>
      <w:bookmarkEnd w:id="304"/>
      <w:r>
        <w:rPr>
          <w:rFonts w:ascii="arial" w:eastAsia="arial" w:hAnsi="arial" w:cs="arial"/>
          <w:b/>
          <w:color w:val="000000"/>
          <w:sz w:val="20"/>
          <w:lang w:val="en-US" w:eastAsia="en-US" w:bidi="ar-SA"/>
        </w:rPr>
        <w:t>Tort law — Occupiers' liability — Particular situations — Floors — Application by defendant for summary judgment dismissing personal injury action allowed — Plaintiff injured her knee when she fell on wet floor in washroom located in market operated by defendant — Defendant's cleaning routine of washroom met standard of care — It was inevitable that there would be some moisture on floor of public washrooms at any given time — Mere presence of water did not constitute an objectively unreasonable risk of harm, particularly given plaintiff's knowledge that the floor in the washroom was often damp.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32"/>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judgment dismissing the action for injuries suffered as a result of a slip and fall accident. The plaintiff injured her knee when she fell on the wet floor in a washroom located in a market operated by the defendant. The plaintiff, a frequent vendor at the market, knew that there was often water on the washroom floors making them slippery. The evidence indicated that the washrooms were cleaned in a two-hour interval. The evidence of the janitorial service indicated that because the washrooms in the market received a fair volume of traffic, it was impossible to keep the floors in the washrooms perfectly dry at all times. A bright sign warned patrons that the floors might be wet. There was no evidence of a water leak in the washroom on the day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26"/>
            <w:bookmarkEnd w:id="30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the plaintiff's evidence that there was some water on the floor and that her fall was caused by the dampness on the floor. The defendant had, however, met the standard of care under the Occupiers Liability Act. Given the nature of the business carried out at the market and the volume of foot traffic that passed through the market, particularly on weekends, it was inevitable that there would be some moisture on the floor of the public washrooms at any given time. The mere presence of water did not constitute an objectively unreasonable risk of harm, particularly given the plaintiff's knowledge that the floor in the washroom was often damp.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21"/>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6"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34" w:history="1">
        <w:r>
          <w:rPr>
            <w:rFonts w:ascii="arial" w:eastAsia="arial" w:hAnsi="arial" w:cs="arial"/>
            <w:i/>
            <w:color w:val="0077CC"/>
            <w:sz w:val="20"/>
            <w:u w:val="single"/>
            <w:shd w:val="clear" w:color="auto" w:fill="FFFFFF"/>
            <w:lang w:val="en-US" w:eastAsia="en-US" w:bidi="ar-SA"/>
          </w:rPr>
          <w:t>RSBC 1996, CHAPTER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8" w:name="Counsel_43"/>
      <w:bookmarkEnd w:id="3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7"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Grunder.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V.J. Pahl, M. Checchia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3"/>
      <w:bookmarkEnd w:id="309"/>
      <w:r>
        <w:pict>
          <v:line id="_x0000_s1238"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R.A. SKOLROOD J._0"/>
            <w:bookmarkEnd w:id="310"/>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24, 2010, the plaintiff, Ms. Zary, injured her right knee when she fell in a washroom located in the Granville Island Public Market (the "Market"). Ms. Zary has commenced this action seeking to recover damages for the injury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Market is operated by the defendant Canada Mortgage and Housing Corporation ("CMHC") and CMHC concedes that is an occupier within the meaning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CMHC applies,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summary trial rule, for an order dismissing Ms. Zary's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this is CMHC's application, it is useful to start with Ms. Zary's evidence and, in particular, her description of how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Zary is an artist and has been selling her art as a day vendor at the Market since 2004. As a result, she was familiar with the washrooms at the Market, including the one in which she fell, which is described as washroom B-4.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Zary deposes that she has used that washroom many times over the years. She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Often the washroom is dirty. Before October 24, 2010 there were frequent occasions when there was water on the floor of the washroom. On occasions I would not use that washroom because I know that water on the ceramic tile floor can be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Zary also provides evidence of her general observations concerning the washroom: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observation is that there is frequently water on the floor of that washroom. My observation is that the water accumulates from water dripping from the fixtures. I have seen drops of water that condense on the plumbing fixtures fall to the floor. I have not seen a water leak in the washrooms, but I have seen water accumulate on the floor from what I believe to be water condensing on to the steel and porcelain fixtures. I have observed that there is a variation with respect to the moisture on the floor in the washroom. For example, in the summer I have observed the floor to be dry on some days. When the floor is dry it is not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terms of the incident on October 24, 2010, Ms. Zary describes her fall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24, 2010 I had worked at the public market. After the market closed I was getting ready to leave for the day. I walked into one of the women's washrooms at the public market. On this occasion I did not see water on the floor as I walked into the washroom so I thought I would use the washroom. I pushed open the swinging door of the stall closest to the entrance of the washroom. When I pushed the swinging door open I saw that there was water on the floor in the area around and approaching the toilet. Upon seeing the water I thought to myself that I did not want to use that stall because I did not want to run the risk of slipping because of the water. I took one step with my left foot to leave the stall. As I stepped I felt my right foot slip. I grabbed the door to the stall to try to prevent myself from falling, but I was not able to prevent myself from falling. I could not hold myself up by using the door and my legs were not in a position to support me. I called for help as I was holding onto the door. I fell to the wet floor and heard a "snap" from my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Zary attaches to her affidavit a number of photographs that were taken shortly after she fell by another vendor, Ms. Vlaar. Certain of the photographs appear to show some moisture on the tiles and in the seams between the tiles in the stall where Ms. Zary fell. While the moisture is apparent in the photographs, there is no obvious pooling or collection of water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Zary relies on the affidavit of Denis Gobeil who is also a vendor who sells carvings at the Market. He deposes that on January 31, 2014 he slipped on a wet floor in the men's staff washroom after it was cleaned. He says that he wrote a note reporting the incident to one of the tenant co-ordinators.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Gobeil's affidavit is of minimal probative value given that he describes an incident in a different washroom over three years after the date on which Ms. Zary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CMHC put forward evidence from a number of individuals concerning the system in place for inspecting and cleaning the washrooms at the Market as well as evidence from employees who attended the scene when Ms. Zary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Vic Tacderan and Luisito Urbayo are janitors employed by CMHC who were on duty on October 24, 2010. Mr. Tacderan deposes that he was working the afternoon shift that day and that he performs his duties in accordance with a set schedule. The janitorial staff work in two man teams and he was working with Mr. Urbayo.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Mr. Tacderan, the afternoon work schedule requires that the washrooms in the Market, including B-4, are cleaned at approximately 3:00 pm, 5:00 pm and 7:00 pm. The work schedule also sets out a detailed list of tasks to be completed with each cleaning, which includes "sweep and mop floors, thoroughly".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Tacderan deposes further that it is his invariable practice to follow the tasks set out in the schedule. He says as well that if, while carrying out his duties, he ever came upon a water leak in any of the washrooms, he would immediately report it to the maintenance department. Mr. Tacderan has no recollection of any leak in washroom B-4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Of note, Mr. Tacderan says that because the washrooms in the Market receive a fair volume of traffic, it is impossible to keep the floors in the washrooms perfectly dry at all times. Accordingly, he says that bright yellow "Caution: Wet Floors" signs are placed outside the entrance to each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Tacderan says that on October 24, 2010, he heard a report on his radio that someone had fallen in washroom B-4. He and Mr. Urbayo attended and saw a woman lying on the floor in the washroom. He says that he did not have an opportunity at that time to investigate what might have caused her to fall, but when they did the next scheduled cleaning at 7:00 pm, he did not notice any unusual amounts of water on the floor anywhere in the B-4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Urbayo gave virtually identical evidence in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Carl Barrow is employed by CMHC as the Janitorial Supervisor at the Market. Mr. Barrow was not working on October 24, 2010 but says that he has no record of anyone reporting a leak in washroom B-4 on that day. He says further that had there been any leak or unusual accumulation of water, he would have been notified as he always is when such events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affidavit, Mr. Barrow describes the general system for cleaning the public washrooms in the market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CMHC janitors, who work in assigned teams of two in the Public Market, are required to clean two women's public washrooms, two men's public washrooms, a smaller washroom for handicapped patrons, and two smaller staff washrooms (men and women). At 0600h, they clean the staff washrooms and do a visual inspection of the public washrooms. At 1100h, 1300h, 1500h, 1700h and then 1900h, all of the Public Market washrooms are cleaned in accordance with the Cleaning Schedule and Washroom Cleaning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Barrow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foot traffic the Granville Island Public Market typically receives on the weekends and people washing their hands and moving from the sinks in the public washrooms to the paper towel dispensers (as they were then), and washing fruit that is purchased at the Market, it is practically impossible to keep the floors in the Market public washrooms dry. In response, we schedule the cleaning of the washrooms as often as practical and post a bright yellow plastic sandwich board "Caution" sign to advise patrons and day vendors that the bathroom floor can be potentially slippery when wet. These sign are located just inside the doorway of the main entrance of the public washrooms. There is a sign for each washroom. Such a sign would have been outside of the B-4 women's washroom on the date of Ms. Zary's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Erik Nelson was the tenant coordinator for CMHC at the Market on October 24, 2010. Mr. Nelson's shift ended that day at 1750h so he was not on duty at the time of Ms. Zary's fall. However, he was at the Market at 1900h as he was there to pick up his wife who also worked there. Mr. Nelson says that he was informed of the incident and so he went to look at washroom B-4. He says he did so before the janitorial staff arrived to clean it. According to Mr. Nelson, the floor was damp from use, which was typical for the time of year and time of day, but he did not observe any puddles of water or accumulations that would pose as a slip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Heinz Pohl is a commissionaire who was on duty at the Market on October 24, 2010. He learned that someone had fallen in the B-4 washroom and attended the site where he saw Ms. Zary seated on the floor next to the first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Mr. Pohl, he recalls that the washroom floor was damp in places, but there were no significant puddles of any kind. He said there was some water on the floor in the first stall, likely from the accumulation of the condensation that forms on the toilet and its plumbing fixtures, but no puddles or water. Mr. Pohl says further that before Ms. Zary was taken out of the washroom, a yellow plastic "Caution" sign, that was outside the entrance to the washroom, was placed in the doorway of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Mr. Pohl, during the approximately two and one half years in which he was employed as a commissionaire at the Market, he was not made aware of any other sip and fall events in any of the washrooms.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Severance and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noted, CMHC seeks to have the liability issue determined on this summary trial. No formal severance application has been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9-7 does contemplate in subsection (2) that a party may apply for judgment on an issue or generally. However, the authorities make it clear that where a party seeks judgment on liability only, even in the absence of a severance application, the court must consider the principles governing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Madam Justice Gerow described the proper approach as follows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authority for the proposition that in a summary trial application where a party seeks to proceed only on liability, a two step approach should be followed: the first step is to determine whether there should be severance, and the second step is to determine if a summary trial on the issue of liability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paras. 8-9.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stated that the test for severance is whether there are extraordinary, exceptional or compelling reasons for the severance. A compelling reason to order severance is a likelihood of a significant savings in time and expense realized by a summary trial: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the test for severance is met in this case. In particular, I am satisfied that by deciding the liability issue in advance, there will be a considerable saving in time and expense. If the liability issue is decided in favour of CMHC, then the case will be at an end, subject to any appeal. If, however, liability is found in favour of Ms. Zary, the resulting trial on damages will be considerably shorter, if indeed it goes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 then is whether the matter is suitable for determination by summary trial. On this point, Rule 9-7(15)(a)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critical question facing the court when hearing a summary trial application is whether the court can find the facts necessary to decide the disputed issues. Even where the court can find the necessary facts, it must still consider whether it would be just to decide the matter summarily, by reference to factors such as the amount involved, the complexity of the matter, its urgency, any prejudice that might arise by reason of delay, and the cost of taking the matter forward to a conventional trial: see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Taking account of all of the relevant factors, it is my view that the liability issue can properly and fairly be determined on this summary trial application. I note in particular that all of the evidence going to the liability issue is before the court. Both parties came prepared to argue the issue and both made comprehensive submissions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only real conflict in the evidence concerns the location of the yellow "Caution" sign. Ms. Zary says that it was not present when she entered the washroom but was placed in the doorway after she fell. In contrast, a number of the defendant's witnesses say that the sign was outside of the washroom door before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little turns on this conflict in that Ms. Zary states in her affidavit that she did not need a sign to tell her that the floor might be wet because she knew this from past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circumstances, I am satisfied that I am able to find the necessary facts to determine the issue of liability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 for 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noted at the outset, CMHC concedes that it is an occupier within the meaning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sets out the applicable duty of care owed by an occupier: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applicable standard of care was described by Madam Justice Ross in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xml:space="preserve">, aff'd </w:t>
      </w:r>
      <w:hyperlink r:id="rId890" w:history="1">
        <w:r>
          <w:rPr>
            <w:rFonts w:ascii="arial" w:eastAsia="arial" w:hAnsi="arial" w:cs="arial"/>
            <w:i/>
            <w:color w:val="0077CC"/>
            <w:sz w:val="20"/>
            <w:u w:val="single"/>
            <w:shd w:val="clear" w:color="auto" w:fill="FFFFFF"/>
            <w:lang w:val="en-US" w:eastAsia="en-US" w:bidi="ar-SA"/>
          </w:rPr>
          <w:t>2002 BCCA 488</w:t>
        </w:r>
      </w:hyperlink>
      <w:r>
        <w:rPr>
          <w:rFonts w:ascii="arial" w:eastAsia="arial" w:hAnsi="arial" w:cs="arial"/>
          <w:color w:val="000000"/>
          <w:sz w:val="20"/>
          <w:lang w:val="en-US" w:eastAsia="en-US" w:bidi="ar-SA"/>
        </w:rPr>
        <w:t xml:space="preserve"> in these terms at paras. 25-27: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standard expected of an occupier is one of reasonableness, not perfection.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4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wrote at p. 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owed by an occupier of premises is to take reasonable care to see that persons using the premises will be reasonably safe. </w:t>
      </w:r>
      <w:r>
        <w:rPr>
          <w:rFonts w:ascii="arial" w:eastAsia="arial" w:hAnsi="arial" w:cs="arial"/>
          <w:b/>
          <w:color w:val="000000"/>
          <w:sz w:val="20"/>
          <w:lang w:val="en-US" w:eastAsia="en-US" w:bidi="ar-SA"/>
        </w:rPr>
        <w:t>The Acts do not impose a duty to take reasonable care to insure that persons using the premises will be 'absolutely safe'</w:t>
      </w:r>
      <w:r>
        <w:rPr>
          <w:rFonts w:ascii="arial" w:eastAsia="arial" w:hAnsi="arial" w:cs="arial"/>
          <w:color w:val="000000"/>
          <w:sz w:val="20"/>
          <w:lang w:val="en-US" w:eastAsia="en-US" w:bidi="ar-SA"/>
        </w:rPr>
        <w:t xml:space="preserve">. As stated in </w:t>
      </w:r>
      <w:r>
        <w:rPr>
          <w:rFonts w:ascii="arial" w:eastAsia="arial" w:hAnsi="arial" w:cs="arial"/>
          <w:b/>
          <w:i/>
          <w:color w:val="000000"/>
          <w:sz w:val="20"/>
          <w:lang w:val="en-US" w:eastAsia="en-US" w:bidi="ar-SA"/>
        </w:rPr>
        <w:t>Hagerman v. Niagra Falls</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per Labrosse J. at p. 613, </w:t>
      </w:r>
      <w:r>
        <w:rPr>
          <w:rFonts w:ascii="arial" w:eastAsia="arial" w:hAnsi="arial" w:cs="arial"/>
          <w:b/>
          <w:color w:val="000000"/>
          <w:sz w:val="20"/>
          <w:lang w:val="en-US" w:eastAsia="en-US" w:bidi="ar-SA"/>
        </w:rPr>
        <w:t>the occupier does not owe a duty to provide safety in all circumstances, but rather a duty to use reasonable care to prevent injury or damage from danger which is known or which ought to be known.</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Case law holds that "an occupier is not an insurer". </w:t>
      </w:r>
      <w:r>
        <w:rPr>
          <w:rFonts w:ascii="arial" w:eastAsia="arial" w:hAnsi="arial" w:cs="arial"/>
          <w:b/>
          <w:i/>
          <w:color w:val="000000"/>
          <w:sz w:val="20"/>
          <w:lang w:val="en-US" w:eastAsia="en-US" w:bidi="ar-SA"/>
        </w:rPr>
        <w:t>Lamont v. Westfair Properties (Pacific Ltd.) et al.</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xml:space="preserve"> (Q.L.); </w:t>
      </w:r>
      <w:hyperlink r:id="rId891"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While it is the case that the occupier is not an insurer and that the standard is not one of perfection,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place an affirmative duty on the occupier to make the premises reasonably safe. See </w:t>
      </w:r>
      <w:r>
        <w:rPr>
          <w:rFonts w:ascii="arial" w:eastAsia="arial" w:hAnsi="arial" w:cs="arial"/>
          <w:b/>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Mainardi</w:t>
      </w:r>
      <w:r>
        <w:rPr>
          <w:rFonts w:ascii="arial" w:eastAsia="arial" w:hAnsi="arial" w:cs="arial"/>
          <w:color w:val="000000"/>
          <w:sz w:val="20"/>
          <w:lang w:val="en-US" w:eastAsia="en-US" w:bidi="ar-SA"/>
        </w:rPr>
        <w:t xml:space="preserve">], Mr. Justice Preston at para. 21 set out a number of principles developed in cases applying the occupier's duty imposed by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imposed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[Omitting the citations.]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Ms. Zary cites a number of cases in which liability was found against the occupier in similar circumstances, including </w:t>
      </w:r>
      <w:r>
        <w:rPr>
          <w:rFonts w:ascii="arial" w:eastAsia="arial" w:hAnsi="arial" w:cs="arial"/>
          <w:i/>
          <w:color w:val="000000"/>
          <w:sz w:val="20"/>
          <w:lang w:val="en-US" w:eastAsia="en-US" w:bidi="ar-SA"/>
        </w:rPr>
        <w:t>Burnett v. Canada Safeway Ltd.,</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[1984] B.C.J. No. 1848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Coulson v. Canada Safeway Ltd.</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Clark v. Royal Oak Holdings Ltd.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BCSC 275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Ms. Zary also cites a number of cases in which the plaintiff was unsuccessful in establishing liability because the cause of the fall could not be determined on the evidence: see for example </w:t>
      </w:r>
      <w:r>
        <w:rPr>
          <w:rFonts w:ascii="arial" w:eastAsia="arial" w:hAnsi="arial" w:cs="arial"/>
          <w:i/>
          <w:color w:val="000000"/>
          <w:sz w:val="20"/>
          <w:lang w:val="en-US" w:eastAsia="en-US" w:bidi="ar-SA"/>
        </w:rPr>
        <w:t>Crudo v. Westfair Foods Ltd.,</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2005 BCSC 320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Slee v Canada Safeway Ltd.,</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Kerr v. Global Investments House Inc.,</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2014 BCSC 1544</w:t>
        </w:r>
      </w:hyperlink>
      <w:r>
        <w:rPr>
          <w:rFonts w:ascii="arial" w:eastAsia="arial" w:hAnsi="arial" w:cs="arial"/>
          <w:color w:val="000000"/>
          <w:sz w:val="20"/>
          <w:lang w:val="en-US" w:eastAsia="en-US" w:bidi="ar-SA"/>
        </w:rPr>
        <w:t>. Ms. Zary submits that these cases are distinguishable because the evidence in this case clearly establishes the presence of moisture on the floor of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For its part, CMHC submits that it had in place a reasonable scheme for monitoring and cleaning up any potential hazards in the public spaces at the Market and that accordingly, it is not liable for Ms. Zary's fall. It cites </w:t>
      </w:r>
      <w:r>
        <w:rPr>
          <w:rFonts w:ascii="arial" w:eastAsia="arial" w:hAnsi="arial" w:cs="arial"/>
          <w:i/>
          <w:color w:val="000000"/>
          <w:sz w:val="20"/>
          <w:lang w:val="en-US" w:eastAsia="en-US" w:bidi="ar-SA"/>
        </w:rPr>
        <w:t>Tremblay v. Westfair Foods Ltd.,</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2003 BCSC 1017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McComb v. Vancouver Island Health Authority,</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BCSC 556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McComb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Atkins v. Jim Pattison Industries Ltd.</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xml:space="preserve"> (C.A.) in support of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is useful to note that in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xml:space="preserve"> the Court of Appeal held that it was not sufficient for the occupier to simply show that it had a reasonable scheme in place, it also had to demonstrate that the scheme was being followed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determining whether CMHC breached the applicable standard of care, it is first necessary to make findings of fact as to the circumstances of Ms. Zary's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Ms. Zary's evidence that when she first entered the B-4 washroom, she did not see any water on the floor of the main part of the washroom but she did see water when she entered the first stall. The evidence is unclear however as to how much water was present. In her affidavit, she simply states that "there was water on the floor in the area around and approaching the toilet". As noted, she attaches a number of photographs to her affidavit and in describing one of them, she refers to the water that had accumulated in the seams between the floor tiles. At her examination for discovery, she said that when she opened the stall door, her first reaction was "there's all this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None of CMHC's witnesses dispute that there was water on the floor of the washroom, but they say that there were no puddles or unusual accumulations and that some degree of dampness was to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Thus, on the evidence, it is clear that there was some water on the floor, at least in the washroom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also accept that Ms. Zary's fall was caused by the dampness on the floor. I agree with CMHC that her explanation of how she tried to exit the stall and precisely how she fell is somewhat muddled but, as I understand her evidence, when she saw the water on the floor of the stall, she turned to leave and took one step with her left foot. As she did, her right foot slipped out from under her causing the fall. Based on the evidence, I am satisfied that the only proper inference to be drawn is that Ms. Zary slipped due to the water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That, of course, is not sufficient to establish liability on the part of CMHC. As numerous authorities have found, there is no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occupier simply by virtue of the fact that someone is injured. The plaintiff must still establish some act or omission on the part of the occupier that caused the injury (</w:t>
      </w:r>
      <w:r>
        <w:rPr>
          <w:rFonts w:ascii="arial" w:eastAsia="arial" w:hAnsi="arial" w:cs="arial"/>
          <w:i/>
          <w:color w:val="000000"/>
          <w:sz w:val="20"/>
          <w:lang w:val="en-US" w:eastAsia="en-US" w:bidi="ar-SA"/>
        </w:rPr>
        <w:t>Mainardi</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Accordingly, the central issue in this case is whether CMHC met its obligation under s. 3(1)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to take reasonable care to insure that persons entering its premises would be reasonably safe. Put another way, and with reference to the Court of Appeal's decision in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Agar</w:t>
      </w:r>
      <w:r>
        <w:rPr>
          <w:rFonts w:ascii="arial" w:eastAsia="arial" w:hAnsi="arial" w:cs="arial"/>
          <w:color w:val="000000"/>
          <w:sz w:val="20"/>
          <w:lang w:val="en-US" w:eastAsia="en-US" w:bidi="ar-SA"/>
        </w:rPr>
        <w:t>] at para. 30, did CMHC take adequate steps to "protect others from an objectively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pause here to note that in its written submission, CMHC submits that water accumulating on the floor of a public washroom does not constitute an "unusual danger." However, as stated by Madam Justice Smith in </w:t>
      </w:r>
      <w:r>
        <w:rPr>
          <w:rFonts w:ascii="arial" w:eastAsia="arial" w:hAnsi="arial" w:cs="arial"/>
          <w:i/>
          <w:color w:val="000000"/>
          <w:sz w:val="20"/>
          <w:lang w:val="en-US" w:eastAsia="en-US" w:bidi="ar-SA"/>
        </w:rPr>
        <w:t>Agar</w:t>
      </w:r>
      <w:r>
        <w:rPr>
          <w:rFonts w:ascii="arial" w:eastAsia="arial" w:hAnsi="arial" w:cs="arial"/>
          <w:color w:val="000000"/>
          <w:sz w:val="20"/>
          <w:lang w:val="en-US" w:eastAsia="en-US" w:bidi="ar-SA"/>
        </w:rPr>
        <w:t xml:space="preserve"> at para. 49, the concept of "unusual danger" was an aspect of the former common law test for occupier's liability, which has been superseded by the provisions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the corresponding test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CMHC submits that it has met its obligation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It points to its established system of regular maintenance and cleaning which it says operated to reasonably minimize the hazards associated with a public washroom. Further, it submits that it would be wholly unreasonable, and would amount to imposing a standard of perfection, to require it to maintain the public washroom floors in a completely dry state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CMHC cites </w:t>
      </w:r>
      <w:r>
        <w:rPr>
          <w:rFonts w:ascii="arial" w:eastAsia="arial" w:hAnsi="arial" w:cs="arial"/>
          <w:i/>
          <w:color w:val="000000"/>
          <w:sz w:val="20"/>
          <w:lang w:val="en-US" w:eastAsia="en-US" w:bidi="ar-SA"/>
        </w:rPr>
        <w:t>Cooper v. Spectra Food Corp.,</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[1998] B.C.J. No. 2297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which involved a slip and fall by the plaintiff near to the front entrance of a restaurant. Madam Justice Loo made the following observation at para. 38, which is relied on by CMHC: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be unreasonable for the defendant to achieve a standard of perfection and maintain a perfectly dry floor, particularly near the entrance of a restaurant in a city which is known for its rainfall.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That passage however must be read alongside of the preceding sentences in para. 38 where Madam Justice Loo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where the plaintiff fell was approximately ten feet from the front entrance and most probably had traces of water on it due to the rain and snowy conditions outside. However the defendant had absorbent mats in the doorway to absorb water and snow tracked in by the restaurant patrons. I find that to be reasonable in these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Thus, as can be seen, the defendant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had taken steps to address an identified hazard. It should be noted as well that notwithstanding her finding above with respect to the absorbent mats, Madam Justice Loo nonetheless found the defendant liable for failing to ensure that the slip resistant flooring installed elsewhere in the restaurant was properly maintained and re-applied when necessary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Zary submits that here, CMHC failed to take any similar precautionary measures. For example, she says that if CMHC could not provide a dry floor, it should have taken steps to render the floor less slippery, such as installing some sort of abrasive or slip resistant surface 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While the use of absorbent mats, as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or the addition of slip resistant flooring material would no doubt be prudent on the part of CMHC, the absence of these measures does not in my view constitute a failure by CMHC to meet its statutory obligations under the </w:t>
      </w:r>
      <w:r>
        <w:rPr>
          <w:rFonts w:ascii="arial" w:eastAsia="arial" w:hAnsi="arial" w:cs="arial"/>
          <w:i/>
          <w:color w:val="000000"/>
          <w:sz w:val="20"/>
          <w:lang w:val="en-US" w:eastAsia="en-US" w:bidi="ar-SA"/>
        </w:rPr>
        <w:t>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the nature of the business carried out at the Market and the volume of foot traffic that passes through the Market, particularly on weekends, it is inevitable that there will be some moisture on the floor of the public washrooms at any given time. However, absent evidence that any degree of dampness renders the floors in the bathrooms unsafe, the mere presence of water does not in my view constitute an "objectively unreasonable risk of harm". This is particularly so given Ms. Zary's knowledge that the floor in the washroom was often damp.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Moreover, I am satisfied that, in any event, CMHC has in place a reasonable system of maintenance of the public washrooms which provides for inspection and cleaning of the washrooms at reasonable intervals as well as a process for dealing with unusual events such as a water leak. In my view, that system effectively "minimized hazards and fulfilled the defendant's duty to keep the bathrooms reasonably safe for use by all users, including the plaintiff": </w:t>
      </w:r>
      <w:r>
        <w:rPr>
          <w:rFonts w:ascii="arial" w:eastAsia="arial" w:hAnsi="arial" w:cs="arial"/>
          <w:i/>
          <w:color w:val="000000"/>
          <w:sz w:val="20"/>
          <w:lang w:val="en-US" w:eastAsia="en-US" w:bidi="ar-SA"/>
        </w:rPr>
        <w:t>McComb</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Ms. Zary's fall is unfortunate and the injuries that she sustained have no doubt had a significant adverse effect on her. However, I am unable to find that the fall was caused by an act or omission of CMHC in breach of its obligations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Ms. Zary's 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CMHC is entitled to its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Zubko v. Ezaki, [2002] B.C.J. No. 3326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Boyd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May 14, 2002.</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March 4, 2005.</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99 2482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3326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1894</w:t>
      </w:r>
    </w:p>
    <w:p>
      <w:pPr>
        <w:spacing w:before="120" w:line="260" w:lineRule="atLeast"/>
        <w:rPr>
          <w:lang w:val="en-US" w:eastAsia="en-US" w:bidi="ar-SA"/>
        </w:rPr>
      </w:pPr>
      <w:r>
        <w:rPr>
          <w:rFonts w:ascii="arial" w:eastAsia="arial" w:hAnsi="arial" w:cs="arial"/>
          <w:color w:val="000000"/>
          <w:sz w:val="20"/>
          <w:lang w:val="en-US" w:eastAsia="en-US" w:bidi="ar-SA"/>
        </w:rPr>
        <w:t>Between Karen Zubko, plaintiff, and Kazuko Ezaki,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0" style="position:absolute;z-index:2517053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1" w:name="Keywords_34"/>
      <w:bookmarkEnd w:id="31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Signals and warnings — Liability of driver — Civil procedure — Costs — Offers to settle — Calderbank letter.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2" w:name="Case Summary_33"/>
            <w:bookmarkEnd w:id="31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Zubko, for damages resulting from an automobile accident with the defendant, Ezaki. The parties gave different versions of the events that led up to the accident. The plaintiff testified that she proceeded into the intersection on a green light and was broadsided by the defendant who was engaged in a cell phone conversation at the time of the collision. The defendant testified that she proceeded through the intersection against a green light and struck the plaintiff who had entered the intersection against a red light. The defendant produced her cell phone records which showed that no call was made on the day of the accident. A police officer witnessed the accident and testified that the plaintiff entered the intersection against a yellow light which turned red while she was within the intersection. The plaintiff refused an offer by the defendant to settle the case in the defendant's favour on a no costs basis. </w:t>
            </w:r>
            <w:r>
              <w:rPr>
                <w:lang w:val="en-US" w:eastAsia="en-US" w:bidi="ar-SA"/>
              </w:rPr>
              <w:cr/>
            </w:r>
          </w:p>
          <w:p>
            <w:pPr>
              <w:spacing w:before="120" w:line="260" w:lineRule="atLeast"/>
              <w:ind w:left="240"/>
              <w:jc w:val="both"/>
              <w:rPr>
                <w:lang w:val="en-US" w:eastAsia="en-US" w:bidi="ar-SA"/>
              </w:rPr>
            </w:pPr>
            <w:bookmarkStart w:id="313" w:name="Holdings of Court_27"/>
            <w:bookmarkEnd w:id="31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failed to establish that the defendant's vehicle entered the intersection on a red light. On the whole of the evidence, the plaintiff entered the intersection on a very late amber light, which likely turned red at the instant she entered the intersection. The refusal of the offer of settlement warranted an award of double costs in favour of the defendant. </w:t>
            </w:r>
            <w:r>
              <w:rPr>
                <w:lang w:val="en-US" w:eastAsia="en-US" w:bidi="ar-SA"/>
              </w:rPr>
              <w:cr/>
            </w:r>
          </w:p>
          <w:p>
            <w:pPr>
              <w:rPr>
                <w:lang w:val="en-US" w:eastAsia="en-US" w:bidi="ar-SA"/>
              </w:rPr>
            </w:pPr>
          </w:p>
        </w:tc>
      </w:tr>
    </w:tbl>
    <w:p>
      <w:pPr>
        <w:jc w:val="both"/>
        <w:rPr>
          <w:lang w:val="en-US" w:eastAsia="en-US" w:bidi="ar-SA"/>
        </w:rPr>
      </w:pPr>
      <w:bookmarkStart w:id="314" w:name="Counsel_44"/>
      <w:bookmarkEnd w:id="3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1" style="position:absolute;z-index:2517565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 Bohun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L. Slater</w:t>
      </w:r>
      <w:r>
        <w:rPr>
          <w:lang w:val="en-US" w:eastAsia="en-US" w:bidi="ar-SA"/>
        </w:rPr>
        <w:cr/>
      </w:r>
    </w:p>
    <w:p>
      <w:pPr>
        <w:spacing w:after="240"/>
        <w:rPr>
          <w:lang w:val="en-US" w:eastAsia="en-US" w:bidi="ar-SA"/>
        </w:rPr>
      </w:pPr>
      <w:bookmarkStart w:id="315" w:name="Judgment_44"/>
      <w:bookmarkEnd w:id="315"/>
      <w:r>
        <w:pict>
          <v:line id="_x0000_s1242" style="position:absolute;z-index:2518067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6" w:name="BOYD J. (orally)"/>
            <w:bookmarkEnd w:id="316"/>
            <w:r>
              <w:rPr>
                <w:rFonts w:ascii="arial" w:eastAsia="arial" w:hAnsi="arial" w:cs="arial"/>
                <w:b/>
                <w:color w:val="000000"/>
                <w:sz w:val="30"/>
                <w:lang w:val="en-US" w:eastAsia="en-US" w:bidi="ar-SA"/>
              </w:rPr>
              <w:t>BOYD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motor vehicle accident which occurred on Sunday, May 31, 1998, at the intersections of Broughton and Blanshard Street in the City of Victoria.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provided evidence that that particular morning she was driving southbound on Blanshard Street in the direction of a location beyond the intersection. She intended to case out the parking situation near a building where she would begin work the following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says that as she drove along Blanshard Street there was no traffic ahead of her, nor any traffic in the immediate block behind her or to her side. She says that as she drove along Blanshard Street, driving within the speed limit, she approached the intersection of Broughton Street. As she approached the intersection, she began to slow, seeing that the traffic light ahead was red for southbound traffic. She says that she came to a full stop in what she has been described as the outside lane, that is the lane closest to the centre line. She says that she sat through that entire red light, through the entire sequence of lights, and that when the light turned green she began to move ahead into the intersection travelling slowly, some twelve to twenty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says that as she moved forward into the intersection she felt what she describes as the "first impact," a significant impact somewhere along the rear passenger door area. She said she thought it was an animal, either a deer or a dog, something that would make a bash below the window level of the vehicle. She made a shoulder check to her right and saw nothing. Within the next instant she says that there was a second more significant impact, this time along both the front and the rear door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Just after the time that second impact had occurred, she says she made a shoulder check to her right and she saw the defendant, the female driver, in her vehicle. She says she could see her smiling and holding a black object, which she believes to be a cellphone, up near the left ear area. She says she saw her placing the object down below the dash.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Her vehicle was in a stopped position. She says that she was extremely shaken and upset and went to sit near the curb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version of the accident is entirely different. Mrs. Ezaki is of Japanese origin. Although she has lived in Victoria for the past twelve years, she came to Canada from Japan in 1976. At the time of the accident she was involved in managing her husband's store named the Tokyo Boutique on Gordon Street in downtown Victoria.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testified that at this time she travelled almost daily between her home and the store. She had been into the store earlier that morning to deliver an itinerary to one of their tour operators. At the time of the accident she was following a very familiar route along Broughton Street driving eastbound, intending to drive as far as Quadra and then turn northbound towards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says that as she drove along Broughton Street she was travelling the speed limit and that when she was some distance back, approximately 10-15 metres west of Blanshard Street, she looked ahead and could see the light was green for eastbound traffic. She continued to drive towards the intersection of Broughton and Blanshard travelling some 40-45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says that as she entered the intersection the light was green. She immediately became aware of the plaintiff's vehicle approaching from her left, that is approaching southbound on Blanshard Street. She says she took immediate steps to attempt to evade a collision by turning the steering wheel to her right but, nevertheless, a collision occurred--a collision between the driver's side of the bumper of her vehicle, and the right side, passenger side of the plaintiff's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she admitted that she did have a cellphone in her handbag on the passenger seat, she emphatically denied that she was either holding the cellphone in her hand, much less speaking into the cellphone at the time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presented all of the documents setting out her cellphone bills for the previous month, that is the month of April and the month of May. These are rather odd in the sense that they are dated May and June, but the record of calls cover the period April and May 1998 (Exhibits 2, Tabs 1 and 2). Those cellphone records corroborate the defendant's version of what occurred, at least in terms of the cellphone.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Specifically, Ms. Ezaki testified that while she carries a cellphone she does not turn the cellphone on. Rather she keeps it handy for the particular occasions when she might require her cellphone when she is travelling in Vancouver and sometimes in Victoria. The cellphone records each refer to a single, usually two minute call, one April and one in May. There is no recording of any cellphone call made on May 31st,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court heard from a single independent defence witness, that is Mr. Serge Vidalis, now a Lieutenant Navy with the Canadian Forces, who was on duty as a police officer with the Victoria City Police Department on May 31st, 1998. He was in the police force either with the City of Victoria or more recently with Central Saanich for a period of five years before returning to work in the Armed Forces in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Vidalis testified that immediately before the accident he was driving with his partner Constable Dosanjh southbound on Blanshard Street and that he actually witnessed the accident which is the subject of this action. He testified that he was driving along Blanshard Street and was within the same block between Fort Street and Broughton Street when he saw the accident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Contrary to the evidence of the plaintiff, who said that she brought her vehicle to a full stop and sat throughout an entire red light at Blanshard and Broughton, Mr. Vidalis testified that he had left the intersection of Blanshard and Fort and was travelling southbound along Blanshard Street behind the plaintiff's vehicle facing, for the most part, an amber light at Broughton Street some distance back from the light. He says that immediately before the accident he was beginning to bring his own vehicle, as were most vehicles within that block, to a stop, preparing to stop at what was anticipated would be a red light at Blanshard and Broughton.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took no particular notice of the plaintiff's teal blue vehicle ahead except when the impact occurred. At that instant he testified at best that the plaintiff's vehicle was entering the intersection on what he described as a "stale amber light," a light which turned red while she was within the intersection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many respects the police officer's evidence conflicted with that of the plaintiff. I have already mentioned the colour of the light. The plaintiff testified that following the accident, while she became aware of a police officer nearby, he was approximately 1 1/2 blocks back from her vehicle, between View and Fort Streets when the accident occurred and that he was unable to immediately attend the scene of the accident since he was stopped at the red light at Blanshard and Broughton.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police officer has denied this evidence. He says he was within the same block as the plaintiff and that the light that he came to a stop for was the very light which was turning red for both himself and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the police officer had proceeded to the intersection with his emergency lights on and sat at the red light at Blanshard and Broughton before finally moving ahead to attend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police officer's evidence was that he did indeed wait at the red light but that he could not attend immediately because the vehicles ahead of him were in fact blocking traffic since vehicles were all stopped waiting for the red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we have the evidence about the cellphone which I have already commented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unable to explain many of the differences between the plaintiff's evidence and that of the defendant and the police officer, except to say that having seen and heard all of the evidence of all of the witnesses I can only conclude that the plaintiff, perhaps by virtue of the shock of the collision, has formed a mistaken impression as to what occurred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whole of the evidence, I am satisfied that the plaintiff entered this intersection on what was a very late amber light, which in all likelihood turned red at the instant she entered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any case, I find that on a review of all of the evidence, the plaintiff has not satisfied the burden of proof upon her -- that is she has not satisfied the court on a balance of probabilities that the defendant's vehicle entered this intersection on a red light. The plaintiff's action is dismissed, with costs to the defendant.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(PROCEEDINGS ADJOURNED)</w:t>
      </w:r>
    </w:p>
    <w:p>
      <w:pPr>
        <w:spacing w:before="120" w:line="260" w:lineRule="atLeast"/>
        <w:ind w:left="720"/>
        <w:rPr>
          <w:lang w:val="en-US" w:eastAsia="en-US" w:bidi="ar-SA"/>
        </w:rPr>
      </w:pPr>
      <w:r>
        <w:rPr>
          <w:rFonts w:ascii="arial" w:eastAsia="arial" w:hAnsi="arial" w:cs="arial"/>
          <w:color w:val="000000"/>
          <w:sz w:val="20"/>
          <w:lang w:val="en-US" w:eastAsia="en-US" w:bidi="ar-SA"/>
        </w:rPr>
        <w:t>(PROCEEDINGS RECONVENED)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SLATER: My Lady, I'm sorry, I forgot to address an issue this morning. It simply slipped my mind respecting the costs and so that's why I've asked we reconvene. . .</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BY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I earlier provided oral reasons for judgment finding that the plaintiff had failed on a balance of probabilities to prove liability on the defendant's part, and I dismissed the claim with costs against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counsel has now made application for a refinement of that order and in particular for an order for double costs following January 7th, 2002. This application is based upon the delivery of what might otherwise be called a Calderbank letter to plaintiff's counsel on January 7th, 2002. That letter refers to the upcoming trial, refers to the strength of the defence case, and the evidence of the police witness, and offers that in settlement of the claim the defence was prepared to accept the execution of a release and a consent dismissal order by the plaintiff without costs, that offer to be open until sixty days prior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event that the plaintiff declined to accept the offer, defence counsel reserved the right to present a copy of the letter to the trial judge in support of an application for double costs from the date of the letter forward. It is that application which has been made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support of the application, defence counsel relies on the recent decision of Madam Justice Martinson in Pacific Hunter Resources Inc. v. Moss Management, </w:t>
      </w:r>
      <w:hyperlink r:id="rId908" w:history="1">
        <w:r>
          <w:rPr>
            <w:rFonts w:ascii="arial" w:eastAsia="arial" w:hAnsi="arial" w:cs="arial"/>
            <w:i/>
            <w:color w:val="0077CC"/>
            <w:sz w:val="20"/>
            <w:u w:val="single"/>
            <w:shd w:val="clear" w:color="auto" w:fill="FFFFFF"/>
            <w:lang w:val="en-US" w:eastAsia="en-US" w:bidi="ar-SA"/>
          </w:rPr>
          <w:t>[2002] B.C.J. No. 556</w:t>
        </w:r>
      </w:hyperlink>
      <w:r>
        <w:rPr>
          <w:rFonts w:ascii="arial" w:eastAsia="arial" w:hAnsi="arial" w:cs="arial"/>
          <w:color w:val="000000"/>
          <w:sz w:val="20"/>
          <w:lang w:val="en-US" w:eastAsia="en-US" w:bidi="ar-SA"/>
        </w:rPr>
        <w:t xml:space="preserve">, a decision handed down January 17th, 2002, with a neutral citation of </w:t>
      </w:r>
      <w:hyperlink r:id="rId908" w:history="1">
        <w:r>
          <w:rPr>
            <w:rFonts w:ascii="arial" w:eastAsia="arial" w:hAnsi="arial" w:cs="arial"/>
            <w:i/>
            <w:color w:val="0077CC"/>
            <w:sz w:val="20"/>
            <w:u w:val="single"/>
            <w:shd w:val="clear" w:color="auto" w:fill="FFFFFF"/>
            <w:lang w:val="en-US" w:eastAsia="en-US" w:bidi="ar-SA"/>
          </w:rPr>
          <w:t>2002 BCSC 396</w:t>
        </w:r>
      </w:hyperlink>
      <w:r>
        <w:rPr>
          <w:rFonts w:ascii="arial" w:eastAsia="arial" w:hAnsi="arial" w:cs="arial"/>
          <w:color w:val="000000"/>
          <w:sz w:val="20"/>
          <w:lang w:val="en-US" w:eastAsia="en-US" w:bidi="ar-SA"/>
        </w:rPr>
        <w:t xml:space="preserve">. That decision deals squarely with the issue of whether or not the trial court was bound by the decision of the majority, the Court of Appeal in Brown v. Lowe, reported at </w:t>
      </w:r>
      <w:hyperlink r:id="rId436" w:history="1">
        <w:r>
          <w:rPr>
            <w:rFonts w:ascii="arial" w:eastAsia="arial" w:hAnsi="arial" w:cs="arial"/>
            <w:i/>
            <w:color w:val="0077CC"/>
            <w:sz w:val="20"/>
            <w:u w:val="single"/>
            <w:shd w:val="clear" w:color="auto" w:fill="FFFFFF"/>
            <w:lang w:val="en-US" w:eastAsia="en-US" w:bidi="ar-SA"/>
          </w:rPr>
          <w:t>[2002] B.C.J. No. 76</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relating to the use of Calderbank letters.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intend to refer to the decision at length, except to say that Madam Justice Martinson concluded that the majority decision in Brown v. Lowe was obiter since Madam Justice Southin had expressly noted the issue of double costs did not arise in that case when she considered the issue of the Calderbank letter. Accordingly, my sister Madam Justice Martinson concluded that she was able to look to prior decisions of the Court of Appeal and in particular the decisions which held that in circumstances such as those at bar, the court was indeed able to rely upon a Calderbank letter in awarding double costs to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nothing in the case before me which distinguishes the circumstances here from those in Pacific Hunter. I have heard no submissions from Mr. Bohun, which I take to be a concession that there are no distinguishing features.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all of the circumstances, I award double costs to the defence from January 7th, 2002, forward to the date of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BOYD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0679372 B.C. Ltd. v. 0826857 B.C. Ltd., [2011] B.C.J. No. 1384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30-31 and June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S091193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971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1880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107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0679372 B.C. Ltd., Plaintiff, and 0826857 B.C. Ltd., 0832414 B.C. Ltd., Simon Gould and The Winking Judge Pub Ltd., Defendants, and Anna Litvinov,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7" w:name="Keywords_35"/>
      <w:bookmarkEnd w:id="317"/>
      <w:r>
        <w:rPr>
          <w:rFonts w:ascii="arial" w:eastAsia="arial" w:hAnsi="arial" w:cs="arial"/>
          <w:b/>
          <w:color w:val="000000"/>
          <w:sz w:val="20"/>
          <w:lang w:val="en-US" w:eastAsia="en-US" w:bidi="ar-SA"/>
        </w:rPr>
        <w:t>Contracts — Misrepresentation — What constitutes — Negligent misrepresentation — Fraudulent misrepresentation — Counterclaim by defendants for damages for negligent or fraudulent misrepresentation against plaintiff corporation and its principal allowed in part — Plaintiff sold pub to defendants — Plaintiff represented that mechanical system was in good working order — Defendant entitled to damages of $5,314 for costs of repairs to system — Plaintiff made no representations with respect to development permits — Defendants had opportunity to check size of patio and did not — If there was representation about patio size, it was neither negligent nor fraudulent.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Counterclaim by defendants for damages for negligent or fraudulent misrepresentation against plaintiff corporation and its principal allowed in part — Plaintiff sold pub to defendants — Plaintiff represented that mechanical system was in good working order — Defendant entitled to damages of $5,314 for costs of repairs to system — Plaintiff made no representations with respect to development permits — Defendants had opportunity to check size of patio and did not — If there was representation about patio size, it was neither negligent nor fraudulent.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Specific element — Known falsity — Negligent misrepresentation (Hedley Byrne principle) — Counterclaim by defendants for damages for negligent or fraudulent misrepresentation against plaintiff corporation and its principal allowed in part — Plaintiff sold pub to defendants — Plaintiff represented that mechanical system was in good working order — Defendant entitled to damages of $5,314 for costs of repairs to system — Plaintiff made no representations with respect to development permits — Defendants had opportunity to check size of patio and did not — If there was representation about patio size, it was neither negligent nor fraudulent.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8" w:name="Case Summary_34"/>
            <w:bookmarkEnd w:id="3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Counterclaim by the defendants for damages for negligent or fraudulent misrepresentation by 0679372 B.C. Ltd. ("067") and by Litvinov, the principal of 067. 067 sold a pub to the defendants. The defendants asserted that Litvinov negligently or fraudulently misrepresented the size of the patio area, the working condition of the mechanical system and the existence of a development permit. The defendants claimed that they had to expend significant extra money to make the pub profitable.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9" w:name="Holdings of Court_28"/>
            <w:bookmarkEnd w:id="319"/>
            <w:r>
              <w:rPr>
                <w:rFonts w:ascii="arial" w:eastAsia="arial" w:hAnsi="arial" w:cs="arial"/>
                <w:color w:val="000000"/>
                <w:sz w:val="20"/>
                <w:lang w:val="en-US" w:eastAsia="en-US" w:bidi="ar-SA"/>
              </w:rPr>
              <w:t>HELD: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Litvinov made a representation to the defendants that the mechanical systems were in good working order that was intended to have contractual force, inducing them to enter into the purchase agreement. The defendants were entitled to $5,314 in damages for the repairs they performed to the mechanical systems. Litvinov made no representations with respect to the development permit. The purchase agreement did not refer to the size of the patio. The defendants had the opportunity to check the size of the patio area and did not do so. If there was a representation as to the size of the patio, it was neither negligent nor fraudulent.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0" w:name="Counsel_45"/>
      <w:bookmarkEnd w:id="3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 by Counterclaim: S.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behalf of Corporate Defendants 0826857 B.C. Ltd., 0832414 B.C. Ltd. and on own behalf: Simon Gould.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1" w:name="Judgment_45"/>
      <w:bookmarkEnd w:id="321"/>
      <w:r>
        <w:pict>
          <v:line id="_x0000_s1246"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2" w:name="C. LYNN SMITH J."/>
            <w:bookmarkEnd w:id="322"/>
            <w:r>
              <w:rPr>
                <w:rFonts w:ascii="arial" w:eastAsia="arial" w:hAnsi="arial" w:cs="arial"/>
                <w:b/>
                <w:color w:val="000000"/>
                <w:sz w:val="30"/>
                <w:lang w:val="en-US" w:eastAsia="en-US" w:bidi="ar-SA"/>
              </w:rPr>
              <w:t>C. LYNN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sale of a pub business by the plaintiff, 0679372 B.C. Ltd. ("067 Ltd."), to the defendant, 0826857 B.C. Ltd. ("082 Ltd."), led to a dispute and a trial in two phases. The first phase dealt with the plaintiff's claim and resulted in a judgment reported at </w:t>
      </w:r>
      <w:r>
        <w:rPr>
          <w:rFonts w:ascii="arial" w:eastAsia="arial" w:hAnsi="arial" w:cs="arial"/>
          <w:i/>
          <w:color w:val="000000"/>
          <w:sz w:val="20"/>
          <w:lang w:val="en-US" w:eastAsia="en-US" w:bidi="ar-SA"/>
        </w:rPr>
        <w:t>0679372 B.C. Ltd. v. The Winking Judge Pub Ltd.</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2011 BCSC 50</w:t>
        </w:r>
      </w:hyperlink>
      <w:r>
        <w:rPr>
          <w:rFonts w:ascii="arial" w:eastAsia="arial" w:hAnsi="arial" w:cs="arial"/>
          <w:color w:val="000000"/>
          <w:sz w:val="20"/>
          <w:lang w:val="en-US" w:eastAsia="en-US" w:bidi="ar-SA"/>
        </w:rPr>
        <w:t xml:space="preserve">. I concluded that the plaintiff was entitled to damages against 082 Ltd. and to declarations that 0832414 B.C. Ltd. ("083 Ltd.") and Winking Judge Pub Ltd. ("WJP Ltd.") hold in trust for 082 Ltd. the liquor license and other pub assets and that a transfer of assets from 083 Ltd. to WJP Ltd. had been a fraudulent conveyance and should be set aside. The plaintiff's claims against Simon Gould personally were dismissed. The calculation of interest on the amount owing on the promissory note was dealt with in a later judgment reported at </w:t>
      </w:r>
      <w:r>
        <w:rPr>
          <w:rFonts w:ascii="arial" w:eastAsia="arial" w:hAnsi="arial" w:cs="arial"/>
          <w:i/>
          <w:color w:val="000000"/>
          <w:sz w:val="20"/>
          <w:lang w:val="en-US" w:eastAsia="en-US" w:bidi="ar-SA"/>
        </w:rPr>
        <w:t>0679372 B.C. Ltd. v. The Winking Judge Pub Ltd.</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2011 BCSC 633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preceding judgments dealt with the plaintiff's claim but did not deal with the counterclaim, which was ordered to be tried separately. The current judgment results from the trial of the counterclaim. The counterclaim alleges negligent or fraudulent misrepresentations by Anna Litvinov, the principal of 067 Ltd., in connection with the sale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consent, the amended statement of defence of defendants 083 Ltd. and Simon Gould filed March 26, 2010, has been amended to add 082 Ltd. as a plaintiff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Mr. Gould, 082 Ltd. and 083 Ltd. were all previously represented by counsel, at the trial of the counterclaim Mr. Gould appeared in person. He stated that he is an authorized agent for Duchess of Dublin Ltd. which has a controlling interest in 082 Ltd., and that he is the sole shareholder and director of 083 Ltd. He advised the court that he has authority to represent the two companies. No objection was taken to his representing not only himself but the two companies that are plaintiffs in the counterclaim. WJP Ltd. has made no counterclaim and did not appear at this phase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clear that Ms. Litvinov was acting on behalf of 067 Ltd. in discussions and negotiations with Mr. Gould, and no basis for personal liability on her part was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agreed that evidence admitted at the trial of the plaintiff's claim will be evidence in this trial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not repeat the findings of fact already set out in the earlier decisions, but will summarize the evidence bearing on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spring of 2008, Mr. Gould approached Anna Litvinov, the principal of 067 Ltd., which owned and operated the Khamoro Kafe or Pub, about purchasing that business. Ms. Litvinov provided Mr. Gould with a document that the parties referred to as the "Information Sheet". The Information Sheet states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KHAMORO KAFE (PUB)</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#103-888 Burrard St.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Ph: 604-488-0336 Fax: 604-522-7792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SALE PRISE: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$500,000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DESCRIPTION: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March 2008 turned into a pub</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SAME OWNER: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Since November 2003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SIZE: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 sift. Approx (possibility to extend to 2,000sft, or 5,000sft.)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REVENUE: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2004 - 219,559.51 (Net sales, commission PST, advertise revenue.)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2005 - 416,255.27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2006 - 525,298.14</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2007 - 502,386.23</w:t>
      </w:r>
      <w:r>
        <w:rPr>
          <w:rFonts w:ascii="arial" w:eastAsia="arial" w:hAnsi="arial" w:cs="arial"/>
          <w:sz w:val="20"/>
          <w:lang w:val="en-US" w:eastAsia="en-US" w:bidi="ar-SA"/>
        </w:rPr>
        <w:cr/>
      </w: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2008 - 800,000 min .expecting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LEASE: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sale a new lease will be signed for 5years plus 5years more, With approximately up to $65 per sft.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INFO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OPERATING HOURS:</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Monday - Saturday 11am-3am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Sunday - 11am-2am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SEATING CAPACITY: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 inside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15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EMPLOYEE: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full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8 part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SALARY EXPANSE: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$126,000 (based on 2007)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GOODS:</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$165,000 (based on 2007)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464"/>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UTILITIES: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LEASED EQUIPMENT:</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Dishwasher (Ecolab $148 per month.)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Point of sale with 2 touch screen, 2 printers, 1 computer, 1 cash dror.</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(Profitec $315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SUPPLIERS: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Sysco, Okanagan Spring, BC Liquor store, Proprietors Reserve vinery, Red Bull, Bevgas.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Supporting documents will be available, after 5% security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Shortly thereafter, Mr. Gould offered to purchase the pub. He prepared a purchase agreement (the "Purchase Agreement") dated May 15, 2008, which Ms. Litvinov signed and accepted on behalf of Khamoro Pub. The Purchase Agreement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SIMON CONSULTING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PURCHASE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DATE MAY 15,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ADDRESSED TO</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KHAMORO PUB</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103 888 BURRARD STREET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VANCOUVER, B.C.</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 to purchase all the assets at the above location, viewed as of May 13,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0"/>
        <w:gridCol w:w="1673"/>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 PRICE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DOWN PAYMENT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300,000.00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BALANCE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200,000.00</w:t>
            </w:r>
          </w:p>
        </w:tc>
        <w:tc>
          <w:tcPr>
            <w:tcW w:w="573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Balance payable monthly starting 30 days from possession of the Contract of Purchase and Sale and to be amortized over 24 months (twenty four) at 10% interest per annum or approximately 10,000.00 per month principle and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Security will be provided to the seller by the Purchasers in the form of a first charge against all assets now and when the Pub is renovated. The Purchasers intend to renovate right away and spend a further 250,000.00 to the interior and exterior of the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to prepay the first charge to the sellers at any time without penalty.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to review the terms and conditions of the Liquor Primary License including the off sale provision, seating capacity, hours of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to review the documents from the City of Vancouver regarding the patio and seating capacity and hours of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Satisfactory inspection of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Khamoro pub owners to assist the new Purchasers to negotiate a new lease agreement including the base rent, additional rent and the length of the lease to the satisfaction of the Purchasers and the satisfaction of the Landlord.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and Sellers agree to work out a time line for possession taking into account the Sellers responsibility to staff, modifications and legal time frames.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 OF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offer is open until 5:00 pm on May 15th,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acceptance of this offer to Purchase, 200,000.00 will be placed in trust with the Sellers lawyer when all the subjects conditions have been removed on or before June 14,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agree to use best efforts to pay the principle and interest sooner than the 24 months as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PURCHASE PRICE 500,000.00 DOWN PAYMENT 300,000.00 BALANCE PAYABLE MONTHLY 10,000.00 24 PAYMENTS WITH 10% INTEREST PER ANNUM SECURED BY A FIRST CHARGE TO THE SELLERS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and DATED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behalf of a New Company to be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15, 2008</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"Stefano Monachese"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"Simon Gould"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ACCEPTED</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15, 2008</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Khamoro Pub</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"Anna Litvinov"</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Authorized signature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14, 2008, Mr. Gould prepared another document (the "Subject Removal Agreement"). It states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SIMON CONSULTING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14,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REMOVAL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KHAMORO PUB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103 888 BURRARD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Simon Gould and on behalf of Stefano Monachese agree with Anna Litvinov on behalf of Khamoro Pub, that the subject conditions in our Agreement dated May 15, 2008 are to be accepted as viewed and reviewed and that the conditions of the Liquor License, the off sales, the seating capacity, the hours of operation, the patio and seating capacity and hours of operation, the inspection of the premises, the assistance by Khamoro Pub owners to assist with the landlord and the new lease agreement, all have been to the satisfaction of the Buyers.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Simon and Anna agree the terms of completing the Purchase and Sale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Completion will be July 7, 2008 subject to the lawyers from both sides being able to complete the paperwork on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Possession will be August 15, 2008 unless Simon and Anna agree to change this date. This is for the sole purpose of both parties working together for a harmonious transition of ownership.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parties in this agreement, agree to extend the closing of this agreement and provide the Sellers lawyer the required 200,000.00 deposit on or before June 17, 2008. The Balance of 100,000.00 making the total of 300,000.00 will be forwarded to the Sellers lawyer on the completion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June 14,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614"/>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"Simon Gould"</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Khamoro Pub</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"Anna Litvinov"</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Gould in his examination for discovery agreed that prior to the removal of the subject clauses he had not taken any steps to conduct an inspection of the premises or its equipment, to contact the City of Vancouver, or to contact the Liquor Licensing and Control Board. He seemed to suggest in his testimony that he felt he needed to sign the Subject Removal Agreement, despite his failure to inspect the premises or confirm the licensing, in order not to lose a non-refundable down payment. However, there is no evidence that there was such a down payment. The documentary evidence shows that in fact no money was paid until after the Subject Removal Agreement was signed, at which time $300,000 was paid. The remainder of the price ($200,000) was to be paid over time, secured by a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that Mr. Gould understood that prior to signing the Subject Removal Agreement he could walk away from the agreement, but that after removing the subjects, the Purchase Agreement became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Mr. Gould's original partner in the venture backed out, the Purchase Agreement was assigned to 082 B.C. Ltd. as purchaser, and Mr. Gould along with some other investors took over the business. Not long after, Mr. Gould's son, Michael Gould, took up the position of manager of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entered into a general security agreement and 082 Ltd. executed a promissory note for the balance of the purchase price owing to 067 Ltd. ($200,000 with interest at 10% per annum). A contract of sale of goods was made, transferring the liquor licence to 082 Ltd. As well, a contract for sale of goods was executed transferring the pub equipment and furniture to 082 Ltd., specifying that consideration for that transfer was $5,000. The list of assets transferred includes a freezer, refrigerator, step-in cooler, draught beer cooler, and a grease trap. It does not include an air conditioner or heating system or sump pump. There is no express warranty in the contract as to the condition of the items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Gould asserts that Ms. Litvinov made various false representations in connection with his purchase of the property, and that 082 Ltd. has suffered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statement of defence and counterclaim alleges:</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induce Mr. Gould and the said Stefano Monachese to sign the Purchase Agreement as agents of the New Company, Ms. Litvinov and the plaintiff made various innocent, negligent or fraudulent misrepresentations including:</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Misrepresented that the patio area on Burrard Street was part of the licensed premises.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Misrepresented that the mechanical systems in the premises including air conditioning, refrigeration and ventilation were in good working order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Misrepresented that the premises were not under a one year Development Permit from the City of Vancouver,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misrepresentations as may become known to, the Plaintiffs or are proven at trial.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misrepresentation by Ms. Litvinov and the plantiff [sic] were negligent because: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Litvinov and the plaintiff knew or ought to have known that the patio area on Burrard Street was not part of the licensed premises. Ms. Litvinov and the plaintiff knew or ought to have known that with only the remaining 50 seats in the licensed premises, the neighbourhood pub business would not be viable.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Litvinov and the plaintiff knew or ought to have known that the mechanical systems in the premises including air conditioning, refrigeration and ventilation were not in good working order and required extensive repairs.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Litvinov and the plaintiff knew or ought to have known that the premises were under a one year Development Permit from the City of Vancouver, and that consequently, the costly renovations necessary to expand the neighbourhood pub to a size large enough to be viable would not be financially feasible.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may become known to, the Plaintiffs or are proven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COUNTERCLAIM AGAINST PLAINTIFF AND AGAINST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DEFENDANT BY COUNTERCLAIM ANNA LITVINOV</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repeat the facts in the Statement of Defence.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misrepresentations by Ms. Litvinov and the plaintiff and each of them, and the breaches of contract by the plaintiff, 082 has suffered loss, injury and damage included, but not limited to:</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rent of pub area of 1,200 square feet at an annual rent of $90 per square foot.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rent of the adjacent barbershop area of 800 square feet at an annual rent of $90 per square foot.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Renovations: $140,000.</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Permit: $898.50.</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Architect: $3,300.</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Licenses and inventory: $7,156.21.</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Mortgage broker's fee to be determined.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damages as become known to 082.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DEFENDANTS COUNTERCLAIM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082 claims: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special damages for breach of contract and breach of warranty against the plaintiff.</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special damages for misrepresentation against Ms. Litvinov and the plaintiff and each of them.</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off for such damages against any and all sums howsoever due from 082 to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trial, Mr. Gould limited the claim to the following: (1) representations about the mechanical systems; (2) the development permit fees; (3) the lost revenue caused by the Liquor Board shutting down liquor service on the patio for a few weeks; and (4) the unexpected costs incurred in connection with adding the former barber shop premises to the lease and the liquor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legal principles governing the consequences of misrepresentations are that as a general rule damages are not available as a remedy for innocent misrepresentations: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at 23. The test for negligent misrepresentation is described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at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required elements for a successful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In the case at bar, the trial judge found that all elements were present and allowed the appellant's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 mere silence does not constitute a misrepresentation outside of special circumstances such as the existence of a fiduciary duty, a contract of utmost good faith, or where silence distorts a positive representation: </w:t>
      </w:r>
      <w:r>
        <w:rPr>
          <w:rFonts w:ascii="arial" w:eastAsia="arial" w:hAnsi="arial" w:cs="arial"/>
          <w:i/>
          <w:color w:val="000000"/>
          <w:sz w:val="20"/>
          <w:lang w:val="en-US" w:eastAsia="en-US" w:bidi="ar-SA"/>
        </w:rPr>
        <w:t>F.S. v. C.H.</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(1994), 120 D.L.R. (4th) 432</w:t>
        </w:r>
      </w:hyperlink>
      <w:r>
        <w:rPr>
          <w:rFonts w:ascii="arial" w:eastAsia="arial" w:hAnsi="arial" w:cs="arial"/>
          <w:color w:val="000000"/>
          <w:sz w:val="20"/>
          <w:lang w:val="en-US" w:eastAsia="en-US" w:bidi="ar-SA"/>
        </w:rPr>
        <w:t xml:space="preserve"> (Ont. Ct. J. (Gen Div.) at 439-440, aff'd </w:t>
      </w:r>
      <w:hyperlink r:id="rId920" w:history="1">
        <w:r>
          <w:rPr>
            <w:rFonts w:ascii="arial" w:eastAsia="arial" w:hAnsi="arial" w:cs="arial"/>
            <w:i/>
            <w:color w:val="0077CC"/>
            <w:sz w:val="20"/>
            <w:u w:val="single"/>
            <w:shd w:val="clear" w:color="auto" w:fill="FFFFFF"/>
            <w:lang w:val="en-US" w:eastAsia="en-US" w:bidi="ar-SA"/>
          </w:rPr>
          <w:t>(1996), 133 D.L.R. (4th) 767</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for fraudulent misrepresentation, the plaintiff must prove: (1) that the representations were made; (2) that they were factually false; (3) that the person who made them either knew that they were false or made them recklessly without knowing that they were false or true; (4) and that the other party, the representee, was thereby induced to enter into the contract: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general issue as to whether an oral warranty can have force in conjunction with an expressed contract is addressed by Lambert J.A., for the majority of the British Columbia Court of Appeal, in </w:t>
      </w:r>
      <w:r>
        <w:rPr>
          <w:rFonts w:ascii="arial" w:eastAsia="arial" w:hAnsi="arial" w:cs="arial"/>
          <w:i/>
          <w:color w:val="000000"/>
          <w:sz w:val="20"/>
          <w:lang w:val="en-US" w:eastAsia="en-US" w:bidi="ar-SA"/>
        </w:rPr>
        <w:t>Gallen v. Allstate Grain Co.</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xml:space="preserve"> (C.A.) at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seems to me to put the question squarely. What the trier of fact is trying to find out is this: who was to bear the risk that the statement might be wrong, the person who made it, or the person who acted on it? If it must be taken to have been intended, and understood, when said, to form a part of the contractual relations between the parties, then it is a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Of course a collateral agreement cannot be established where it is inconsistent with or contradicts the written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plaintiff, Mr. May, submitted that in order to succeed 082 Ltd. must show that the alleged statements by Ms. Litvinov were made, that they were false, and that they were either meant to induce and did induce Mr. Gould to enter into the purchase agreement, or taken to have been intended or understood when said to form a part of the contractual relationship between the plaintiff and Mr. Gould.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mechanical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Gould's position was that, although Ms. Litvinov had represented that mechanical systems in the pub were all in good working order, once the new owners took possession, they experienced difficulties with the heating, ventilation and air conditioning system ("HVAC"), the refrigeration equipment, the sump pump and the grease trap. Mr. Gould seeks $16,532 in damages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Among the items complained of, only some refrigeration equipment and the grease trap were sold by 067 Ltd. to 082 Ltd. The HVAC system and sump pump belonged to the landlord. Under the lease with 067 Ltd., the landlord took responsibility for their maintenance. That changed, however, when 082 Ltd. took over the lease; the new lease put responsibility for the maintenance of that equipment on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Litvinov acknowledged that she told Mr. Gould that the mechanical systems were in good working order. Her counsel said that she stands by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Gould did not conduct any real inspection of the premises - it appears that he just walked through and took a cursory look. Ms. Litvinov testified that Mr. Gould told her that he did not care about the mechanical systems as he intended to replace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the HVAC system, Ms. Litvinov testified that she did not know that there was an air conditioning system and that she had not experienced any problems with the heat. Nevertheless, in the fall of 2008, she agreed to share the cost of repairs to the mechanical systems, in particular the air conditioning, to the extent of $2,000 so long as invoices were provided showing the cost of repairs. It was found as fact at the trial of the plaintiff's claim that 067 Ltd. agreed to share the cost of repairs to the mechanical systems, to the extent of about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"without prejudice" letter from counsel for 067 Ltd. to counsel for 082 Ltd. (both parties agreed to waive privilege over the letter), it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was willing to contribute the total sum of $2,000., provided our client receive from your client the appropriate bills for services rendered for the repairs of the air conditioning system. Our client never received from your client any bills or proof of any services provided. As a result, our client did not agree to insufficient amount on the second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our client request that your client through you provide us with appropriate proof that at completion date of the sale of the business on July 15, 2008, or shortly thereafter, the air conditioning system was not in good working condition, the defects discovered, the repairs performed, and payments made therefor,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trial of the counterclaim, Mr. Gould produced invoices for repairs to the air conditioning system in the fall of 2008 in the total sum of $4,727.29. The sum that Ms. Litvinov agreed to pay, $2,000, is about one-half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the grease trap, there was evidence from Mr. Gould and from Michael Gould and Mr. Bichara, the chef at the Winking Judge Pub, that the grease trap was thoroughly clogged and corroded, appearing not to have been properly maintained for several years. The back-up in the plumbing that 082 Ltd. experienced may or may not have been caused by the grease trap; however, on the balance of probabilities, I find that the grease trap likely contributed to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Gould produced invoices for repairs to refrigerators; Mr. Bichara testified that the repairs were to the particular refrigerators purchased from 067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Litvinov testified that she was not aware of any problems with the refrigeration. There is a record of a health inspection of the premises on May 12, 2008, which shows that the refrigerators were maintaining cold temperatures at that time. Ms. Litvinov provided invoices showing maintenance work on the refrigerators during the period she ran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Ms. Litvinov made a representation to Mr. Gould that the mechanical systems were in good working order, that was intended to have contractual force, inducing him to enter into the Purchase Agreement. Such a contractual term is not inconsistent with or contradictory to the written agreements. I find that there was a collateral contract between the parties regarding mechanical systems, and that it included both the landlord's HVAC system and the refrigeration units and grease trap sold by 067 Ltd. to 082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appears that Mr. Gould reaches the total of $16,532.50 by claiming not only repair costs, but also increased operating costs for the first six months of operation. He has not provided any evidence to back up his claim for increased operating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the evidence of Mr. Gould and of the other witnesses he called, and find that the refrigeration units transferred by the plaintiff did experience some problems and required repairs. Based on my assessment of the evidence, the cost of those repairs amounted to $2,251.20.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as well that repairs to the grease trap were needed; Mr. Gould produced an invoice for $336.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by counterclaim have already received $2,000 toward the air conditioner repairs through deductions from the payments under the promissory note; they are entitled to the balance of the cost of the repairs, which is $4,727.29 less $2,000, or $2,727.29.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plaintiffs by counterclaim have proven their claim in the total amount of $5,314.49 and the counterclaim is allowed in that amount.</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Development permit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Gould also claims that Ms. Litvinov should have informed him that the City of Vancouver required yearly development permit fees to operate a pub at the Burrard Street location. He was taken by surprise when Ms. Litvinov delivered a notice that had come to her, and he claims damages in the amount of $2,245 for the development approval fees he has had to pay since he purchased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no reference to any licensing fees in the Information Sheet provided by Ms. Litvinov prior to the purchase. The Purchase Agreement makes no warranty that all licensing fees were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Litvinov was not under a positive duty to bring this matter to Mr. Gould's attention, nor did she mislead Mr. Gould about it. Mr. Gould had the opportunity to check into what would be required from City Hall between signing the Purchase Agreement and signing the Subject Removal Agreement, but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there is no factual or legal basis for this claim, and it is not allowed.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Patio shut-down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Gould also asserts that Ms. Litvinov misrepresented the seating area available for the pub business. He says that some time in the fall of 2008 a liquor inspector came to the premises, that as a result he learned that the business was not in fact licensed to serve alcohol on the Burrard Street patio, and that he was required to cease operations there for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Gould's evidence was that he only realized there was a problem when he removed the licence that hung on the wall of the premises, and saw white-out over an "X" through the Burrard Street patio area. He agreed, however, that he did not rely on that document when he went ahead with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 to his evidence, it took about two weeks to straighten out the matter and to resume liquor service on the Burrard Street patio. He seeks $8,551.20 in damages, which are calculated on the basis of lost revenue from pub seats temporarily not available, calculated on the average revenue per seat in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Litvinov's evidence, supported by that of her daughter Olga Litvinov, was that they had never had any difficulties with respect to serving alcohol on both patio areas. Olga Litvinov testified that in fact the Liquor Control Board had licensed alcohol service on both the Smithe Street and Burrard Street patio areas. This was not reflected in the sketch plan that was attached to the liquor license, but, according to Olga Litvinov, she was advised by an employee of the Liquor Control Board that the plan was to be updated the next time the license was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of Ms. Litvinov and her daughter regarding the patio serving area is accurately summarized by counsel for the plaintiff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issue of the Burrard Street Patio, the plaintiff's evidence is as follows: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Burrard Street Patio and the Smithe Street patios have been licenced since 2004 under the Food Primary Licence. When the Khamoro Cafe began operating, only the Burrard Patio was licensed.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changes to the patio area was ever requested by Ms. Litvinov or demanded by any government body as a part of the transfer from a food primary licence to a liquor primary licence.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from the Liquor Board stated that sidewalk patios would only be licensed with the approval of the City of Vancouver, in other words, that whether the sidewalk patio was licensed was up to the City of Vancouver.</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issuance of the Liquor Primary Licence, the City of Vancouver issued a new Liquor Primary Sidewalk Patio Licence, which included both the Smithe Street patio and the Burrard Street patio.</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received the floor plan for the liquor primary licence, the Burrard patio, for reasons that are unknown, was crossed off. Olga Litvinov then contacted the Liquor Board, who advised her that licensing of patios was up to the City of Vancouver, and that the proper agreement for the patio had not been forwarded in relation to the liquor primary licence.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therefore undertook to obtain approval from the City of Vancouver to have the patio licensed for the liquor primary usage. The plaintiff obtained approval from the City of Vancouver on April 10, 2008. This was forwarded to the Liquor Board.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Olga Litvinov was advised by the Liquor Board that they accepted that the patio was licensed. She was told that the corrected floor plan would be included in the licence renewal. Since the issue had been dealt with, she manually corrected the copy of the floor plan that was kept in the Khamoro Pub.</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liquor primary licence included a licence for 15 patrons on the patio. The evidence of both Mr. Gould and Ms. Litvinov is that the Smithe Street patio could not legally seat 15 people.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continued to operate the Khamoro Pub from March 2008 until August 2008, including serving liquor on the Burrard Street patio. It was never told to step serving liquor on the Burrard Street patio, despite inspections as a new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the white-out on the floor plan on the back of the liquor licence hung on the wall of the pub raises suspicions, I accept the evidence of Olga Litvinov explaining why she put it there, and the evidence of both Anna and Olga Litvinov of the history of the matter,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liquor license obtained by the Khamoro Pub did allow service to a total of 15 patrons on the patio; however, the Smithe Street patio alone seats only six patrons. That supports the conclusion that either the Burrard Street patio was in fact licensed and the floor plan was erroneous, as Olga Litvinov claimed, or at least that both she and her mother Anna Litvinov honestly believed that they were licensed to serve liquor on both patios.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Purchase Agreement does not state what the seating capacity of the pub is. Instead, it specifies: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to review the terms and conditions of the Liquor Primary License including the off sale provision, seating capacity, hours of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to review the documents from the City of Vancouver regarding the patio and seating capacity and hours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Gould had the opportunity, between the signing of the purchase agreement and the removal of the subject clauses, to check on the extent of the patio seating area. He did not, but signed the Subject Removal Agreement that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Simon Gould and on behalf of Stefano Monachese agree with Anna Litvinov on behalf of Khamoro Pub, that the subject conditions in our Agreement dated May 15, 2008 are to be accepted as viewed and reviewed and that </w:t>
      </w:r>
      <w:r>
        <w:rPr>
          <w:rFonts w:ascii="arial" w:eastAsia="arial" w:hAnsi="arial" w:cs="arial"/>
          <w:color w:val="000000"/>
          <w:sz w:val="20"/>
          <w:u w:val="single"/>
          <w:lang w:val="en-US" w:eastAsia="en-US" w:bidi="ar-SA"/>
        </w:rPr>
        <w:t>the conditions of the Liquor License, the off sales, the seating capacity, the hours of operation, the patio and seating capacity</w:t>
      </w:r>
      <w:r>
        <w:rPr>
          <w:rFonts w:ascii="arial" w:eastAsia="arial" w:hAnsi="arial" w:cs="arial"/>
          <w:color w:val="000000"/>
          <w:sz w:val="20"/>
          <w:lang w:val="en-US" w:eastAsia="en-US" w:bidi="ar-SA"/>
        </w:rPr>
        <w:t xml:space="preserve"> and hours of operation, the inspection of the premises, the assistance by Khamoro Pub owners to assist with the landlord and the new lease agreement, all have been to the satisfaction of the Buyers.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there was a misrepresentation, I find that it was neither negligent nor fraudulent. Further, I find that if there was a misrepresentation, Mr. Gould did not act in reliance on it; rather, he proceeded to make the Purchase Agreement final through signing the Subject Removal Agreement after having had the opportunity to check into the patio licensing and seating capacity. As well, the defendants have failed to prove when and for how long the patio service was shut down and to provide documents that would permit a proper calculation of the damages they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those reasons, this aspect of the counterclaim is dismissed.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barber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Mr. Gould asserts that Ms. Litvinov misrepresented the availability of additional space for expansion of the pub. He says that he discovered after signing the lease and opening the pub that it was going to cost much more to expand into the adjacent barber shop premises than he had thought it would, because of the amounts that the landlord demanded and because of development permit issues. He says that Ms. Litvinov should compensate him for the amount of rent paid for the premises during the approval and rezoning process, in the amount of $56,999 for nine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Nowhere in the Information Sheet or Purchase Agreement does the vendor 067 Ltd. make a representation that the purchaser will be able to take over the barber shop space and incorporate it into the pub or as to the cost of such an expansion. What the Information Sheet sets out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SIZE: 1,200 sift. Approx (possibility to extend to 2,000sft, or 5,000sft.)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Prior to removing the subject conditions in the Purchase Agreement, Mr. Gould executed a letter of intent with the landlord for a new lease over both the Khamoro premises and the adjoining barber shop premises. He was well aware, or should have been well aware, of the costs he would be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the Subject Removal Agreement executed by both parties on June 14, 2008, Mr. Gould agreed that "the conditions of the liquor license, the off sales, the seating capacity, the hours of operation, the patio and seating capacity and hours of operation, the inspection of the premises, the assistance by Khamoro Pub owners to assist with the landlord and </w:t>
      </w:r>
      <w:r>
        <w:rPr>
          <w:rFonts w:ascii="arial" w:eastAsia="arial" w:hAnsi="arial" w:cs="arial"/>
          <w:color w:val="000000"/>
          <w:sz w:val="20"/>
          <w:u w:val="single"/>
          <w:lang w:val="en-US" w:eastAsia="en-US" w:bidi="ar-SA"/>
        </w:rPr>
        <w:t>the new lease agreement</w:t>
      </w:r>
      <w:r>
        <w:rPr>
          <w:rFonts w:ascii="arial" w:eastAsia="arial" w:hAnsi="arial" w:cs="arial"/>
          <w:color w:val="000000"/>
          <w:sz w:val="20"/>
          <w:lang w:val="en-US" w:eastAsia="en-US" w:bidi="ar-SA"/>
        </w:rPr>
        <w:t>, all have been to the satisfaction of the buyers"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there was no representation. Even if there was a representation, Mr. Gould did not act in reliance on it. The counterclaim is dismissed with respect to the claim for the costs of acquiring the barber shop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counterclaim is allowed against 067 Ltd. with respect to the proved cost of repairs to mechanical systems, in the amount of $5,314.49. It is dismissed against Anna Litvinov.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submissions on costs are necessary, I will hear them at a time to be arranged through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LYNN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7"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9" w:history="1">
        <w:r>
          <w:rPr>
            <w:rFonts w:ascii="arial" w:eastAsia="arial" w:hAnsi="arial" w:cs="arial"/>
            <w:b/>
            <w:bCs/>
            <w:i/>
            <w:color w:val="0077CC"/>
            <w:kern w:val="32"/>
            <w:sz w:val="28"/>
            <w:szCs w:val="32"/>
            <w:u w:val="single"/>
            <w:shd w:val="clear" w:color="auto" w:fill="FFFFFF"/>
            <w:lang w:val="en-US" w:eastAsia="en-US" w:bidi="ar-SA"/>
          </w:rPr>
          <w:t>0856464 B.C. Ltd. v. TimberWest Forest Corp., [2012] B.C.J. No. 804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S095698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804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C.B.R. (5th) 235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C.C.L.T. (3d) 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217 A.C.W.S. (3d) 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1157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0856464 B.C. Ltd., Respondent/Plaintiff, and TimberWest Forest Corp., TimberWest Holdings Ltd., and TimberWest Forest Company, Appellants/Defendants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8"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3" w:name="Keywords_36"/>
      <w:bookmarkEnd w:id="323"/>
      <w:r>
        <w:rPr>
          <w:rFonts w:ascii="arial" w:eastAsia="arial" w:hAnsi="arial" w:cs="arial"/>
          <w:b/>
          <w:color w:val="000000"/>
          <w:sz w:val="20"/>
          <w:lang w:val="en-US" w:eastAsia="en-US" w:bidi="ar-SA"/>
        </w:rPr>
        <w:t>Civil litigation — Civil procedure — Pleadings — Amendment of — Statement of claim — Adding new cause of action — Leave to amend — Appeals — From Masters' decisions — Standard of review — Correctness — Appeal by defendants from Master's order granting leave to plaintiff to file amended notice of civil claim allowed — Claim was for failure to negotiate contracts in good faith — Plaintiff sought to add alternative allegations relating to tort of interference with economic relations — Appropriate standard of review was correctness — Fundamental issue was question of law — Proposed pleading did not disclose any unlawful means upon which tort of interference with economic relations could success — Proposed pleading did not disclose causal connection between interference and damages allegedly suffered — Master erred in allowing amendment.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Interference with economic relations — Elements of tort — Use of unlawful means — Appeal by defendants from Master's order granting leave to plaintiff to file amended notice of civil claim allowed — Claim was for failure to negotiate contracts in good faith — Plaintiff sought to add alternative allegations relating to tort of interference with economic relations — Appropriate standard of review was correctness — Fundamental issue was question of law — Proposed pleading did not disclose any unlawful means upon which tort of interference with economic relations could succeed — Proposed pleading did not disclose causal connection between interference and damages allegedly suffered — Master erred in allowing amendment.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4" w:name="Case Summary_35"/>
            <w:bookmarkEnd w:id="3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defendants ("Timberwest") from a Master's order granting leave to 0856464 B.C. Ltd. ("085") to file an amended notice of civil claim. The substance of the amendments allowed by the order involved alternative allegations relating to the tort of interference with economic relations. Timberwest opposed the application before the Master. 085 claimed against Timberwest for an alleged failure to negotiate in good faith after Timberwest became a successor employer. Timberwest argued that the elements of the tort of interference with economic relations had not been properly pleaded.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5" w:name="Holdings of Court_29"/>
            <w:bookmarkEnd w:id="325"/>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appropriate standard of review was correctness. The fundamental issue on the application was whether the elements of the tort of economic interference were sufficiently disclosed in the proposed pleading such that it was not plain and obvious that there would be no case to meet. The issue was a question of law. The proposed pleading did not disclose any unlawful means upon which the tort of interference with economic relations could succeed. If 085's contract claim did not succeed, there were no other unlawful means upon which the tort claim could rest. The proposed pleadings did not disclose a causal connection between the interference and the damages allegedly suffered by 085. The Master erred in allowing the amendments.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6" w:name="Legislation Cited_22"/>
      <w:bookmarkEnd w:id="3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9"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930" w:history="1">
        <w:r>
          <w:rPr>
            <w:rFonts w:ascii="arial" w:eastAsia="arial" w:hAnsi="arial" w:cs="arial"/>
            <w:i/>
            <w:color w:val="0077CC"/>
            <w:sz w:val="20"/>
            <w:u w:val="single"/>
            <w:shd w:val="clear" w:color="auto" w:fill="FFFFFF"/>
            <w:lang w:val="en-US" w:eastAsia="en-US" w:bidi="ar-SA"/>
          </w:rPr>
          <w:t>R.S.C. 1985, c. B-3, s. 38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Act, </w:t>
      </w:r>
      <w:r>
        <w:rPr>
          <w:rFonts w:ascii="arial" w:eastAsia="arial" w:hAnsi="arial" w:cs="arial"/>
          <w:i/>
          <w:color w:val="000000"/>
          <w:sz w:val="20"/>
          <w:lang w:val="en-US" w:eastAsia="en-US" w:bidi="ar-SA"/>
        </w:rPr>
        <w:t>SBC 2004, CHAPTER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CHAPTER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6-1, Rule 23-6(8)</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Supreme Court of British Columbia, Master's Decision, October 13, 2011, 0856464 B.C. Ltd. v. TimberWest Forest Corp., </w:t>
            </w:r>
            <w:hyperlink r:id="rId931" w:history="1">
              <w:r>
                <w:rPr>
                  <w:rFonts w:ascii="arial" w:eastAsia="arial" w:hAnsi="arial" w:cs="arial"/>
                  <w:i/>
                  <w:color w:val="0077CC"/>
                  <w:sz w:val="20"/>
                  <w:u w:val="single"/>
                  <w:shd w:val="clear" w:color="auto" w:fill="FFFFFF"/>
                  <w:lang w:val="en-US" w:eastAsia="en-US" w:bidi="ar-SA"/>
                </w:rPr>
                <w:t>2011 BCSC 1365</w:t>
              </w:r>
            </w:hyperlink>
            <w:r>
              <w:rPr>
                <w:rFonts w:ascii="arial" w:eastAsia="arial" w:hAnsi="arial" w:cs="arial"/>
                <w:color w:val="000000"/>
                <w:sz w:val="20"/>
                <w:lang w:val="en-US" w:eastAsia="en-US" w:bidi="ar-SA"/>
              </w:rPr>
              <w:t xml:space="preserve">, and Supplemental Reasons, January 24, 2012, </w:t>
            </w:r>
            <w:hyperlink r:id="rId932" w:history="1">
              <w:r>
                <w:rPr>
                  <w:rFonts w:ascii="arial" w:eastAsia="arial" w:hAnsi="arial" w:cs="arial"/>
                  <w:i/>
                  <w:color w:val="0077CC"/>
                  <w:sz w:val="20"/>
                  <w:u w:val="single"/>
                  <w:shd w:val="clear" w:color="auto" w:fill="FFFFFF"/>
                  <w:lang w:val="en-US" w:eastAsia="en-US" w:bidi="ar-SA"/>
                </w:rPr>
                <w:t>2012 BCSC 98</w:t>
              </w:r>
            </w:hyperlink>
            <w:r>
              <w:rPr>
                <w:rFonts w:ascii="arial" w:eastAsia="arial" w:hAnsi="arial" w:cs="arial"/>
                <w:color w:val="000000"/>
                <w:sz w:val="20"/>
                <w:lang w:val="en-US" w:eastAsia="en-US" w:bidi="ar-SA"/>
              </w:rPr>
              <w:t xml:space="preserve">, Vancouver Registry No. S095698.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7" w:name="Counsel_46"/>
      <w:bookmarkEnd w:id="3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Respondent/Plaintiff: G.B.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Appellants/Defendants: W.B. Milman and P. Morrow.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8" w:name="Judgment_46"/>
      <w:bookmarkEnd w:id="328"/>
      <w:r>
        <w:pict>
          <v:line id="_x0000_s1251"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9" w:name="S.C. FITZPATRICK J._0"/>
            <w:bookmarkEnd w:id="329"/>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13, 2011, the Master granted leave to the plaintiff to file an amended notice of civil claim pursuant to Supreme Court Civil Rule 6-1. This application is an appeal from that order pursuant to Supreme Court Civil Rule 23-6(8).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substance of the amendments allowed by the order involves allegations relating to the tort of interference with economic relations. The defendants (who I will collectively refer to as "TimberWest") opposed the application before the Master, arguing that the elements of the tort of interference with economic relations had not been properly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to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is a creditor of Munns Lumber (1956) Limited. Following Munns' bankruptcy in January 2008, the plaintiff obtained the right to bring these proceedings pursuant to s. 38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writ of summons and statement of claim was filed on August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giving rise to the claim can be summarized as follows:</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TimberWest contracted out certain of their logging operations to Munns pursuant to stump to dump contracts. As part of these arrangements, Munns took over the employees of TimberWest working in these operations and by so doing, Munns became a successor employer under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with respect to the collective agreement in force.</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was able to re-assume the obligations of these employees as a successor employer if TimberWest re-assumed responsibility for the logging operations. The stump to dump contracts were to revert to TimberWest in various circumstances: if Munns wound up its business, if Munns became insolvent, if the contracts were terminated or if the contracts were not renewed.</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fall of 2007, TimberWest and Munns were engaged in negotiations in respect of 2008 rates under the various contracts. Those negotiations continued through to December 2007.</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3, 2008, TimberWest terminated various contracts with Munns.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14, 2008, Munns assigned itself into bankruptcy. Termination of a further contract was made by TimberWest for that reason.</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termination of the contracts, the employees of Munns reverted back to TimberWest.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subsequently suspended work under the contracts.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2008, a settlement agreement was signed between TimberWest and the union. This agreement in part allowed TimberWest to implement what has been called the "Subdivision Plan" which subdivided the operations under the various contracts and which allowed TimberWest to reduce its contract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substance of the claim by the plaintiff in 2009 was that TimberWest breached its contractual obligations with Munns under the various contracts in failing to negotiate the 2008 rates in good faith. TimberWest was said to have instead engaging in sham negotiations. As such, damages for breach of contract were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June 2011, the plaintiff sought to amend its statement of claim. At this time, the plaintiff sought to add a new cause of action, being the tort of interference with economic relations. TimberWest refused to consent to these amendments being made and ultimately, the application was brought before the Master on September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Master granted leave to file the amended pleadings to include this tort (original reasons at </w:t>
      </w:r>
      <w:hyperlink r:id="rId931" w:history="1">
        <w:r>
          <w:rPr>
            <w:rFonts w:ascii="arial" w:eastAsia="arial" w:hAnsi="arial" w:cs="arial"/>
            <w:i/>
            <w:color w:val="0077CC"/>
            <w:sz w:val="20"/>
            <w:u w:val="single"/>
            <w:shd w:val="clear" w:color="auto" w:fill="FFFFFF"/>
            <w:lang w:val="en-US" w:eastAsia="en-US" w:bidi="ar-SA"/>
          </w:rPr>
          <w:t>2011 BCSC 1365</w:t>
        </w:r>
      </w:hyperlink>
      <w:r>
        <w:rPr>
          <w:rFonts w:ascii="arial" w:eastAsia="arial" w:hAnsi="arial" w:cs="arial"/>
          <w:color w:val="000000"/>
          <w:sz w:val="20"/>
          <w:lang w:val="en-US" w:eastAsia="en-US" w:bidi="ar-SA"/>
        </w:rPr>
        <w:t>) on October 13, 2011. The Master however, directed that further amendments be made to the proposed pleading to address some pleading flaws. Following that direction, various versions of the amended claim were produced by the plaintiff, which were to have addressed the concerns of the Court. Following attempts to settle the order, a fifth and final version of the pleading was approved in supplemental reasons of the Master (</w:t>
      </w:r>
      <w:hyperlink r:id="rId932" w:history="1">
        <w:r>
          <w:rPr>
            <w:rFonts w:ascii="arial" w:eastAsia="arial" w:hAnsi="arial" w:cs="arial"/>
            <w:i/>
            <w:color w:val="0077CC"/>
            <w:sz w:val="20"/>
            <w:u w:val="single"/>
            <w:shd w:val="clear" w:color="auto" w:fill="FFFFFF"/>
            <w:lang w:val="en-US" w:eastAsia="en-US" w:bidi="ar-SA"/>
          </w:rPr>
          <w:t>2012 BCSC 98</w:t>
        </w:r>
      </w:hyperlink>
      <w:r>
        <w:rPr>
          <w:rFonts w:ascii="arial" w:eastAsia="arial" w:hAnsi="arial" w:cs="arial"/>
          <w:color w:val="000000"/>
          <w:sz w:val="20"/>
          <w:lang w:val="en-US" w:eastAsia="en-US" w:bidi="ar-SA"/>
        </w:rPr>
        <w:t>) and the order was entered on January 30,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TimberWest seeks an order allowing the appeal and striking out various paragraphs from the amended notice of civil claim being: Part 1: Statement of Facts, paragraphs 26 to 28, 40 to 48; Part 2: Relief Sought, subparagraph 1(c); and Part 3: Legal Basis, paragraphs 19 to 22. For ease of reference, I have reproduced those paragraphs in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 appeal from a Master's order on a purely interlocutory matter involving the exercise of discretion is not to be entertained unless the order was "clearly wrong": see </w:t>
      </w:r>
      <w:r>
        <w:rPr>
          <w:rFonts w:ascii="arial" w:eastAsia="arial" w:hAnsi="arial" w:cs="arial"/>
          <w:i/>
          <w:color w:val="000000"/>
          <w:sz w:val="20"/>
          <w:lang w:val="en-US" w:eastAsia="en-US" w:bidi="ar-SA"/>
        </w:rPr>
        <w:t>Abermin Corporation v. Granges Exploration Ltd.</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at 193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Nevertheless, where the judgment under appeal involves not an exercise of discretion, but a decision on a point of law, the standard of review is one of "correctness". In </w:t>
      </w:r>
      <w:r>
        <w:rPr>
          <w:rFonts w:ascii="arial" w:eastAsia="arial" w:hAnsi="arial" w:cs="arial"/>
          <w:i/>
          <w:color w:val="000000"/>
          <w:sz w:val="20"/>
          <w:lang w:val="en-US" w:eastAsia="en-US" w:bidi="ar-SA"/>
        </w:rPr>
        <w:t>Northland Properties Ltd. v. Equitable Trust Co.</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(1992), 71 B.C.L.R. (2d) 124</w:t>
        </w:r>
      </w:hyperlink>
      <w:r>
        <w:rPr>
          <w:rFonts w:ascii="arial" w:eastAsia="arial" w:hAnsi="arial" w:cs="arial"/>
          <w:color w:val="000000"/>
          <w:sz w:val="20"/>
          <w:lang w:val="en-US" w:eastAsia="en-US" w:bidi="ar-SA"/>
        </w:rPr>
        <w:t xml:space="preserve"> (S.C.), this point was discussed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authorities reviewed by Macdonald J. deal with the appellate role in reviewing a discretion exercised by a Master. There is a different procedural dynamic in a judgment involving the exercise of discretion than there is in a decision on a point of law, such as the one of those appealed from here. A decision involving an exercise of discretion always involves consideration of the facts and rarely has implications for the general law. The "clearly wrong" standard recognizes this and is based on practical considerations having to do with the proper allocation of court time. A decision on a point of law, by contrast, has implications for other cases and other litigants. To adopt the "clearly wrong" standard on an appeal from a decision on a point of law would mean that an incorrect (but not clearly wrong) interpretation by a Master of a point of law would stand - and presumably be binding on other Masters - but would remain vulnerable to a different interpretation by a judge, in a later case. Why, the defendants ask, should the correct interpretation await a later case? I find no answer to this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policy concerns which call for limited judicial review of the decisions of Masters do not apply to decisions of pure law. I conclude that a judge of this court sitting in appeal on a point of law from a Master has a conventional appeal jurisdiction, in which the legal issue may be argued and decided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do not agree as to whether the decision of the Master in this case was one involving the exercise of discretion or whether it was on a point of law. TimberWest takes the position that the issue involved a decision on a point of law, namely whether the legal elements of the tort of interference with economic relations were made out in the pleading. TimberWest says that in any event, even if it was a discretionary matter, the Master was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contends that the issue involved the exercise of discretion. The plaintiff cites </w:t>
      </w:r>
      <w:r>
        <w:rPr>
          <w:rFonts w:ascii="arial" w:eastAsia="arial" w:hAnsi="arial" w:cs="arial"/>
          <w:i/>
          <w:color w:val="000000"/>
          <w:sz w:val="20"/>
          <w:lang w:val="en-US" w:eastAsia="en-US" w:bidi="ar-SA"/>
        </w:rPr>
        <w:t>Elders Grain Co. v. Ralph Misener (The)</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2005 FCA 139</w:t>
        </w:r>
      </w:hyperlink>
      <w:r>
        <w:rPr>
          <w:rFonts w:ascii="arial" w:eastAsia="arial" w:hAnsi="arial" w:cs="arial"/>
          <w:color w:val="000000"/>
          <w:sz w:val="20"/>
          <w:lang w:val="en-US" w:eastAsia="en-US" w:bidi="ar-SA"/>
        </w:rPr>
        <w:t>, which discusses the basis upon which the appellate court is to consider the exercise of discretion: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judge's decision regarding the procedure to be followed at trial was a discretionary one. An appellate court is not at liberty merely to substitute its own exercise of discretion for the discretion already exercised by the trial judge. However, if the decision was based on an error of law or if the appellate court reaches the clear conclusion that there has been a wrongful exercise of discretion in that no weight, or no sufficient weight, has been given to relevant considerations or that the trial judge considered irrelevant factors or failed to consider relevant factors, then an appellate court is entitled to exercise its own discretion: </w:t>
      </w:r>
      <w:r>
        <w:rPr>
          <w:rFonts w:ascii="arial" w:eastAsia="arial" w:hAnsi="arial" w:cs="arial"/>
          <w:i/>
          <w:color w:val="000000"/>
          <w:sz w:val="20"/>
          <w:lang w:val="en-US" w:eastAsia="en-US" w:bidi="ar-SA"/>
        </w:rPr>
        <w:t>R. v. Carosella</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[1997] 1 S.C.R. 80</w:t>
        </w:r>
      </w:hyperlink>
      <w:r>
        <w:rPr>
          <w:rFonts w:ascii="arial" w:eastAsia="arial" w:hAnsi="arial" w:cs="arial"/>
          <w:color w:val="000000"/>
          <w:sz w:val="20"/>
          <w:lang w:val="en-US" w:eastAsia="en-US" w:bidi="ar-SA"/>
        </w:rPr>
        <w:t xml:space="preserve"> at paragraph 49. See also </w:t>
      </w:r>
      <w:r>
        <w:rPr>
          <w:rFonts w:ascii="arial" w:eastAsia="arial" w:hAnsi="arial" w:cs="arial"/>
          <w:i/>
          <w:color w:val="000000"/>
          <w:sz w:val="20"/>
          <w:lang w:val="en-US" w:eastAsia="en-US" w:bidi="ar-SA"/>
        </w:rPr>
        <w:t>Canadian Pacific Ltd. v. Matsqui Indian Band</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[1995] 1 S.C.R. 3</w:t>
        </w:r>
      </w:hyperlink>
      <w:r>
        <w:rPr>
          <w:rFonts w:ascii="arial" w:eastAsia="arial" w:hAnsi="arial" w:cs="arial"/>
          <w:color w:val="000000"/>
          <w:sz w:val="20"/>
          <w:lang w:val="en-US" w:eastAsia="en-US" w:bidi="ar-SA"/>
        </w:rPr>
        <w:t xml:space="preserve"> at paragraph 39; </w:t>
      </w:r>
      <w:r>
        <w:rPr>
          <w:rFonts w:ascii="arial" w:eastAsia="arial" w:hAnsi="arial" w:cs="arial"/>
          <w:i/>
          <w:color w:val="000000"/>
          <w:sz w:val="20"/>
          <w:lang w:val="en-US" w:eastAsia="en-US" w:bidi="ar-SA"/>
        </w:rPr>
        <w:t>Reza v. Canada</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[1994] 2 S.C.R. 394</w:t>
        </w:r>
      </w:hyperlink>
      <w:r>
        <w:rPr>
          <w:rFonts w:ascii="arial" w:eastAsia="arial" w:hAnsi="arial" w:cs="arial"/>
          <w:color w:val="000000"/>
          <w:sz w:val="20"/>
          <w:lang w:val="en-US" w:eastAsia="en-US" w:bidi="ar-SA"/>
        </w:rPr>
        <w:t xml:space="preserve"> at pages 404-405; </w:t>
      </w:r>
      <w:r>
        <w:rPr>
          <w:rFonts w:ascii="arial" w:eastAsia="arial" w:hAnsi="arial" w:cs="arial"/>
          <w:i/>
          <w:color w:val="000000"/>
          <w:sz w:val="20"/>
          <w:lang w:val="en-US" w:eastAsia="en-US" w:bidi="ar-SA"/>
        </w:rPr>
        <w:t>Friends of the Oldman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at pages 76-77.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original reasons, the Master set out the criteria in terms of considering the proposed amendments: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Rule 6-1 governs amendments to pleadings and does not set out any criteria for the exercise of the court's discretion. The discretion to permit amendments was intended to be completely unfettered and subject only to the general rule that such discretion was to be exercised judiciously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at para 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court must determine whether the claim is known in law or is a reasonable cause of action that is not frivolous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[1986] B.C.J. No. 802</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Doerksen v. First Open Heart Society of British Columbia</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[2010] B.C.J. No. 1811</w:t>
        </w:r>
      </w:hyperlink>
      <w:r>
        <w:rPr>
          <w:rFonts w:ascii="arial" w:eastAsia="arial" w:hAnsi="arial" w:cs="arial"/>
          <w:color w:val="000000"/>
          <w:sz w:val="20"/>
          <w:lang w:val="en-US" w:eastAsia="en-US" w:bidi="ar-SA"/>
        </w:rPr>
        <w:t xml:space="preserve"> (S.C.), Mr. Justice Wilson sets out the principles for amending pleadings as articulated in </w:t>
      </w:r>
      <w:r>
        <w:rPr>
          <w:rFonts w:ascii="arial" w:eastAsia="arial" w:hAnsi="arial" w:cs="arial"/>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(1989), 30 B.C.L.R. (2d) 45</w:t>
        </w:r>
      </w:hyperlink>
      <w:r>
        <w:rPr>
          <w:rFonts w:ascii="arial" w:eastAsia="arial" w:hAnsi="arial" w:cs="arial"/>
          <w:color w:val="000000"/>
          <w:sz w:val="20"/>
          <w:lang w:val="en-US" w:eastAsia="en-US" w:bidi="ar-SA"/>
        </w:rPr>
        <w:t xml:space="preserve"> (S.C.). He says at paragraphs 17 to 19 that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support a generous approach to the question of amendments.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Only in the clearest of cases will an amendment be struck as showing no reasonable claim. If there is doubt on the facts or law, the matter should be allowed to proceed to trial (</w:t>
      </w:r>
      <w:r>
        <w:rPr>
          <w:rFonts w:ascii="arial" w:eastAsia="arial" w:hAnsi="arial" w:cs="arial"/>
          <w:i/>
          <w:color w:val="000000"/>
          <w:sz w:val="20"/>
          <w:lang w:val="en-US" w:eastAsia="en-US" w:bidi="ar-SA"/>
        </w:rPr>
        <w:t>Forliti (Guardian ad litem of) v. Woolley</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(2003), 17 B.C.L.R. (4th) 184</w:t>
        </w:r>
      </w:hyperlink>
      <w:r>
        <w:rPr>
          <w:rFonts w:ascii="arial" w:eastAsia="arial" w:hAnsi="arial" w:cs="arial"/>
          <w:color w:val="000000"/>
          <w:sz w:val="20"/>
          <w:lang w:val="en-US" w:eastAsia="en-US" w:bidi="ar-SA"/>
        </w:rPr>
        <w:t xml:space="preserve"> at p.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can be seen, the Master relied on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at para. 45 (C.A.) which sets out that the Court exercises its discretion in permitting amendments. However, in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the Court was exercising its discretion in allowing an amendment in the face of evidence that the plaintiff had delayed in bringing an application to amend. In the final result, the Court of Appeal found that the chambers judge had erred in unduly fettering his discretion by placing unwarranted weight on a decision not to sue under an insurance policy. Here, I do not see that a determination that a pleading includes the proper elements of a cause of action involves an exercise of discretion such as was addressed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To the contrary, in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the Court also found that the chambers judge erred in relying on a certain authority for the proposition that a deliberate decision not to sue was fatal to the application to amend: see para. 69. This finding of the chambers judge was not a matter involving discretion but the application of the law to the merits of the application. As such, the Court considered that the chambers judge had erred and the appeal was allowed for that reason also.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is no dispute here that, in addition to the Court exercising its discretion in the circumstances, the Court must find that the claim pled is known in law and the elements of the cause of action must be properly pled. The claim must not be frivolous. This was the approach of the Court in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xml:space="preserve"> (S.C.), where the Court was considering an application to strike out certain paragraphs relating to either "unlawful interference with contractual relations" or "unlawful interference with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 357, Mr. Justice Lysyk set out the principles upon which an application to strike certain pleadings are to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 the principles governing an application to strike out are not in dispute. Reference has been made above to the </w:t>
      </w:r>
      <w:r>
        <w:rPr>
          <w:rFonts w:ascii="arial" w:eastAsia="arial" w:hAnsi="arial" w:cs="arial"/>
          <w:i/>
          <w:color w:val="000000"/>
          <w:sz w:val="20"/>
          <w:lang w:val="en-US" w:eastAsia="en-US" w:bidi="ar-SA"/>
        </w:rPr>
        <w:t>Minnes</w:t>
      </w:r>
      <w:r>
        <w:rPr>
          <w:rFonts w:ascii="arial" w:eastAsia="arial" w:hAnsi="arial" w:cs="arial"/>
          <w:color w:val="000000"/>
          <w:sz w:val="20"/>
          <w:lang w:val="en-US" w:eastAsia="en-US" w:bidi="ar-SA"/>
        </w:rPr>
        <w:t xml:space="preserve"> case and the thrust of that decision was summarized by Lambert J. A. in </w:t>
      </w:r>
      <w:r>
        <w:rPr>
          <w:rFonts w:ascii="arial" w:eastAsia="arial" w:hAnsi="arial" w:cs="arial"/>
          <w:i/>
          <w:color w:val="000000"/>
          <w:sz w:val="20"/>
          <w:lang w:val="en-US" w:eastAsia="en-US" w:bidi="ar-SA"/>
        </w:rPr>
        <w:t>Nicholis v. Richmond</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43 B.C.L.R. 162</w:t>
        </w:r>
      </w:hyperlink>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[1983] 4 W.W.R. 169</w:t>
        </w:r>
      </w:hyperlink>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24 C.C.L.T. 253</w:t>
        </w:r>
      </w:hyperlink>
      <w:r>
        <w:rPr>
          <w:rFonts w:ascii="arial" w:eastAsia="arial" w:hAnsi="arial" w:cs="arial"/>
          <w:color w:val="000000"/>
          <w:sz w:val="20"/>
          <w:lang w:val="en-US" w:eastAsia="en-US" w:bidi="ar-SA"/>
        </w:rPr>
        <w:t xml:space="preserve">, 33 C.P.C. 310, </w:t>
      </w:r>
      <w:hyperlink r:id="rId945" w:history="1">
        <w:r>
          <w:rPr>
            <w:rFonts w:ascii="arial" w:eastAsia="arial" w:hAnsi="arial" w:cs="arial"/>
            <w:i/>
            <w:color w:val="0077CC"/>
            <w:sz w:val="20"/>
            <w:u w:val="single"/>
            <w:shd w:val="clear" w:color="auto" w:fill="FFFFFF"/>
            <w:lang w:val="en-US" w:eastAsia="en-US" w:bidi="ar-SA"/>
          </w:rPr>
          <w:t>1 C.C.E.L. 188</w:t>
        </w:r>
      </w:hyperlink>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145 D.L.R. (3d) 362</w:t>
        </w:r>
      </w:hyperlink>
      <w:r>
        <w:rPr>
          <w:rFonts w:ascii="arial" w:eastAsia="arial" w:hAnsi="arial" w:cs="arial"/>
          <w:color w:val="000000"/>
          <w:sz w:val="20"/>
          <w:lang w:val="en-US" w:eastAsia="en-US" w:bidi="ar-SA"/>
        </w:rPr>
        <w:t xml:space="preserve"> (C.A.), in the following terms (at p. 164): "If the claim is bound to fail the pleading should be struck out. If it has a chance of success the pleading should stand". On an application of this nature a court will not be quick to strike out a claim on the basis that it is novel or unfamiliar: see, for example, </w:t>
      </w:r>
      <w:r>
        <w:rPr>
          <w:rFonts w:ascii="arial" w:eastAsia="arial" w:hAnsi="arial" w:cs="arial"/>
          <w:i/>
          <w:color w:val="000000"/>
          <w:sz w:val="20"/>
          <w:lang w:val="en-US" w:eastAsia="en-US" w:bidi="ar-SA"/>
        </w:rPr>
        <w:t>Pilkington Glass Ltd. v. Burnaby Sch. Dist.</w:t>
      </w:r>
      <w:r>
        <w:rPr>
          <w:rFonts w:ascii="arial" w:eastAsia="arial" w:hAnsi="arial" w:cs="arial"/>
          <w:color w:val="000000"/>
          <w:sz w:val="20"/>
          <w:lang w:val="en-US" w:eastAsia="en-US" w:bidi="ar-SA"/>
        </w:rPr>
        <w:t xml:space="preserve"> (1961), 36 W.W.R. 34, and </w:t>
      </w:r>
      <w:r>
        <w:rPr>
          <w:rFonts w:ascii="arial" w:eastAsia="arial" w:hAnsi="arial" w:cs="arial"/>
          <w:i/>
          <w:color w:val="000000"/>
          <w:sz w:val="20"/>
          <w:lang w:val="en-US" w:eastAsia="en-US" w:bidi="ar-SA"/>
        </w:rPr>
        <w:t>Kelley Logging Co. v. Pac. Coyle Navigation Co.,</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[1940] 2 W.W.R. 655</w:t>
        </w:r>
      </w:hyperlink>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[1940] 4 D.L.R. 789</w:t>
        </w:r>
      </w:hyperlink>
      <w:r>
        <w:rPr>
          <w:rFonts w:ascii="arial" w:eastAsia="arial" w:hAnsi="arial" w:cs="arial"/>
          <w:color w:val="000000"/>
          <w:sz w:val="20"/>
          <w:lang w:val="en-US" w:eastAsia="en-US" w:bidi="ar-SA"/>
        </w:rPr>
        <w:t>, both of which are decisions of this court. On the other hand, judicial time and the parties' resources ought not to be wasted on an exercise in futility if the pleadings disclose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Quintette Coal</w:t>
      </w:r>
      <w:r>
        <w:rPr>
          <w:rFonts w:ascii="arial" w:eastAsia="arial" w:hAnsi="arial" w:cs="arial"/>
          <w:color w:val="000000"/>
          <w:sz w:val="20"/>
          <w:lang w:val="en-US" w:eastAsia="en-US" w:bidi="ar-SA"/>
        </w:rPr>
        <w:t xml:space="preserve"> concerned an application to strike a pleading, a matter that is now dealt with under Supreme Court Civil Rule 9-5. Rule 9-5(1)(a) provides that the Court may strike out a pleading on the ground that it discloses no reasonable claim or defence, as the case may be. The test to be applied on these applications is that it must be "plain and obvious", assuming the facts pleaded to be true, that no reasonable cause of action is disclosed by the pleadings: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as a matter of common sense, if the Court is allowed to strike a pleading on the grounds that it discloses no reasonable claim, then the Court must similarly be required to determine that a reasonable claim exists in the first instance before any amendment can be made. In other words, before any amendment is allowed, the Court must first determine whether it is "plain and obvious" that no reasonable cause of action is disclosed by the proposed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support of its position on the standard of review, TimberWest relies on four decisions.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the Court was addressing whether certain third party notices issued by the defendant tobacco companies could stand in the face of an application to strike them out. The Court discusses the basis upon which an application to strike is to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power to strike out claims that have no reasonable prospect of success is a valuable housekeeping measure essential to effective and fair litigation. It unclutters the proceedings, weeding out the hopeless claims and ensuring that those that have some chance of success go on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Valuable as it is, the motion to strike is a tool that must be used with care. The law is not static and unchanging. Actions that yesterday were deemed hopeless may tomorrow succeed. Before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introduced a general duty of care to one's neighbour premised on foreseeability, few would have predicted that, absent a contractual relationship, a bottling company could be held liable for physical injury and emotional trauma resulting from a snail in a bottle of ginger beer. Before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[1963] 2 All E.R. 575 (H.L.), a tort action for negligent misstatement would have been regarded as incapable of success. The history of our law reveals that often new developments in the law first surface on motions to strike or similar preliminary motions, like the one at issue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Therefore,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Before us, Imperial and the other tobacco companies argued that the motion to strike should take into account, not only the facts pleaded, but the possibility that as the case progressed, the evidence would reveal more about Canada's conduct and role in promoting the use of low-tar cigarettes. This fundamentally misunderstands what a motion to strike is about. It is not about evidence, but the pleadings. The facts pleaded are taken as true. Whether the evidence substantiates the pleaded facts, now or at some future date, is irrelevant to the motion to strike. The judge on the motion to strike cannot consider what evidence adduced in the future might or might not show. To require the judge to do so would be to gut the motion to strike of its logic and ultimately render it useless.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question is therefore, assuming the facts pleaded to be true, is there any reasonable prospect of establishing the claim or would the claim in any event be defeated in due course. In </w:t>
      </w:r>
      <w:r>
        <w:rPr>
          <w:rFonts w:ascii="arial" w:eastAsia="arial" w:hAnsi="arial" w:cs="arial"/>
          <w:i/>
          <w:color w:val="000000"/>
          <w:sz w:val="20"/>
          <w:lang w:val="en-US" w:eastAsia="en-US" w:bidi="ar-SA"/>
        </w:rPr>
        <w:t>Innoventure S &amp; K Holdings Ltd. v. Innoventure (Tri-Cities) Holdings Ltd.</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2006 BCSC 1567</w:t>
        </w:r>
      </w:hyperlink>
      <w:r>
        <w:rPr>
          <w:rFonts w:ascii="arial" w:eastAsia="arial" w:hAnsi="arial" w:cs="arial"/>
          <w:color w:val="000000"/>
          <w:sz w:val="20"/>
          <w:lang w:val="en-US" w:eastAsia="en-US" w:bidi="ar-SA"/>
        </w:rPr>
        <w:t>, Mr. Justice Romilly discussed the standard of review at paras. 15-22 and found that the Master had correctly applied the test and was not therefore wrong in law in allowing the amendment to the statement of claim. The Court also found that the Master was not clearly wrong in allowing the amended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Serhan Estate v. Johnson &amp; Johnson</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(2006), 85 O.R. (3d) 665</w:t>
        </w:r>
      </w:hyperlink>
      <w:r>
        <w:rPr>
          <w:rFonts w:ascii="arial" w:eastAsia="arial" w:hAnsi="arial" w:cs="arial"/>
          <w:color w:val="000000"/>
          <w:sz w:val="20"/>
          <w:lang w:val="en-US" w:eastAsia="en-US" w:bidi="ar-SA"/>
        </w:rPr>
        <w:t xml:space="preserve"> (Sup. Ct. J. Div. Ct.), the Court was considering whether the chambers judge had properly certified a class action. This issue necessarily involved a determination as to whether it was "plain and obvious" that a certain cause of action could not be established. The Court held that the standard of review from the chambers judge was that of correctness: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However, the test of correctness must be applied within the context of the nature of the motion before Cullity J. - a certification motion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In argument, questions were raised about the test to be applied in determining whether an action can be certified when the issue is whether the claim discloses a cause of action. The discussion involved whether the test under rule 21.01(1)(b) of the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applied or whether the test was different given the determination of whether the pleading disclosed a cause of action was in the context of a class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fact that the examination of whether the amended statement of claim discloses a cause of action that "might succeed" is taking place within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with its important policy objectives, does not give rise to a different test. While the Ontario Court of Appeal's decision in </w:t>
      </w:r>
      <w:r>
        <w:rPr>
          <w:rFonts w:ascii="arial" w:eastAsia="arial" w:hAnsi="arial" w:cs="arial"/>
          <w:i/>
          <w:color w:val="000000"/>
          <w:sz w:val="20"/>
          <w:lang w:val="en-US" w:eastAsia="en-US" w:bidi="ar-SA"/>
        </w:rPr>
        <w:t>Cloud v. The Attorney General of Canada</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(2004), 73 O.R. (3d) 401</w:t>
        </w:r>
      </w:hyperlink>
      <w:r>
        <w:rPr>
          <w:rFonts w:ascii="arial" w:eastAsia="arial" w:hAnsi="arial" w:cs="arial"/>
          <w:color w:val="000000"/>
          <w:sz w:val="20"/>
          <w:lang w:val="en-US" w:eastAsia="en-US" w:bidi="ar-SA"/>
        </w:rPr>
        <w:t xml:space="preserve"> suggests a somewhat more liberal approach should be taken to certification of class actions, such an approach does not change substantive rights. As Winkler J. (as he then was) said in </w:t>
      </w:r>
      <w:r>
        <w:rPr>
          <w:rFonts w:ascii="arial" w:eastAsia="arial" w:hAnsi="arial" w:cs="arial"/>
          <w:i/>
          <w:color w:val="000000"/>
          <w:sz w:val="20"/>
          <w:lang w:val="en-US" w:eastAsia="en-US" w:bidi="ar-SA"/>
        </w:rPr>
        <w:t>Ontario New Home Warranty Program v. Chevron Chemical Co.</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(1999), 46 O.R. (3d) 130</w:t>
        </w:r>
      </w:hyperlink>
      <w:r>
        <w:rPr>
          <w:rFonts w:ascii="arial" w:eastAsia="arial" w:hAnsi="arial" w:cs="arial"/>
          <w:color w:val="000000"/>
          <w:sz w:val="20"/>
          <w:lang w:val="en-US" w:eastAsia="en-US" w:bidi="ar-SA"/>
        </w:rPr>
        <w:t xml:space="preserve">, "there is no jurisdiction conferred by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to supplement or derogate from the substantive rights of the parties. It is a procedural statute and, as such, neither its inherent objects nor its explicit provisions can be given effect in a manner which affects the substantive rights of either plaintiffs or defendants" (para.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test for striking a pleading at this stage is well-known. A pleading should be struck under Rule 21 only where it is it is "plain and obvious" that the claim has no chance of success. As stated by Wilson J. in </w:t>
      </w:r>
      <w:r>
        <w:rPr>
          <w:rFonts w:ascii="arial" w:eastAsia="arial" w:hAnsi="arial" w:cs="arial"/>
          <w:i/>
          <w:color w:val="000000"/>
          <w:sz w:val="20"/>
          <w:lang w:val="en-US" w:eastAsia="en-US" w:bidi="ar-SA"/>
        </w:rPr>
        <w:t>Hunt v. Carey, supra</w:t>
      </w:r>
      <w:r>
        <w:rPr>
          <w:rFonts w:ascii="arial" w:eastAsia="arial" w:hAnsi="arial" w:cs="arial"/>
          <w:color w:val="000000"/>
          <w:sz w:val="20"/>
          <w:lang w:val="en-US" w:eastAsia="en-US" w:bidi="ar-SA"/>
        </w:rPr>
        <w:t>, at para. 33,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 should the relevant portions of a plaintiff's statement of claim be struck out." In reaching this conclusion, Wilson J. observed that with respect to the Ontario legislation, the Ontario Court of Appeal had made it clear that "[t]he fact that the case the plaintiff wishes to present may involve complex issues of fact and law or may raise a novel legal proposition should not prevent a plaintiff from proceeding with his action"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Furthermore, it is well established that actions based on uncertain areas of the law should not be resolved at the pleading stage without the advantage of a factual foundation. This is particularly the case when the court is deciding matters of policy: see </w:t>
      </w:r>
      <w:r>
        <w:rPr>
          <w:rFonts w:ascii="arial" w:eastAsia="arial" w:hAnsi="arial" w:cs="arial"/>
          <w:i/>
          <w:color w:val="000000"/>
          <w:sz w:val="20"/>
          <w:lang w:val="en-US" w:eastAsia="en-US" w:bidi="ar-SA"/>
        </w:rPr>
        <w:t>Anger v. Berkshire Investment Group Inc.</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[2001] O.J. No. 379</w:t>
        </w:r>
      </w:hyperlink>
      <w:r>
        <w:rPr>
          <w:rFonts w:ascii="arial" w:eastAsia="arial" w:hAnsi="arial" w:cs="arial"/>
          <w:color w:val="000000"/>
          <w:sz w:val="20"/>
          <w:lang w:val="en-US" w:eastAsia="en-US" w:bidi="ar-SA"/>
        </w:rPr>
        <w:t xml:space="preserve"> at paras. 14-15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primary question is, therefore, whether the learned motion judge correctly found that the claim should not be struck; that is, whether it is not plain and obvious that the plaintiffs' claim will fail in relying on waiver of tort as a cause of action under which, in the circumstances here, the plaintiffs may be entitled to a constructive trust or an accounting and disgorgement of profits. Then, giving the class action motion judge the deference to which he is entitled based on his experience in this area, was he correct in determining that the other parts of s. 5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on this application contended that the decision in </w:t>
      </w:r>
      <w:r>
        <w:rPr>
          <w:rFonts w:ascii="arial" w:eastAsia="arial" w:hAnsi="arial" w:cs="arial"/>
          <w:i/>
          <w:color w:val="000000"/>
          <w:sz w:val="20"/>
          <w:lang w:val="en-US" w:eastAsia="en-US" w:bidi="ar-SA"/>
        </w:rPr>
        <w:t>Serhan Estate</w:t>
      </w:r>
      <w:r>
        <w:rPr>
          <w:rFonts w:ascii="arial" w:eastAsia="arial" w:hAnsi="arial" w:cs="arial"/>
          <w:color w:val="000000"/>
          <w:sz w:val="20"/>
          <w:lang w:val="en-US" w:eastAsia="en-US" w:bidi="ar-SA"/>
        </w:rPr>
        <w:t xml:space="preserve"> was restricted to certification applications and did not apply to this case. With respect, I disagree. The "plain and obvious" test has been consistently applied in British Columbia. In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2011 BCSC 1765</w:t>
        </w:r>
      </w:hyperlink>
      <w:r>
        <w:rPr>
          <w:rFonts w:ascii="arial" w:eastAsia="arial" w:hAnsi="arial" w:cs="arial"/>
          <w:color w:val="000000"/>
          <w:sz w:val="20"/>
          <w:lang w:val="en-US" w:eastAsia="en-US" w:bidi="ar-SA"/>
        </w:rPr>
        <w:t xml:space="preserve"> at para. 45, it was applied in the certification context, but that is the same test that is generally applied in respect of amendment of pleadings pursuant to Rule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(2008), 93 O.R. (3d) 35</w:t>
        </w:r>
      </w:hyperlink>
      <w:r>
        <w:rPr>
          <w:rFonts w:ascii="arial" w:eastAsia="arial" w:hAnsi="arial" w:cs="arial"/>
          <w:color w:val="000000"/>
          <w:sz w:val="20"/>
          <w:lang w:val="en-US" w:eastAsia="en-US" w:bidi="ar-SA"/>
        </w:rPr>
        <w:t xml:space="preserve"> at para. 23 (C.A.), leave to appeal to SCC refused, </w:t>
      </w:r>
      <w:hyperlink r:id="rId954" w:history="1">
        <w:r>
          <w:rPr>
            <w:rFonts w:ascii="arial" w:eastAsia="arial" w:hAnsi="arial" w:cs="arial"/>
            <w:i/>
            <w:color w:val="0077CC"/>
            <w:sz w:val="20"/>
            <w:u w:val="single"/>
            <w:shd w:val="clear" w:color="auto" w:fill="FFFFFF"/>
            <w:lang w:val="en-US" w:eastAsia="en-US" w:bidi="ar-SA"/>
          </w:rPr>
          <w:t>[2008] S.C.C.A. No. 491</w:t>
        </w:r>
      </w:hyperlink>
      <w:r>
        <w:rPr>
          <w:rFonts w:ascii="arial" w:eastAsia="arial" w:hAnsi="arial" w:cs="arial"/>
          <w:color w:val="000000"/>
          <w:sz w:val="20"/>
          <w:lang w:val="en-US" w:eastAsia="en-US" w:bidi="ar-SA"/>
        </w:rPr>
        <w:t>, the Court was considering the decision from the motion judge dismissing a certification application on the basis that the applicants had failed to disclose a cause of action. The Court found that the standard of review was one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Here, in coming to her conclusion, the Master applied the "plain and obvious" test on this application. She stated in her original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 do not find that this claim is frivolous.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action is one recognized in law. I need not determine whether the plaintiff can prove all of the elements or whether it will succeed. I ask myself: if the plaintiff can prove all of the alleged facts, do those facts support a cause of action or is it </w:t>
      </w:r>
      <w:r>
        <w:rPr>
          <w:rFonts w:ascii="arial" w:eastAsia="arial" w:hAnsi="arial" w:cs="arial"/>
          <w:color w:val="000000"/>
          <w:sz w:val="20"/>
          <w:u w:val="single"/>
          <w:lang w:val="en-US" w:eastAsia="en-US" w:bidi="ar-SA"/>
        </w:rPr>
        <w:t>plain and obvious</w:t>
      </w:r>
      <w:r>
        <w:rPr>
          <w:rFonts w:ascii="arial" w:eastAsia="arial" w:hAnsi="arial" w:cs="arial"/>
          <w:color w:val="000000"/>
          <w:sz w:val="20"/>
          <w:lang w:val="en-US" w:eastAsia="en-US" w:bidi="ar-SA"/>
        </w:rPr>
        <w:t xml:space="preserve"> that it has no case to make, to borrow the words of Justice Joyce in </w:t>
      </w:r>
      <w:r>
        <w:rPr>
          <w:rFonts w:ascii="arial" w:eastAsia="arial" w:hAnsi="arial" w:cs="arial"/>
          <w:i/>
          <w:color w:val="000000"/>
          <w:sz w:val="20"/>
          <w:lang w:val="en-US" w:eastAsia="en-US" w:bidi="ar-SA"/>
        </w:rPr>
        <w:t>Delaney &amp; Friends Cartoon Productions Ltd. v. Radical Entertainment Inc.</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It is not </w:t>
      </w:r>
      <w:r>
        <w:rPr>
          <w:rFonts w:ascii="arial" w:eastAsia="arial" w:hAnsi="arial" w:cs="arial"/>
          <w:color w:val="000000"/>
          <w:sz w:val="20"/>
          <w:u w:val="single"/>
          <w:lang w:val="en-US" w:eastAsia="en-US" w:bidi="ar-SA"/>
        </w:rPr>
        <w:t>plain and obvious</w:t>
      </w:r>
      <w:r>
        <w:rPr>
          <w:rFonts w:ascii="arial" w:eastAsia="arial" w:hAnsi="arial" w:cs="arial"/>
          <w:color w:val="000000"/>
          <w:sz w:val="20"/>
          <w:lang w:val="en-US" w:eastAsia="en-US" w:bidi="ar-SA"/>
        </w:rPr>
        <w:t xml:space="preserve"> that the plaintiff has no case to make. I have expressed some reservations, but those are better left for the trial judge. The question comes down to whether, under the ambit of this tort, the proposed amendments disclose an arguable cause of action. I find that they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 will allow this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fundamental issue on the application before the Master was whether the elements of the tort of economic interference were sufficiently disclosed in the proposed pleading such that it was not "plain and obvious" that there would be no case to meet. In my view, this did not involve any exercise of discretion on the part of the Master, but rather involved a consideration of the law relating to the tort of interference with economic relations and a determination as to whether the pleadings disclosed sufficient facts to support that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in the circumstances that the standard of review on this application is one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Tort of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has been considerable judicial discussion in Canada and England as to the elements necessary to establish the tort of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(1998), 40 O.R. (3d) 229</w:t>
        </w:r>
      </w:hyperlink>
      <w:r>
        <w:rPr>
          <w:rFonts w:ascii="arial" w:eastAsia="arial" w:hAnsi="arial" w:cs="arial"/>
          <w:color w:val="000000"/>
          <w:sz w:val="20"/>
          <w:lang w:val="en-US" w:eastAsia="en-US" w:bidi="ar-SA"/>
        </w:rPr>
        <w:t xml:space="preserve"> at 242-245 (Gen. Div.), var'd on other grounds </w:t>
      </w:r>
      <w:hyperlink r:id="rId957" w:history="1">
        <w:r>
          <w:rPr>
            <w:rFonts w:ascii="arial" w:eastAsia="arial" w:hAnsi="arial" w:cs="arial"/>
            <w:i/>
            <w:color w:val="0077CC"/>
            <w:sz w:val="20"/>
            <w:u w:val="single"/>
            <w:shd w:val="clear" w:color="auto" w:fill="FFFFFF"/>
            <w:lang w:val="en-US" w:eastAsia="en-US" w:bidi="ar-SA"/>
          </w:rPr>
          <w:t>(2000), 46 O.R. (3d) 760</w:t>
        </w:r>
      </w:hyperlink>
      <w:r>
        <w:rPr>
          <w:rFonts w:ascii="arial" w:eastAsia="arial" w:hAnsi="arial" w:cs="arial"/>
          <w:color w:val="000000"/>
          <w:sz w:val="20"/>
          <w:lang w:val="en-US" w:eastAsia="en-US" w:bidi="ar-SA"/>
        </w:rPr>
        <w:t xml:space="preserve"> (C.A.), aff'd </w:t>
      </w:r>
      <w:hyperlink r:id="rId958"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Mr. Justice Cumming summarizes the elements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valid business relationship or business expectancy between the plaintiff and another party;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by the defendant of that business relationship or expectancy;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interference which induces or causes a termination of the business relationship or expectancy;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interference is by way of unlawful means;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interference by the defendant must be the proximate cause of the termination of the business relationship or expectancy;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resultant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the House of Lords in </w:t>
      </w:r>
      <w:r>
        <w:rPr>
          <w:rFonts w:ascii="arial" w:eastAsia="arial" w:hAnsi="arial" w:cs="arial"/>
          <w:i/>
          <w:color w:val="000000"/>
          <w:sz w:val="20"/>
          <w:lang w:val="en-US" w:eastAsia="en-US" w:bidi="ar-SA"/>
        </w:rPr>
        <w:t>OBG Ltd. v. Allan</w:t>
      </w:r>
      <w:r>
        <w:rPr>
          <w:rFonts w:ascii="arial" w:eastAsia="arial" w:hAnsi="arial" w:cs="arial"/>
          <w:color w:val="000000"/>
          <w:sz w:val="20"/>
          <w:lang w:val="en-US" w:eastAsia="en-US" w:bidi="ar-SA"/>
        </w:rPr>
        <w:t xml:space="preserve">, [2007] UKHL 21 has fully analysed the tort and the proper elements of the tort. The central issue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was what constituted "unlawful means", being the fourth element identified above in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has recently been considered by the Ontario Court of Appeal in two decisions, which highlight both the majority reasoning of Lord Hoffmann and the minority reasoning of Lord Nicholls of Birkenhead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Correia v. Canac Kitchens</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2008 ONCA 506</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The elements of the tort of causing loss by unlawful means are: (1) wrongful interference by the defendant with the actions of a third party in which the plaintiff has an economic interest; (2) an intention by the defendant to cause loss to the plaintiff: see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at para. 47 (Hoffman L.). Again, the intentionality of the defendant's conduct is critical: it is not enough that the loss was a foreseeable consequence of the defendant's conduct; to be actionable under this tort, the loss must have been the intended result. Furthermore, intentional conduct that causes loss but is not unlawful, is not actionable. That is considered permissible competitive commercial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The question of what amounts to "unlawful means" is the one that has caused the most difficulty for judges and scholars. The majority of the Lords agreed with the following definition found at para. 51 of Lord Hoffman's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Unlawful means therefore consists of acts intended to cause loss to the claimant by interfering with the freedom of a third party in a way which is unlawful as against that third party and which is intended to cause loss to the claimant. It does not in my opinion include acts which may be unlawful against a third party but which do not affect his freedom to deal with the claimant.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Lord Hoffman summarized his definition of unlawful means as acts against a third party that are actionable by that third party, or would have been actionable if the third party had suffered a loss. This excludes criminal conduct that is not directed at the third party and is not otherwise actionable by that party. In contrast, Lord Nicholls of Birkenhead views the breadth of conduct under the rubric of "unlawful means" as encompassing any conduct that is deliberately intended to harm the plaintiff and in breach of a legal or equitable obligation under either civil or criminal law. He views the true rationale of the tort as providing a remedy for intentional economic harm "caused by unacceptable means", which includes all means that would violate an obligation under the law: para. 153.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Lord Nicholls' approach may be viewed as similar to the one espoused by the decision of this court in </w:t>
      </w:r>
      <w:r>
        <w:rPr>
          <w:rFonts w:ascii="arial" w:eastAsia="arial" w:hAnsi="arial" w:cs="arial"/>
          <w:i/>
          <w:color w:val="000000"/>
          <w:sz w:val="20"/>
          <w:lang w:val="en-US" w:eastAsia="en-US" w:bidi="ar-SA"/>
        </w:rPr>
        <w:t>Reach M.D. Inc. v. Pharmaceutical Manufacturers Association of Canada</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(2003), 65 O.R. (3d) 30</w:t>
        </w:r>
      </w:hyperlink>
      <w:r>
        <w:rPr>
          <w:rFonts w:ascii="arial" w:eastAsia="arial" w:hAnsi="arial" w:cs="arial"/>
          <w:color w:val="000000"/>
          <w:sz w:val="20"/>
          <w:lang w:val="en-US" w:eastAsia="en-US" w:bidi="ar-SA"/>
        </w:rPr>
        <w:t xml:space="preserve">, which adopted Lord Denning's characterization of unlawful means in </w:t>
      </w:r>
      <w:r>
        <w:rPr>
          <w:rFonts w:ascii="arial" w:eastAsia="arial" w:hAnsi="arial" w:cs="arial"/>
          <w:i/>
          <w:color w:val="000000"/>
          <w:sz w:val="20"/>
          <w:lang w:val="en-US" w:eastAsia="en-US" w:bidi="ar-SA"/>
        </w:rPr>
        <w:t>Torquay Hotel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note 2 at 530, as acts which the tortfeasor "is not at liberty to commit". In </w:t>
      </w:r>
      <w:r>
        <w:rPr>
          <w:rFonts w:ascii="arial" w:eastAsia="arial" w:hAnsi="arial" w:cs="arial"/>
          <w:i/>
          <w:color w:val="000000"/>
          <w:sz w:val="20"/>
          <w:lang w:val="en-US" w:eastAsia="en-US" w:bidi="ar-SA"/>
        </w:rPr>
        <w:t>Reach M.D</w:t>
      </w:r>
      <w:r>
        <w:rPr>
          <w:rFonts w:ascii="arial" w:eastAsia="arial" w:hAnsi="arial" w:cs="arial"/>
          <w:color w:val="000000"/>
          <w:sz w:val="20"/>
          <w:lang w:val="en-US" w:eastAsia="en-US" w:bidi="ar-SA"/>
        </w:rPr>
        <w:t xml:space="preserve">., the defendant association made a ruling that was beyond its powers against one of its members, which the court found to constitute "unlawful means". However, Rouleau J.A. in </w:t>
      </w:r>
      <w:r>
        <w:rPr>
          <w:rFonts w:ascii="arial" w:eastAsia="arial" w:hAnsi="arial" w:cs="arial"/>
          <w:i/>
          <w:color w:val="000000"/>
          <w:sz w:val="20"/>
          <w:lang w:val="en-US" w:eastAsia="en-US" w:bidi="ar-SA"/>
        </w:rPr>
        <w:t>Drouillard</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[2007] O.J. No. 1664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paras. 19-25, distinguished </w:t>
      </w:r>
      <w:r>
        <w:rPr>
          <w:rFonts w:ascii="arial" w:eastAsia="arial" w:hAnsi="arial" w:cs="arial"/>
          <w:i/>
          <w:color w:val="000000"/>
          <w:sz w:val="20"/>
          <w:lang w:val="en-US" w:eastAsia="en-US" w:bidi="ar-SA"/>
        </w:rPr>
        <w:t>Reach M.D</w:t>
      </w:r>
      <w:r>
        <w:rPr>
          <w:rFonts w:ascii="arial" w:eastAsia="arial" w:hAnsi="arial" w:cs="arial"/>
          <w:color w:val="000000"/>
          <w:sz w:val="20"/>
          <w:lang w:val="en-US" w:eastAsia="en-US" w:bidi="ar-SA"/>
        </w:rPr>
        <w:t>. and limited its scope, when he concluded that Cogeco's conduct in not following its internal corporate policy or acting in bad faith did not amount to unlawful means and that the tort of intentional interference with economic relations was therefore not made out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Later still, the Ontario Court of Appeal considered the tort of economic interference in </w:t>
      </w:r>
      <w:r>
        <w:rPr>
          <w:rFonts w:ascii="arial" w:eastAsia="arial" w:hAnsi="arial" w:cs="arial"/>
          <w:i/>
          <w:color w:val="000000"/>
          <w:sz w:val="20"/>
          <w:lang w:val="en-US" w:eastAsia="en-US" w:bidi="ar-SA"/>
        </w:rPr>
        <w:t>Alleslev-Krofchak v. Valcom Ltd.</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2010 ONCA 557</w:t>
        </w:r>
      </w:hyperlink>
      <w:r>
        <w:rPr>
          <w:rFonts w:ascii="arial" w:eastAsia="arial" w:hAnsi="arial" w:cs="arial"/>
          <w:color w:val="000000"/>
          <w:sz w:val="20"/>
          <w:lang w:val="en-US" w:eastAsia="en-US" w:bidi="ar-SA"/>
        </w:rPr>
        <w:t xml:space="preserve">, leave to appeal to SCC refused, </w:t>
      </w:r>
      <w:hyperlink r:id="rId963" w:history="1">
        <w:r>
          <w:rPr>
            <w:rFonts w:ascii="arial" w:eastAsia="arial" w:hAnsi="arial" w:cs="arial"/>
            <w:i/>
            <w:color w:val="0077CC"/>
            <w:sz w:val="20"/>
            <w:u w:val="single"/>
            <w:shd w:val="clear" w:color="auto" w:fill="FFFFFF"/>
            <w:lang w:val="en-US" w:eastAsia="en-US" w:bidi="ar-SA"/>
          </w:rPr>
          <w:t>[2010] S.C.C.A. No. 403</w:t>
        </w:r>
      </w:hyperlink>
      <w:r>
        <w:rPr>
          <w:rFonts w:ascii="arial" w:eastAsia="arial" w:hAnsi="arial" w:cs="arial"/>
          <w:color w:val="000000"/>
          <w:sz w:val="20"/>
          <w:lang w:val="en-US" w:eastAsia="en-US" w:bidi="ar-SA"/>
        </w:rPr>
        <w:t>. The Court begins by discussing the elements of the tort commencing at para. 44. At para. 50, the Court confirms that the tort requires that the defendant intend to cause loss to the plaintiff and secondly, that there be a causal connection between the unlawful means and the loss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issue as to what constituted the necessary "unlawful means", the Court in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debate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was about the scope of "unlawful means". That is also central to the appellant's argument in this case. The protagonists were Lord Hoffmann, with whom a majority of the House of Lords agreed, and Lord Nicholls.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Lord Hoffmann began his discussion at para. 46, by adopting Lord Lindley's rationale for the tort as being, in Lord Nicholls phrase describing his position, the defendants seeking to harm the plaintiff's business "through the instrumentality of a third party":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rationale of the tort was described by Lord Lindley in </w:t>
      </w:r>
      <w:r>
        <w:rPr>
          <w:rFonts w:ascii="arial" w:eastAsia="arial" w:hAnsi="arial" w:cs="arial"/>
          <w:i/>
          <w:color w:val="000000"/>
          <w:sz w:val="20"/>
          <w:lang w:val="en-US" w:eastAsia="en-US" w:bidi="ar-SA"/>
        </w:rPr>
        <w:t>Quinn v. Leathem</w:t>
      </w:r>
      <w:r>
        <w:rPr>
          <w:rFonts w:ascii="arial" w:eastAsia="arial" w:hAnsi="arial" w:cs="arial"/>
          <w:color w:val="000000"/>
          <w:sz w:val="20"/>
          <w:lang w:val="en-US" w:eastAsia="en-US" w:bidi="ar-SA"/>
        </w:rPr>
        <w:t xml:space="preserve"> [1901] A.C. 495, 534-535: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person's liberty or right to deal with others is nugatory, unless they are at liberty to deal with him if they choose to do so. Any interference with their liberty to deal with him affects him. If such interference is wrongful, the only person who can sue in respect of it is, as a rule, the person immediately affected by it; another who suffers by it has usually no redress; the damage to him is too remote, and it would be obviously practically impossible and highly inconvenient to give legal redress to all who suffer from such wrongs. </w:t>
      </w:r>
      <w:r>
        <w:rPr>
          <w:rFonts w:ascii="arial" w:eastAsia="arial" w:hAnsi="arial" w:cs="arial"/>
          <w:color w:val="000000"/>
          <w:sz w:val="20"/>
          <w:u w:val="single"/>
          <w:lang w:val="en-US" w:eastAsia="en-US" w:bidi="ar-SA"/>
        </w:rPr>
        <w:t xml:space="preserve">But if the interference is wrongful and is intended to damage a third person, and he is damaged in fact - in other words, if he is wrongfully and intentionally struck at through others, and is thereby damnified - the whole aspect of the case is changed: </w:t>
      </w:r>
      <w:r>
        <w:rPr>
          <w:rFonts w:ascii="arial" w:eastAsia="arial" w:hAnsi="arial" w:cs="arial"/>
          <w:color w:val="000000"/>
          <w:sz w:val="20"/>
          <w:lang w:val="en-US" w:eastAsia="en-US" w:bidi="ar-SA"/>
        </w:rPr>
        <w:t xml:space="preserve"> the wrong done to others reaches him, his rights are infringed although indirectly, and damage to him is not remote or unforeseen, but is the direct consequence of what has been done."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He set out his view of the essence of the tort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essence of the tort therefore appears to be (a) a wrongful interference with the actions of a third party in which the claimant has an economic interest and (b) an intention thereby to cause loss to the claimant.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Then, critically for the appellant's argument, Lord Hoffmann specified, at para. 49, that the tort must be actionable by the third party, subject to one exception: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and subject to one qualification, acts against a third party count as unlawful means only if they are actionable by that third party. The qualification is that they will also be unlawful means if the only reason why they are not actionable is because the third party has suffered no loss. In the case of intimidation, for example, the threat will usually give rise to no cause of action by the third party because he will have suffered no loss. If he submits to the threat, then, as the defendant intended, the claimant will have suffered loss instead. It is nevertheless unlawful means. But the threat must be to do something which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have been actionable if the third party had suffered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Finally, he offered this helpful summary definition of the tort at para. 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Unlawful means therefore consists of acts intended to cause loss to the claimant by interfering with the freedom of a third party in a way which is unlawful as against that third party and which is intended to cause loss to the claimant. It does not in my opinion include acts which may be unlawful against a third party but which do not affect his freedom to deal with the claimant.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Lord Nicholls' contrasting view was, as this court described it at para. 103 of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that "unlawful means" encompassed any conduct by the defendant that intentionally harmed the plaintiff and was in violation of an obligation under either civil or criminal law. Lord Nicholls did not consider actionability by the third party as a prerequisite. Although his opinion is less clear on this point, it appears that he also would not require the unlawful means to be directed at the third party, but would be satisfied if it were directed at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my view, this court has now opted for the Lord Hoffmann side of the debate. It did so expressly in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xml:space="preserve">, relying on his statement of the elements of the tort, his definition of the tort, and his rationale for it, namely, to provide otherwise unavailable recovery for harm intentionally inflicted by unlawful means through the instrumentality of a third party. See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xml:space="preserve"> at paras. 99-103.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the unlawful means alleged was the negligent investigation of the plaintiff by the defendant Aston. Although the court found it unnecessary to fully define the scope of "unlawful means", it dismissed the claim in part because the unlawful means were directly actionable by the plaintiff. The court said this at para. 107: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Aston's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directly actionable by the appellant, based on duty of care and foreseeability principles. There is no need to interpose the tort of intentional interference to obtain redress against Aston. The intentional torts exist to fill a gap where no action could otherwise be brought for intentional conduct that caused harm through the instrumentality of a third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Lord Hoffmann's description of the essence of the intentional interference tort was also cited with approval by this court in </w:t>
      </w:r>
      <w:r>
        <w:rPr>
          <w:rFonts w:ascii="arial" w:eastAsia="arial" w:hAnsi="arial" w:cs="arial"/>
          <w:i/>
          <w:color w:val="000000"/>
          <w:sz w:val="20"/>
          <w:lang w:val="en-US" w:eastAsia="en-US" w:bidi="ar-SA"/>
        </w:rPr>
        <w:t>O'Dwyer v. Ontario (Racing Commission)</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(2008), 293 D.L.R. (4th) 559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w:t>
      </w:r>
      <w:r>
        <w:rPr>
          <w:rFonts w:ascii="arial" w:eastAsia="arial" w:hAnsi="arial" w:cs="arial"/>
          <w:color w:val="000000"/>
          <w:sz w:val="20"/>
          <w:u w:val="single"/>
          <w:lang w:val="en-US" w:eastAsia="en-US" w:bidi="ar-SA"/>
        </w:rPr>
        <w:t>In my view, therefore, it is now clear that to qualify as "unlawful means", the defendant's actions (i) cannot be actionable directly by the plaintiff and (ii) must be directed at a third party, which then becomes the vehicle through which harm is caused to the plaintiff.</w:t>
      </w:r>
      <w:r>
        <w:rPr>
          <w:rFonts w:ascii="arial" w:eastAsia="arial" w:hAnsi="arial" w:cs="arial"/>
          <w:color w:val="000000"/>
          <w:sz w:val="20"/>
          <w:lang w:val="en-US" w:eastAsia="en-US" w:bidi="ar-SA"/>
        </w:rPr>
        <w:t xml:space="preserve"> [Emphasis added to this paragraph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Accordingly, in Ontario, it has been decided that interference through "unlawful means" means that the interference must be actionable by the third party, subject to a minor qualification. It should be noted however, that the Court in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has left the door open to a certain extent as to what level of actionability is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Like the court in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I would say that there may be aspects of the concept of "unlawful means" yet to be fully defined. In particular, the extent of actionability by the third party, or whether, as Lord Hoffmann suggests, this requirement is subject to any qualifications, need not be fully defined in this case. The unlawful means relied on by the third party - defamation, conspiracy and breach of contract - are all clearly actionable under private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elements of the tort of interference with economic relations have been considered in British Columbia in a number of cases in the context of considering the sufficiency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Poirier v. Community Futures Development Corporation</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2005 BCCA 169</w:t>
        </w:r>
      </w:hyperlink>
      <w:r>
        <w:rPr>
          <w:rFonts w:ascii="arial" w:eastAsia="arial" w:hAnsi="arial" w:cs="arial"/>
          <w:color w:val="000000"/>
          <w:sz w:val="20"/>
          <w:lang w:val="en-US" w:eastAsia="en-US" w:bidi="ar-SA"/>
        </w:rPr>
        <w:t xml:space="preserve">, the defendant was applying to strike the pleading as disclosing no reasonable claim. The Court followed the earlier English authority of </w:t>
      </w:r>
      <w:r>
        <w:rPr>
          <w:rFonts w:ascii="arial" w:eastAsia="arial" w:hAnsi="arial" w:cs="arial"/>
          <w:i/>
          <w:color w:val="000000"/>
          <w:sz w:val="20"/>
          <w:lang w:val="en-US" w:eastAsia="en-US" w:bidi="ar-SA"/>
        </w:rPr>
        <w:t>Torquay Hotel Co. Ltd. v. Cousins</w:t>
      </w:r>
      <w:r>
        <w:rPr>
          <w:rFonts w:ascii="arial" w:eastAsia="arial" w:hAnsi="arial" w:cs="arial"/>
          <w:color w:val="000000"/>
          <w:sz w:val="20"/>
          <w:lang w:val="en-US" w:eastAsia="en-US" w:bidi="ar-SA"/>
        </w:rPr>
        <w:t>, [1969] 2 Ch.D. 106, which required that the interference be by unlawful means. At para. 14, the Court considered that it was not proper to resolve the issue at that time as to whether or not the matters pled constituted the required "unlawful means". Accordingly, the decision of the chambers judge, who had struck the pleading, at least in part because the alleged facts could not be brought within the confines of the tort, was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Consultants Ltd. v. Microsoft Corp.</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2006 BCSC 1047</w:t>
        </w:r>
      </w:hyperlink>
      <w:r>
        <w:rPr>
          <w:rFonts w:ascii="arial" w:eastAsia="arial" w:hAnsi="arial" w:cs="arial"/>
          <w:color w:val="000000"/>
          <w:sz w:val="20"/>
          <w:lang w:val="en-US" w:eastAsia="en-US" w:bidi="ar-SA"/>
        </w:rPr>
        <w:t xml:space="preserve">, rev'd </w:t>
      </w:r>
      <w:hyperlink r:id="rId966" w:history="1">
        <w:r>
          <w:rPr>
            <w:rFonts w:ascii="arial" w:eastAsia="arial" w:hAnsi="arial" w:cs="arial"/>
            <w:i/>
            <w:color w:val="0077CC"/>
            <w:sz w:val="20"/>
            <w:u w:val="single"/>
            <w:shd w:val="clear" w:color="auto" w:fill="FFFFFF"/>
            <w:lang w:val="en-US" w:eastAsia="en-US" w:bidi="ar-SA"/>
          </w:rPr>
          <w:t>2011 BCCA 186</w:t>
        </w:r>
      </w:hyperlink>
      <w:r>
        <w:rPr>
          <w:rFonts w:ascii="arial" w:eastAsia="arial" w:hAnsi="arial" w:cs="arial"/>
          <w:color w:val="000000"/>
          <w:sz w:val="20"/>
          <w:lang w:val="en-US" w:eastAsia="en-US" w:bidi="ar-SA"/>
        </w:rPr>
        <w:t xml:space="preserve">, leave to appeal to SCC granted, </w:t>
      </w:r>
      <w:hyperlink r:id="rId967" w:history="1">
        <w:r>
          <w:rPr>
            <w:rFonts w:ascii="arial" w:eastAsia="arial" w:hAnsi="arial" w:cs="arial"/>
            <w:i/>
            <w:color w:val="0077CC"/>
            <w:sz w:val="20"/>
            <w:u w:val="single"/>
            <w:shd w:val="clear" w:color="auto" w:fill="FFFFFF"/>
            <w:lang w:val="en-US" w:eastAsia="en-US" w:bidi="ar-SA"/>
          </w:rPr>
          <w:t>[2011] S.C.C.A. No. 396</w:t>
        </w:r>
      </w:hyperlink>
      <w:r>
        <w:rPr>
          <w:rFonts w:ascii="arial" w:eastAsia="arial" w:hAnsi="arial" w:cs="arial"/>
          <w:color w:val="000000"/>
          <w:sz w:val="20"/>
          <w:lang w:val="en-US" w:eastAsia="en-US" w:bidi="ar-SA"/>
        </w:rPr>
        <w:t xml:space="preserve">, Mr. Justice Tysoe (as he then was in this Court), was considering an application to strike out pleadings in a class action lawsuit. Following </w:t>
      </w:r>
      <w:r>
        <w:rPr>
          <w:rFonts w:ascii="arial" w:eastAsia="arial" w:hAnsi="arial" w:cs="arial"/>
          <w:i/>
          <w:color w:val="000000"/>
          <w:sz w:val="20"/>
          <w:lang w:val="en-US" w:eastAsia="en-US" w:bidi="ar-SA"/>
        </w:rPr>
        <w:t>Torquay Hotel</w:t>
      </w:r>
      <w:r>
        <w:rPr>
          <w:rFonts w:ascii="arial" w:eastAsia="arial" w:hAnsi="arial" w:cs="arial"/>
          <w:color w:val="000000"/>
          <w:sz w:val="20"/>
          <w:lang w:val="en-US" w:eastAsia="en-US" w:bidi="ar-SA"/>
        </w:rPr>
        <w:t xml:space="preserve"> as to the elements of the tort, Tysoe J. identified that the alleged unlawful interference arose on three bases: namely, illegality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unlawfulness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and unlawfulness because of restraint of trade at common law: paras. 21-23. After an extensive analysis of the pleadings in that case, the Court found that the pleadings should be struck in respect of only one of the alleged "unlawful means" (unlawfulness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since it was "plain and obvious" that there was no basis upon which the conduct could constitute illegal or unlawful means: see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majority of the Court of Appeal in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allowed the appeal and dismissed the action by reason of a change in the law arising from the Supreme Court of Canada's decision in </w:t>
      </w:r>
      <w:r>
        <w:rPr>
          <w:rFonts w:ascii="arial" w:eastAsia="arial" w:hAnsi="arial" w:cs="arial"/>
          <w:i/>
          <w:color w:val="000000"/>
          <w:sz w:val="20"/>
          <w:lang w:val="en-US" w:eastAsia="en-US" w:bidi="ar-SA"/>
        </w:rPr>
        <w:t>Kingstreet Investments Ltd. v. New Brunswick (Finance)</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2007 SCC 1</w:t>
        </w:r>
      </w:hyperlink>
      <w:r>
        <w:rPr>
          <w:rFonts w:ascii="arial" w:eastAsia="arial" w:hAnsi="arial" w:cs="arial"/>
          <w:color w:val="000000"/>
          <w:sz w:val="20"/>
          <w:lang w:val="en-US" w:eastAsia="en-US" w:bidi="ar-SA"/>
        </w:rPr>
        <w:t xml:space="preserve">. The majority did not specifically address the necessary elements relating to the tort. However, in his dissenting reasons, Mr. Justice Donald would have upheld Tysoe J.'s refusal to strike the allegation that the restraint of trade could provide the necessary "unlawful means' to establish the tort: paras. 31-39. Following </w:t>
      </w:r>
      <w:r>
        <w:rPr>
          <w:rFonts w:ascii="arial" w:eastAsia="arial" w:hAnsi="arial" w:cs="arial"/>
          <w:i/>
          <w:color w:val="000000"/>
          <w:sz w:val="20"/>
          <w:lang w:val="en-US" w:eastAsia="en-US" w:bidi="ar-SA"/>
        </w:rPr>
        <w:t>Poirier</w:t>
      </w:r>
      <w:r>
        <w:rPr>
          <w:rFonts w:ascii="arial" w:eastAsia="arial" w:hAnsi="arial" w:cs="arial"/>
          <w:color w:val="000000"/>
          <w:sz w:val="20"/>
          <w:lang w:val="en-US" w:eastAsia="en-US" w:bidi="ar-SA"/>
        </w:rPr>
        <w:t>, Donald J.A. would have refused to strike the claim simply because it may be novel or may seek to extend the limits as to what "unlawful means" includes. The Court also confirmed the essential elements of the tort, being an intention to injure the plaintiff's economic interest, interference in those interests by illegal or unlawful means, and economic harm: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Unfortunately, the Court of Appeal did not comment on the decisions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Correira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Finally, the recent decision of this Court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addressed certain elements of the tort. That decision involved the certification of a class proceeding arising from the sale of cough and cold syrup manufactured or supplied by the defendants. In that case, there were allegations that the defendants had engaged in numerous deceptive acts or practices in the supply, solicitation, offer, advertisement and promotion of the cough medicine which were said to be in breach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The unlawful acts were said to be the representations and omissions under both of these statutes. Citing </w:t>
      </w:r>
      <w:r>
        <w:rPr>
          <w:rFonts w:ascii="arial" w:eastAsia="arial" w:hAnsi="arial" w:cs="arial"/>
          <w:i/>
          <w:color w:val="000000"/>
          <w:sz w:val="20"/>
          <w:lang w:val="en-US" w:eastAsia="en-US" w:bidi="ar-SA"/>
        </w:rPr>
        <w:t>Poirier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Mr. Justice Grauer concluded that a requisite element of the tort (that there be an economic relationship between the plaintiff and a third party) was neither alleged nor discernible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The defendants submit that this claim, as pleaded, cannot succeed, because essential elements of the tort are missing.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The tort of unlawful interference consists of deliberately interfering with the trade, business or economic interests of another by unlawful means: </w:t>
      </w:r>
      <w:r>
        <w:rPr>
          <w:rFonts w:ascii="arial" w:eastAsia="arial" w:hAnsi="arial" w:cs="arial"/>
          <w:i/>
          <w:color w:val="000000"/>
          <w:sz w:val="20"/>
          <w:lang w:val="en-US" w:eastAsia="en-US" w:bidi="ar-SA"/>
        </w:rPr>
        <w:t>Poirier v. Community Futures Development Corp.,</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2005 BCCA 169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OBG Ltd. v. Allan</w:t>
      </w:r>
      <w:r>
        <w:rPr>
          <w:rFonts w:ascii="arial" w:eastAsia="arial" w:hAnsi="arial" w:cs="arial"/>
          <w:color w:val="000000"/>
          <w:sz w:val="20"/>
          <w:lang w:val="en-US" w:eastAsia="en-US" w:bidi="ar-SA"/>
        </w:rPr>
        <w:t>, [2007] UKHL 21, [2008] 1 A.C.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Of relevance here, the "economic relations" in question must consist of trade or business relations between the plaintiff and a third party, with which the defendant deliberately interferes by unlawful means. Merely causing economic loss by unlawful means is not enough: </w:t>
      </w:r>
      <w:r>
        <w:rPr>
          <w:rFonts w:ascii="arial" w:eastAsia="arial" w:hAnsi="arial" w:cs="arial"/>
          <w:i/>
          <w:color w:val="000000"/>
          <w:sz w:val="20"/>
          <w:lang w:val="en-US" w:eastAsia="en-US" w:bidi="ar-SA"/>
        </w:rPr>
        <w:t>Alleslev-Krofchak v. Valcom Ltd.</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2010 ONCA 557</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322 D.L.R. (4th) 193</w:t>
        </w:r>
      </w:hyperlink>
      <w:r>
        <w:rPr>
          <w:rFonts w:ascii="arial" w:eastAsia="arial" w:hAnsi="arial" w:cs="arial"/>
          <w:color w:val="000000"/>
          <w:sz w:val="20"/>
          <w:lang w:val="en-US" w:eastAsia="en-US" w:bidi="ar-SA"/>
        </w:rPr>
        <w:t>. No allegation of such relations is discernible in the amended statement of claim, nor is it one that could sensibly be made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[106] The plaintiff argues that this tort is evolving, and to the extent that a novel argument may be made at trial, the question of whether it can succeed should be determined on the basis of a full factual record. That position would have merit if the issue here concerned such questions as whether the conduct alleged could properly be described as unlawful. But that is not the issue. We are here concerned with a fundamental element of the tort that is nowhere to be found in the amended statement of claim, and could not be supported by any of the material facts alleged.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In the circumstances, I conclude that this claim is bound to fail and that paragraphs 32 and 33 of the amended statement of claim should accordingly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not in the context of determining the sufficiency of pleadings, other decisions of this Court have considered the above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Reid v. British Columbia (Egg Marketing Board)</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2007 BCSC 155</w:t>
        </w:r>
      </w:hyperlink>
      <w:r>
        <w:rPr>
          <w:rFonts w:ascii="arial" w:eastAsia="arial" w:hAnsi="arial" w:cs="arial"/>
          <w:color w:val="000000"/>
          <w:sz w:val="20"/>
          <w:lang w:val="en-US" w:eastAsia="en-US" w:bidi="ar-SA"/>
        </w:rPr>
        <w:t xml:space="preserve">, the Court adopted the elements of the tort as set out in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and also adopted a broad view of what was meant by "unlawful means", following </w:t>
      </w:r>
      <w:r>
        <w:rPr>
          <w:rFonts w:ascii="arial" w:eastAsia="arial" w:hAnsi="arial" w:cs="arial"/>
          <w:i/>
          <w:color w:val="000000"/>
          <w:sz w:val="20"/>
          <w:lang w:val="en-US" w:eastAsia="en-US" w:bidi="ar-SA"/>
        </w:rPr>
        <w:t xml:space="preserve">Torquay Hotel: </w:t>
      </w:r>
      <w:r>
        <w:rPr>
          <w:rFonts w:ascii="arial" w:eastAsia="arial" w:hAnsi="arial" w:cs="arial"/>
          <w:color w:val="000000"/>
          <w:sz w:val="20"/>
          <w:lang w:val="en-US" w:eastAsia="en-US" w:bidi="ar-SA"/>
        </w:rPr>
        <w:t xml:space="preserve"> paras. 149-154. With respect to many of the allegations, the Court did not find that the conduct was "wrongful": para. 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Westcoast Landfill v. CVRD</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2009 BCSC 53</w:t>
        </w:r>
      </w:hyperlink>
      <w:r>
        <w:rPr>
          <w:rFonts w:ascii="arial" w:eastAsia="arial" w:hAnsi="arial" w:cs="arial"/>
          <w:color w:val="000000"/>
          <w:sz w:val="20"/>
          <w:lang w:val="en-US" w:eastAsia="en-US" w:bidi="ar-SA"/>
        </w:rPr>
        <w:t xml:space="preserve">, the Court considered the recent decisions of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The Court noted the conflicting views as to what constituted "unlawful means" and referred to the Court's decision in </w:t>
      </w:r>
      <w:r>
        <w:rPr>
          <w:rFonts w:ascii="arial" w:eastAsia="arial" w:hAnsi="arial" w:cs="arial"/>
          <w:i/>
          <w:color w:val="000000"/>
          <w:sz w:val="20"/>
          <w:lang w:val="en-US" w:eastAsia="en-US" w:bidi="ar-SA"/>
        </w:rPr>
        <w:t>Reid</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Westcoast Landfill</w:t>
      </w:r>
      <w:r>
        <w:rPr>
          <w:rFonts w:ascii="arial" w:eastAsia="arial" w:hAnsi="arial" w:cs="arial"/>
          <w:color w:val="000000"/>
          <w:sz w:val="20"/>
          <w:lang w:val="en-US" w:eastAsia="en-US" w:bidi="ar-SA"/>
        </w:rPr>
        <w:t xml:space="preserve"> predated the decision of the Ontario Court of Appeal in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adopting reasoning of the majority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to the effect that actionability was a requirement in respect of "unlawful means". The Court found that the proof of "unlawful means" had not been made out in that case, whether considered on the broad or narrow interpretation of that phrase: para. 483.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apparent from a review of the above authorities that in British Columbia, it remains an essential element of the tort that the plaintiff show that the interference with the economic interest of the plaintiff was by "unlawful means". The plaintiff must allege and set out material facts as to the unlawful means in its pleadings as a necessary element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addition,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at para. 60, makes clear that the actions of the defendant which are said to be the "unlawful means" cannot be directly actionable by the plaintiff and must be directed at a third party, which then becomes the vehicle through which harm is caused to the plaintiff. As was stated by Lord Nicholls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at para. 159, "in these three-party situations, the function of the tort is to provide a remedy where the claimant is harmed through the </w:t>
      </w:r>
      <w:r>
        <w:rPr>
          <w:rFonts w:ascii="arial" w:eastAsia="arial" w:hAnsi="arial" w:cs="arial"/>
          <w:i/>
          <w:color w:val="000000"/>
          <w:sz w:val="20"/>
          <w:lang w:val="en-US" w:eastAsia="en-US" w:bidi="ar-SA"/>
        </w:rPr>
        <w:t>instrumentality</w:t>
      </w:r>
      <w:r>
        <w:rPr>
          <w:rFonts w:ascii="arial" w:eastAsia="arial" w:hAnsi="arial" w:cs="arial"/>
          <w:color w:val="000000"/>
          <w:sz w:val="20"/>
          <w:lang w:val="en-US" w:eastAsia="en-US" w:bidi="ar-SA"/>
        </w:rPr>
        <w:t xml:space="preserve"> of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also continues to be a requirement that the alleged interference through unlawful means results in consequential loss to the plaintiff or in other words, that there be a causal connection between the unlawful means and the loss suffered by the plaintiff: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Again, it must be emphasized that, as the Supreme Court of Canada did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the "plain and obvious test" should be applied with the caution that it is not the role of the Court at the pleadings stage to foreclose any new or novel arguments about whether or not conduct constitutes such "unlawful means": see 979-980. See also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21 above; </w:t>
      </w:r>
      <w:r>
        <w:rPr>
          <w:rFonts w:ascii="arial" w:eastAsia="arial" w:hAnsi="arial" w:cs="arial"/>
          <w:i/>
          <w:color w:val="000000"/>
          <w:sz w:val="20"/>
          <w:lang w:val="en-US" w:eastAsia="en-US" w:bidi="ar-SA"/>
        </w:rPr>
        <w:t>Poirier</w:t>
      </w:r>
      <w:r>
        <w:rPr>
          <w:rFonts w:ascii="arial" w:eastAsia="arial" w:hAnsi="arial" w:cs="arial"/>
          <w:color w:val="000000"/>
          <w:sz w:val="20"/>
          <w:lang w:val="en-US" w:eastAsia="en-US" w:bidi="ar-SA"/>
        </w:rPr>
        <w:t xml:space="preserve"> at para. 14; and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(BCSC) at paras. 50-53, (BCCA)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TimberWest asserts that the Master erred in two respects: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failed to identify any "unlawful means" in the pleading which would support the tort of interference with economic relations;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failed to identify any requisite causal link between the interference and the damages which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will address each of these matters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Unlawful Means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previously stated, the essence of this claim is that TimberWest breached the various contracts with Munns. In fact, that is the first claim advanced by the plaintiff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that regard, the Master correctly identified that if the breach of contract claim is proved, then damages could be awarded directly against TimberWest. She also correctly identified that such a breach would not support a claim under the tort of economic interference since damages would be directly actionable by Munns in that circumstance: see original reasons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does not appear to be any disagreement that the third party relationship in question was that between Munns and the union who were parties to the collective agreement. But, the pleadings are not clear that the plaintiff is alleging that TimberWest unlawfully caused a breach of that business relationship. In fact, a close reading of paras. 40-43 and in particular, para. 41 of Part 1: Statement of Facts of the amended notice of civil claim indicates that the alleged interference was the termination of the contracts between TimberWest and Munns. This is further confirmed by the provisions of Part 3: Legal Basis in paragraph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is also evident by the statements in the pleadings which do not allege any unlawful termination of or dealings in relation to the collective agreement - but rather, simply that the termination of the contracts allowed TimberWest to step into the shoes of Munns as the employer and exercise rights under the collective agreement, presumably in accordance with the terms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Master expressly stated in her supplemental reasons at para. 10 that "[t]he allegation in fact is that the defendants forced Munns to sever its relationship with the union by forcing it out of business, as opposed to forcing the union to sever its relationship with Munns".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Master expressly rejected the submissions of TimberWest that there had been a failure to plead that the interference came about by unlawful means. At para. 17 of her supplemental reasons, she stated "[t]he plaintiff alleges that the defendant intentionally bargained in bad faith with Munns, with the knowledge that it would harm Munns. That sounds like an allegation of unlawfulness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relies on that statement. It says that this allegation is consistent with the opinion of Lord Nicholls in that the "unlawful means" concept "stretches far and wide" and would cover "common law torts, statutory torts, crimes, breaches of contract, breaches of trust and equitable obligations, breaches of confidence, and so on":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at paras. 149, 150. This is in contrast to the opinion of Lord Hoffmann which required that the unlawful actions be actionable, with one exception, at the instance of that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During argument, the plaintiff then submitted that the wrongful acts were directed at the union because the later negotiations and actions of TimberWest under the collective agreement were not done in good faith under labour relations legislation and were therefore the "unlawful means" required in the circumstances. Accordingly, the plaintiff says that the allegations go well beyond the breach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such, the plaintiff submits that given that this is a developing area of the law, the Court should be cautious in rejecting any such claim in light of the Supreme Court of Canada authorities cited above. It is apparent that the only British Columbia authorities to consider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are that of </w:t>
      </w:r>
      <w:r>
        <w:rPr>
          <w:rFonts w:ascii="arial" w:eastAsia="arial" w:hAnsi="arial" w:cs="arial"/>
          <w:i/>
          <w:color w:val="000000"/>
          <w:sz w:val="20"/>
          <w:lang w:val="en-US" w:eastAsia="en-US" w:bidi="ar-SA"/>
        </w:rPr>
        <w:t>Westcoast Landfill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however, neither of those decisions addressed the issue as to whether or not to follow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on the "unlawful means" test. In addition, there has not yet been any consideration by our Courts of the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decision as it relates to the Ontario Court of Appeal following the majority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on the "unlawful means" issue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relies on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on another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Unfortunately, these new submissions by the plaintiff to the effect that the "unlawful means" were directed to the union are not reflected in the amended pleading which was filed in accordance with the order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any event, while the debate may continue as to which view of "unlawful means" is the appropriate one -- the majority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/Ontario versus the minority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 the tort still requires that some actions be taken against </w:t>
      </w:r>
      <w:r>
        <w:rPr>
          <w:rFonts w:ascii="arial" w:eastAsia="arial" w:hAnsi="arial" w:cs="arial"/>
          <w:i/>
          <w:color w:val="000000"/>
          <w:sz w:val="20"/>
          <w:lang w:val="en-US" w:eastAsia="en-US" w:bidi="ar-SA"/>
        </w:rPr>
        <w:t>a third party</w:t>
      </w:r>
      <w:r>
        <w:rPr>
          <w:rFonts w:ascii="arial" w:eastAsia="arial" w:hAnsi="arial" w:cs="arial"/>
          <w:color w:val="000000"/>
          <w:sz w:val="20"/>
          <w:lang w:val="en-US" w:eastAsia="en-US" w:bidi="ar-SA"/>
        </w:rPr>
        <w:t xml:space="preserve"> with the intention to interfere with the economic relationship between that third party and the plaintiff. In addition, the Lords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were not divided in holding that there are no "unlawful means" under the tort if the alleged actions are directly actionable by the plaintiff, a requirement that was accepted in </w:t>
      </w:r>
      <w:r>
        <w:rPr>
          <w:rFonts w:ascii="arial" w:eastAsia="arial" w:hAnsi="arial" w:cs="arial"/>
          <w:i/>
          <w:color w:val="000000"/>
          <w:sz w:val="20"/>
          <w:lang w:val="en-US" w:eastAsia="en-US" w:bidi="ar-SA"/>
        </w:rPr>
        <w:t>Westcoast Landfill</w:t>
      </w:r>
      <w:r>
        <w:rPr>
          <w:rFonts w:ascii="arial" w:eastAsia="arial" w:hAnsi="arial" w:cs="arial"/>
          <w:color w:val="000000"/>
          <w:sz w:val="20"/>
          <w:lang w:val="en-US" w:eastAsia="en-US" w:bidi="ar-SA"/>
        </w:rPr>
        <w:t>, paras. 386-387.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supplemental reasons of the Master make clear that the focus of the plaintiff's argument was to the effect that the unlawful actions arose between TimberWest and Munns, not TimberWest and the union,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therefore agree with TimberWest that, if the allegations concerning wrongful termination of the contracts is proved, then Munns, and now the plaintiff, has a direct cause of action against TimberWest. As such, the authorities are clear that the tort of interference with economic relations fails in that case: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allegations of interference with economic relations are clearly pled as an alternate claim to the claim against TimberWest in relation to the breach of the contracts. The Master was well aware of that, as stated in her supplemental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 do recognize the damages suffered by Munns are essentially the same as the breach of contract damages, but the cause of the damage is different. If the breach of contract claim succeeds, Munns' damages are loss of revenue from these contracts, loss of future opportunity and the loss of the business as a going concern. The economic interference is being pleaded as an alternative claim. In the event that the plaintiff cannot establish its breach of contract claim it intends to seek the same or similar damages from the tort claim. In that respect the tort claim is being pleaded to address wrongs that might not otherwise be actionable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decision on the contract claim then clearly affects the ability to proceed with 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the contract claim succeeds, then there is a direct cause of action against TimberWest and no further claim based on the tort can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If the contract claim does not succeed and the contracts were validly terminated by TimberWest, then there are no further actions of TimberWest which would found any "unlawful means" since TimberWest would have been acting in relation to the union under the collective agreement in the ordinary course and in accordance with its terms. If, however, TimberWest was acting other than in good faith in relation to the union and the collective agreement, as more recently alleged, then presumably the union would have a direct cause of action in that respect -- but that does not mean that this could stand as an "unlawful means" by which TimberWest intended to and caused damage to Munns (even on the expanded view of that term per Lord Nicholls). This is because Munns was already at that time bankrupt and out of business. In other words, no harm, or perhaps no further harm, could have flowed by this later breach in respect of the collective agreement. In any event, as discussed below, the plaintiff's only allegation in the pleading is that it suffered harm by reason of the breach of the contracts between Munns and TimberWest.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the above reasons, I agree with the submissions of TimberWest that the proposed pleading does not disclose any "unlawful means" upon which the tort of interference with economic relations might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Damages Flowing from the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Master, in her supplemental reasons, addressed the issue as to whether the alleged interference in this case resulted in any loss to Munns: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 The subdivision plan could not come into effect while Munns was still in business. I do not find that it is essential at this stage of pleadings to establish that a loss to the union caused damage to Munns because chronologically this is impossible.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Whether there is a direct link between the tort and the damage, flowing from the interference, is a triable issue. I cannot determine whether the plaintiff can prove there is a direct link, but I do find it is an acceptable pleading that the plaintiff should be given an opportunity to try its case. I am applying a generous approach to this question of amendment of pleadings. I do not find this pleading to be frivolous.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 am satisfied that the loss or damages described paragraph 22 of Part 3 of the proposed amended statement of claim are sufficient to satisfy the sixth element of the tort as set out by Justice Cummings. Paragraph 22 says: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economic interference resulted in Munns suffering loss and damage including as follows: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Lost opportunity afforded by the rights and benefits of and incidental to the collective agreement extending in 2007, for 5 years, the 2003-2007 Coast Master Agreement, including to complete the 5-year terms of the Cowichan Contract B, the Honeymoon Bay Contract B and the Sooke contract and to extend each of those contracts for a further term or terms or acquire other logging contracts; and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its business as a going concern; and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its insolvency including H.S.B.C. incurred fees and expenses and the fees and expenses incidental to its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allegations of loss again arise from the contention that the unlawful termination of the contracts was then </w:t>
      </w:r>
      <w:r>
        <w:rPr>
          <w:rFonts w:ascii="arial" w:eastAsia="arial" w:hAnsi="arial" w:cs="arial"/>
          <w:i/>
          <w:color w:val="000000"/>
          <w:sz w:val="20"/>
          <w:lang w:val="en-US" w:eastAsia="en-US" w:bidi="ar-SA"/>
        </w:rPr>
        <w:t>followed</w:t>
      </w:r>
      <w:r>
        <w:rPr>
          <w:rFonts w:ascii="arial" w:eastAsia="arial" w:hAnsi="arial" w:cs="arial"/>
          <w:color w:val="000000"/>
          <w:sz w:val="20"/>
          <w:lang w:val="en-US" w:eastAsia="en-US" w:bidi="ar-SA"/>
        </w:rPr>
        <w:t xml:space="preserve"> by TimberWest later exercising its rights under the collective agreement to implement the "Subdivision Plan". This is somewhat the same point referred to in relation to the "unlawful means" analysis in that, assuming the facts to be true, the later unlawful exercise of these rights under the collective agreement was not the </w:t>
      </w:r>
      <w:r>
        <w:rPr>
          <w:rFonts w:ascii="arial" w:eastAsia="arial" w:hAnsi="arial" w:cs="arial"/>
          <w:i/>
          <w:color w:val="000000"/>
          <w:sz w:val="20"/>
          <w:lang w:val="en-US" w:eastAsia="en-US" w:bidi="ar-SA"/>
        </w:rPr>
        <w:t>means</w:t>
      </w:r>
      <w:r>
        <w:rPr>
          <w:rFonts w:ascii="arial" w:eastAsia="arial" w:hAnsi="arial" w:cs="arial"/>
          <w:color w:val="000000"/>
          <w:sz w:val="20"/>
          <w:lang w:val="en-US" w:eastAsia="en-US" w:bidi="ar-SA"/>
        </w:rPr>
        <w:t xml:space="preserve"> by which TimberWest acted unlawfully, but was rather the </w:t>
      </w:r>
      <w:r>
        <w:rPr>
          <w:rFonts w:ascii="arial" w:eastAsia="arial" w:hAnsi="arial" w:cs="arial"/>
          <w:i/>
          <w:color w:val="000000"/>
          <w:sz w:val="20"/>
          <w:lang w:val="en-US" w:eastAsia="en-US" w:bidi="ar-SA"/>
        </w:rPr>
        <w:t>consequence</w:t>
      </w:r>
      <w:r>
        <w:rPr>
          <w:rFonts w:ascii="arial" w:eastAsia="arial" w:hAnsi="arial" w:cs="arial"/>
          <w:color w:val="000000"/>
          <w:sz w:val="20"/>
          <w:lang w:val="en-US" w:eastAsia="en-US" w:bidi="ar-SA"/>
        </w:rPr>
        <w:t xml:space="preserve"> of the alleged unlawful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that case, the loss and damage alleged by the plaintiff is said to arise by reason of the breach of the contracts and not the exercise of rights under the collective agreement. This is evident by reason of paragraph 22(b) and (c) of Part 3: Legal Basis, which refers to the loss of the business as a going concern and costs of the insolvency. The reference to losses under the collective agreement in paragraph 22(a) of Part 3: Legal Basis of the proposed amended notice of civil claim can only arise indirectly as a function of determining the employment costs that would have been incurred by Munns in its operations as it related to a calculation of profits lost as a result of the breach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was stated by Lord Hoffmann in </w:t>
      </w:r>
      <w:r>
        <w:rPr>
          <w:rFonts w:ascii="arial" w:eastAsia="arial" w:hAnsi="arial" w:cs="arial"/>
          <w:i/>
          <w:color w:val="000000"/>
          <w:sz w:val="20"/>
          <w:lang w:val="en-US" w:eastAsia="en-US" w:bidi="ar-SA"/>
        </w:rPr>
        <w:t>OBG</w:t>
      </w:r>
      <w:r>
        <w:rPr>
          <w:rFonts w:ascii="arial" w:eastAsia="arial" w:hAnsi="arial" w:cs="arial"/>
          <w:color w:val="000000"/>
          <w:sz w:val="20"/>
          <w:lang w:val="en-US" w:eastAsia="en-US" w:bidi="ar-SA"/>
        </w:rPr>
        <w:t xml:space="preserve"> at para. 62, "it is necessary to distinguish between ends, means and consequences". While he made that statement in relation to considering the issue of intention to cause harm, it applies equally here in relation to how this claim has been framed. Accepting that the </w:t>
      </w:r>
      <w:r>
        <w:rPr>
          <w:rFonts w:ascii="arial" w:eastAsia="arial" w:hAnsi="arial" w:cs="arial"/>
          <w:i/>
          <w:color w:val="000000"/>
          <w:sz w:val="20"/>
          <w:lang w:val="en-US" w:eastAsia="en-US" w:bidi="ar-SA"/>
        </w:rPr>
        <w:t>ends</w:t>
      </w:r>
      <w:r>
        <w:rPr>
          <w:rFonts w:ascii="arial" w:eastAsia="arial" w:hAnsi="arial" w:cs="arial"/>
          <w:color w:val="000000"/>
          <w:sz w:val="20"/>
          <w:lang w:val="en-US" w:eastAsia="en-US" w:bidi="ar-SA"/>
        </w:rPr>
        <w:t xml:space="preserve"> of TimberWest were to achieve cost savings in its operations through the Subdivision Plan, the actions of TimberWest that are said to have been unlawful (the termination of the contracts) were the </w:t>
      </w:r>
      <w:r>
        <w:rPr>
          <w:rFonts w:ascii="arial" w:eastAsia="arial" w:hAnsi="arial" w:cs="arial"/>
          <w:i/>
          <w:color w:val="000000"/>
          <w:sz w:val="20"/>
          <w:lang w:val="en-US" w:eastAsia="en-US" w:bidi="ar-SA"/>
        </w:rPr>
        <w:t>means</w:t>
      </w:r>
      <w:r>
        <w:rPr>
          <w:rFonts w:ascii="arial" w:eastAsia="arial" w:hAnsi="arial" w:cs="arial"/>
          <w:color w:val="000000"/>
          <w:sz w:val="20"/>
          <w:lang w:val="en-US" w:eastAsia="en-US" w:bidi="ar-SA"/>
        </w:rPr>
        <w:t xml:space="preserve"> of accomplishing those ends. The </w:t>
      </w:r>
      <w:r>
        <w:rPr>
          <w:rFonts w:ascii="arial" w:eastAsia="arial" w:hAnsi="arial" w:cs="arial"/>
          <w:i/>
          <w:color w:val="000000"/>
          <w:sz w:val="20"/>
          <w:lang w:val="en-US" w:eastAsia="en-US" w:bidi="ar-SA"/>
        </w:rPr>
        <w:t>consequences</w:t>
      </w:r>
      <w:r>
        <w:rPr>
          <w:rFonts w:ascii="arial" w:eastAsia="arial" w:hAnsi="arial" w:cs="arial"/>
          <w:color w:val="000000"/>
          <w:sz w:val="20"/>
          <w:lang w:val="en-US" w:eastAsia="en-US" w:bidi="ar-SA"/>
        </w:rPr>
        <w:t xml:space="preserve"> of those actions were that TimberWest, whether lawfully or not, was able to exercise rights under the collective agreement in relation to the union in its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Master was unable to discern that there was any direct link between the actions of TimberWest in relation to the union and the collective agreement and the alleged damage, and she correctly identified this as chronologically being "impossible": supplemental reasons, para. 13. Yet she held that the plaintiff should be given an opportunity to prove as much at trial: supplemental reasons at para. 14. With respect, this was not a proper application of the correct test in considering the sufficiency of pleadings: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such, I see no basis in the pleadings, assuming all the facts to be true, that there is any reasonable claim that TimberWest could be liable for tortious damages arising from the actions it took in relation to the union well after Munns was bankrupt and the losses alleged were suffered. Put another way, there is no allegation that the union was the </w:t>
      </w:r>
      <w:r>
        <w:rPr>
          <w:rFonts w:ascii="arial" w:eastAsia="arial" w:hAnsi="arial" w:cs="arial"/>
          <w:i/>
          <w:color w:val="000000"/>
          <w:sz w:val="20"/>
          <w:lang w:val="en-US" w:eastAsia="en-US" w:bidi="ar-SA"/>
        </w:rPr>
        <w:t>instrumentality</w:t>
      </w:r>
      <w:r>
        <w:rPr>
          <w:rFonts w:ascii="arial" w:eastAsia="arial" w:hAnsi="arial" w:cs="arial"/>
          <w:color w:val="000000"/>
          <w:sz w:val="20"/>
          <w:lang w:val="en-US" w:eastAsia="en-US" w:bidi="ar-SA"/>
        </w:rPr>
        <w:t xml:space="preserve"> by which TimberWest intended to and did cause damage to Munns.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concluded that the Master was in error in allowing the amendments which are reproduced and attached to these reasons. For the reasons set out above, the appeal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Costs are awarded to TimberWest on this application and in respect of the proceedings before the Master on Scale B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Subdivision</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devised a strategy to implement cost savings through subdivision of the existing logging operations (the "Subdivision Plan").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consent of the unionized labour force, Local I-80, was required for TimberWest to implement the Subdivision Plan.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realize the Subdivision Plan through the corresponding realization of the reversion of Munns' employees, TimberWest deliberately and intentionally set out to bankrupt Munns by directing a return to logging rates well below market rates so that it could revert to the role of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Interference with Economic Relations -- Cause of Action in Tort</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devised a plan by which it sought to bring about, by unlawful means, implementation of the Subdivision Plan. This plan, which it carried into effect, was to interfere with the collective agreement between Munns and its employees under the Coast Master Agreement by unlawfully obtaining its reversion rights (referenced in paragraph 7 hereof) by terminating Munns' Cowichan Woodlands, Honeymoon Bay and Sooke contracts, thereby depriving Munns of the security of contract tenure afforded by the collective agreement coupled with the unionized employees' opposition to further subdivision, and securing for itself, in place of Munns, the employer rights and benefits under the collective agreement including bargaining rights.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interference with economic relations was the termination of these contracts, whether contractually lawful or not, in order to automatically and instantly to give rise to the reversion from Munns to TimberWest by operation of law of the status as employer, including bargaining rights and the attendant advantages and benefits, under the governing collective agreement and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interference was deliberate and intentional with the knowledge that, in addition to depriving Munns of the remaining contract terms, it would deprive Munns of the benefits conferred upon Munns as employer under the (renewed) collective agreement, including the enhanced opportunity for contract renewals at similar volumes and economies of scale. The interference by TimberWest was calculated to usurp for itself the ability to bargain with the union representing Munns' workforce and compel the unionized workforce, through attrition, to submit to the implementation of the Subdivision Plan to TimberWest's financial advantage.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knew, and it was foreseeable that, its interference would bankrupt Munns and it was an essential element of its interference that this be so in order to justify the termination of the Sooke Contract in order to obtain the contractual right of termination and the consequent reversion rights for that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Successorship</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Munns' termination, its employees reverted to TimberWest. TimberWest refused to accede to the collective agreement negotiated in October 2007.</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14, 2008 Arbitrator David McPhillips decided the employees reverted back to TimberWest under the provisions of the applicable collective agreement, but that nothing therein obligated TimberWest to resume logging operations.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upon terminating Munns' contracts, suspended work in order to keep Union employees out of work and to create circumstances under which they would consent to the Subdivision Plan.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13, 2008 a settlement agreement was signed between TimberWest and the Union under which, the Union conceded: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was not an operator such that the Full Successorship Obligations did not apply;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was permitted to implement its Subdivision Plan.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March 17, 2010 TimberWest was successful in subdividing its logging operations in the southern Vancouver Island Coastal Forest Industry including the operations which had been contracted to Munns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RELIEF SOUGHT</w:t>
      </w:r>
      <w:r>
        <w:rPr>
          <w:rFonts w:ascii="arial" w:eastAsia="arial" w:hAnsi="arial" w:cs="arial"/>
          <w:sz w:val="20"/>
          <w:lang w:val="en-US" w:eastAsia="en-US" w:bidi="ar-SA"/>
        </w:rPr>
        <w:cr/>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against TimberWest as follows: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damages for economic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Tort of Economic Interference</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TimberWest's implementation of the Subdivision Plan is actionable in tort as TimberWest deliberately and intentionally interfered with Munns' economic relations. The Subdivision Plan was implemented by TimberWest in order to obtain the bargaining position which had devolved upon Munns when work was contracted out to Munns in 2004.</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relations interfered with by TimberWest's implementation of the Subdivision Plan were the contractual rights and attendant tenure of operations Munns held and enjoyed by virtue of the collective agreement and the opposition of its employees to fragmentation of collective bargaining units which would result from further subdivision. TimberWest interfered with these contractual rights and benefits with the aim of obtaining the rights and benefits of Munns' contractual position for itself.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affected by the deliberate termination of both Cowichan Contract B and Honeymoon Bay Contract B which was intended to, and did, bankrupt Munns with the further intended termination of the Sooke contract based on the insolvency of Munns which TimberWest had precipitated unlawfully and deliberately.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economic interference resulted in Munns suffering loss and damage including as follows:</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Lost opportunity afforded by the rights and benefits of and incidental to the collective agreement extending in 2007, for 5 years, the 2003-2007 Coast Master Agreement, including to complete the 5 year terms of the Cowichan Contract B, the Honeymoon Bay Contract B and the Sooke contract and to extend each of those contracts for a further term or terms or acquire other logging contracts;</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its business as a going concern; and</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its insolvency including H.S.B.C. incurred fees and expenses and the fees and expenses incidental to its bankruptcy.</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Anderson v. Boulton, [2015] B.C.J. No. 819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G.J. Fitch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and April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S138884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674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Spencer Wayne Anderson, Plaintiff, and Christopher R. Boulton and Kane, Shannon and Weiler,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0" w:name="Keywords_37"/>
      <w:bookmarkEnd w:id="330"/>
      <w:r>
        <w:rPr>
          <w:rFonts w:ascii="arial" w:eastAsia="arial" w:hAnsi="arial" w:cs="arial"/>
          <w:b/>
          <w:color w:val="000000"/>
          <w:sz w:val="20"/>
          <w:lang w:val="en-US" w:eastAsia="en-US" w:bidi="ar-SA"/>
        </w:rPr>
        <w:t>Legal profession — Barristers and solicitors — Liability — Misappropriation of funds — Action for repayment of trust funds dismissed — Plaintiff agreed to purchase two lots and he was supposed to advance $120,000 payable to law firm to be held in trust — He provided trust funds to law firm but did not inform them that he was source of funds — Plaintiff authorized vendors to instruct law firm about funds on his behalf — Law firm did not breach trust when it disbursed funds because vendors instructed it to do so — Plaintiff was not ascertainable beneficiary of trust — Trust was not breached as it never came into existence.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Financial regulation and reporting — Trust monies — Application of trust funds — Misuse of client funds — Misappropriation — Professions — Legal — Barristers and solicitors — Action for repayment of trust funds dismissed — Plaintiff agreed to purchase two lots and he was supposed to advance $120,000 payable to law firm to be held in trust — He provided trust funds to law firm but did not inform them that he was source of funds — Plaintiff authorized vendors to instruct law firm about funds on his behalf — Law firm did not breach trust when it disbursed funds because vendors instructed it to do so — Plaintiff was not ascertainable beneficiary of trust — Trust was not breached as it never came into existence.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Trusts — Express trusts — Elements — Trust for the benefit of persons, beneficiary principle — Requirements — Certainty of purpose, object, or beneficiary — Action for repayment of trust funds dismissed — Plaintiff agreed to purchase two lots and he was supposed to advance $120,000 payable to law firm to be held in trust — He provided trust funds to law firm but did not inform them that he was source of funds — Plaintiff authorized vendors to instruct law firm about funds on his behalf — Law firm did not breach trust when it disbursed funds because vendors instructed it to do so — Plaintiff was not ascertainable beneficiary of trust — Trust was not breached as it never came into existence.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1" w:name="Case Summary_36"/>
            <w:bookmarkEnd w:id="3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Anderson for the repayment of trust funds. Anderson sent a cheque for $120,000 to the defendant law firm Kane, Shannon &amp; Weiler (KSW) in trust. The defendant Boulton was a lawyer with KSW. Anderson learned about an investment opportunity in a development through two individuals named Redick and Milne. Anderson entered into an agreement with Redick and Milne, to purchase two of the 15 lots held by them. Anderson was supposed to advance $120,000 to KSW to be held on trust. The agreement contemplated that Anderson would personally deliver the funds by attending at the offices of KSW with Redick and Milne. This did not happen and Anderson couriered to KSW a bank draft dated January 31, 2003, payable to KSW in trust. Anderson did not include a covering letter that identified himself as the source of the funds, explaining what the funds were for and the terms upon which they were to be held. Anderson did not write his name on the bank draft. Anderson had no contact with KSW until 2007. He assumed in 2007 that the $120,000 was still being held in trust but he was advised by Boulton in 2007 that the funds had been paid out in 2003.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2" w:name="Holdings of Court_30"/>
            <w:bookmarkEnd w:id="33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Anderson's claim that the defendants disbursed the funds contrary to the terms of an express trust was rejected. Anderson did not reveal himself as the source of the funds and he remained anonymous. He spoke to no lawyers at KSW before he sent the funds and he authorized Redick and Milne to instruct KSW on his behalf. The uncontested evidence was that Redick and Milne authorized the defendants to disburse the funds without first registering the mortgage security that had been contemplated during earlier discussions. In the absence of any certain designation of Anderson as an ascertainable beneficiary of the alleged trust, no valid trust was formed. There was no breach of trust since it never came into existence.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3" w:name="Counsel_47"/>
      <w:bookmarkEnd w:id="3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E. Breivik, Wayne H. Hum.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Paul M.J. Arvisais.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4" w:name="Judgment_47"/>
      <w:bookmarkEnd w:id="334"/>
      <w:r>
        <w:pict>
          <v:line id="_x0000_s1255"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5" w:name="G.J. FITCH J. (orally)"/>
            <w:bookmarkEnd w:id="335"/>
            <w:r>
              <w:rPr>
                <w:rFonts w:ascii="arial" w:eastAsia="arial" w:hAnsi="arial" w:cs="arial"/>
                <w:b/>
                <w:color w:val="000000"/>
                <w:sz w:val="30"/>
                <w:lang w:val="en-US" w:eastAsia="en-US" w:bidi="ar-SA"/>
              </w:rPr>
              <w:t>G.J. FITCH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the repayment of trust funds. On January 31, 2003, the plaintiff, Spencer Anderson, sent a cheque for $120,000 payable to the defendant law firm, Kane, Shannon &amp; Weiler ("KSW"), in trust. The defendant Christopher Boulton ("Boulton") is a practising lawyer who, at all material times, practised law with KSW.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the funds were impressed with a trust in his favour with KSW as trustee, and that they were to be held on the following express terms: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funds would be held by KSW pending registration of mortgage security in the plaintiff's favour over lands owned by 619399 B.C. Ltd.;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mortgage security was not provided as agreed within a timely manner, KSW would return the trust funds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trust funds were never secured by a mortgage registered in his favour and that, contrary to the express terms of the trust, the defendants paid out the trust funds without his knowledge or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but called no other witnesses. He read in excerpts of the examination for discovery of Boulton. The defendants called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he learned of an opportunity to invest in a development known as Resorts West through his brother-in-law, Les Redick ("Redick"), and an associate, Richard Milne ("Milne").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Resorts West is owned and operated by 619399 B.C. Ltd. ("619339"). The principal of 619339 is Norm Gaukel ("Gaukel").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KSW and Boulton acted only for Resorts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27, 2003 the plaintiff entered into an agreement with Redick and Milne. The agreement was reduced to writing in memorandum form. It records that Redick and Milne held options over 15 lots in the Resorts West development. The options were due to expire at the end of the month. Redick and Milne were seeking to raise capital before the end of January to exercise their options. The plaintiff agreed to purchase two of the 15 lots held by Redick and Milne. In consideration for these lots, the plaintiff was to advance $120,000 to KSW in trust on January 31, 2003. Redick and Milne agreed with the plaintiff that the $120,000 he was advancing would be held in escrow until the plaintiff could be secured. Redick, Milne, and the plaintiff further agreed that the security would be kept in place until the plaintiff could take clear title to the lots in late spring or early summer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he understood his agreement to purchase the two lots was with Redick and Milne, not Resorts West. He had no contact with Resorts West or Gaukel until long after this agreement was concluded. He further understood at all material times that KSW was not acting on his behalf, but solely for Resorts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evidence before me that KSW or Boulton had a copy of the agreement between the plaintiff, Redick and Milne, and no evidence they ever knew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agreement between the plaintiff, Redick and Milne contemplated that the plaintiff would personally deliver the funds by attending at the offices of KSW with Redick and Milne on January 31,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did not happen. Instead, the plaintiff couriered a bank draft dated January 31, 2003 and payable to "KSW In Trust" to KSW's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spoke with no one at KSW before couriering to them the $120,000 bank draft;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sent the bank draft to KSW without a covering letter identifying himself as the source of the funds, explaining what the funds were for, or conveying to anyone at KSW the terms upon which the funds were to be held. Indeed, the plaintiff testified on this point that he did not intend to convey to KSW the terms upon which the funds were to be held, because this was covered in his agreement with Redick and Milne. He confirmed that he did not think it necessary to speak with Boulton or any other lawyer at KSW about the terms upon which the $120,000 was to be held in trust by KSW;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knew that the courier slip containing his name and home address would be signed by the receptionist at KSW and returned to him. I pause to note there is no evidence before me that KSW was provided with or retained a copy of the courier slip on which the plaintiff's name and home address were inscribed;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write his name anywhere on the bank draft itself;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identifying information contained on the face of the bank draft is the plaintiff's initials that appear on the draft as a small and unidentifiable scribble. Despite this, the plaintiff testified at trial that he expected others to recognize the scribble as his initials, and that if others did not know who he was, they could make inquiries to find out;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 Line" on the bank draft was completed with these words, "Two fully serviced adjoining lots on the ridge at Phase 1 Resort Village". The scribble the plaintiff identified as his initials appear adjacent to this entry;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31, 2003, he called the offices of KSW and spoke to a receptionist. He identified himself by name and confirmed that KSW was in receipt of the bank draft. The plaintiff conveyed no additional information to KSW at this time, nor did he ask any questions;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trusted and, in fact, authorized Redick and Milne to give instructions to KSW on his behalf;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authorized Redick and Milne to give instructions on his behalf as to what to do with the $120,000, he never authorized Redick and Milne to direct KSW to release the funds being held in trust to Resorts West. I pause again to note there is no evidence Boulton was told by anyone that Redick and Milne were not authorized to give directions respecting the disbursement of funds held in trust by KSW;</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knew that Redick and Milne were the parties loaning money to Resorts West and that they were doing this to secure their options on the 15 lots in the development;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contact with KSW until 2007, some four and a half years after the bank draft was sent;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 a draft of the loan agreement between Redick and Milne (as lenders) and 619399 (as borrower) until 2007;</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assumed in 2007 that his $120,000 was still being held in trust by KSW;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met with Boulton in early October 2007 and was "shocked" to learn that his funds had been paid out of KSW's trust account in March and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given by Boulton on examination for discovery that was read in by the plaintiff at trial includes the following:</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represented 619399 and Gaukel;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met with Redick and Milne, along with two representatives of First Capital Trading and Finance Corp. ("First Capital"), an entity that was brokering the deal, at his office on January 31, 2003. He was briefed on the loan financing 619399 would be receiving to assist with the Resorts West project. Specifically, he was informed that Milne "and others" would deposit $150,000 in trust with KSW pending settlement of documentation, and that a mortgage was to be prepared securing Milne "and others" for the funds to be loaned to 619399. Upon approval of the mortgage and related document by Milne "and others", the mortgage was to be registered and the funds to be loaned 619399 released from trust;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KSW received a $120,000 bank draft;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prepared a number of drafts of the loan agreement between Redick and Milne (as lenders), and 619399 (as borrower);</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early draft of the loan agreement referenced the acknowledgment of Redick and Milne that 619399 had entered into similar loan agreements with other lenders as set out in Schedule C to the draft. He has no recollection of being provided with a list of the other lenders and does not know if Schedule C, contemplated by this earlier draft, was ever prepared;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23, 2003, while the $120,000 bank draft remained in trust, it was brought to his attention that the draft agreement made "no mention of a double adjacent view lot promised by Norm Gaukel to Richard Milne for his [Milne's] partner Spencer Anderson prior to the issuing of the $120,000 in trust to your office." He redrafted the agreement to include language that the lenders, Redick and Milne, "will be granted their choice of two adjacent view lots (for Spencer Anderson)"...;</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loan agreement contemplated that 619399 would grant a mortgage to secure the loan;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 2003, Boulton advised Milne in writing that, "the game plan at present is to register the mortgage on Monday and pay out the funds from our trust upon registration";</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deal kept changing and, between March 1, 2003 and when the funds were actually disbursed, the deal was further changed so that registration of the mortgage did not need to occur prior to the disbursement of the funds;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Redick and Milne authorizing Boulton to release the funds, they were fully disbursed from his trust account to 619399 and First Capital by September 2003; and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met with the plaintiff, at the plaintiff's request, in the fall of 2007 and advised the plaintiff that the funds had been disbursed from the trust account of KSW.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Notice of Civil Claim, the plaintiff pleads that the defendants disbursed the funds contrary to the express terms of a trust that is said to have existed between himself, as beneficiary, and the defendants, as trustees. The pleadings assert breach by the defendants of the express terms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closing submissions, the plaintiff argued that the defendants owed a duty of care to him and negligently breached that duty of care by failing to make reasonable inquiries concerning the terms of the trust. The plaintiff submits that he provided his name to the receptionist at KSW when he called to confirm receipt of the bank draft and that any knowledge the receptionist thereby gained should be imputed to the defendants. No authority has been cited in support of such a broad proposition. In addition, the plaintiff submits: (1) that Boulton knew "others" were advancing funds to 619399; and (2) his name came to Boulton's attention in the drafting stages of the loan agreement and was included in the agreement Boulton drafted by reference to the fact that Redick and Milne would be granted their choice of two view lots for Spencer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argues that, in all the circumstances, the defendants had a duty of care to inquire into the identity of the person that was placing $120,000 into trust, the purpose of those funds, and the terms upon which those funds were to be released. The plaintiff says that by failing to make these inquiries, Boulton and KSW breached the duty of care it owed to him.</w:t>
      </w:r>
      <w:r>
        <w:rPr>
          <w:rFonts w:ascii="arial" w:eastAsia="arial" w:hAnsi="arial" w:cs="arial"/>
          <w:sz w:val="20"/>
          <w:lang w:val="en-US" w:eastAsia="en-US" w:bidi="ar-SA"/>
        </w:rPr>
        <w:cr/>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object to the plaintiff reframing the action in closing argument as a tort claim. The defendants note that no facts are alleged by the plaintiff in his pleadings that would give rise to a duty of care in this case. Further, the plaintiff's pleadings make no reference to any duty on the part of the defendants to make inquiries on the plaintiff's behalf, let alone negligent breach of this alleged duty. For this reason, the defendants object to judgment being granted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grounded in their alleged failure to discharge an existing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submit that the material facts the plaintiff pleaded in support of his claim are that the funds held by KSW were impressed with a trust in his favour, that one of the specific and agreed-upon terms of the trust was that the funds would not be disbursed until the registration of a mortgage securing his investment in 619399, and that the defendants breached the express terms of the trust by disbursing the funds prior to registering a mortgage securing 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this is the case they must meet. In meeting that case, they submit that a valid trust presupposes certainty of object. In other words, the trust beneficiaries must be clearly identified or ascertainable with certainty. The defendants submit there is no description of the beneficiary of the alleged trust at all. The defendants argue that the plaintiff did next to nothing to identify himself as a beneficiary to the alleged trustee. In the absence of any designation of the plaintiff as an ascertainable beneficiary of the alleged trust, there is no valid trust formed. In the absence of a trust, there can be no breach of trust. For this reason, the plaintiffs submit the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agree with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First, I would not permit the plaintiff to seek judgment in this case on grounds not identified in, or supported by, his pleadings. To do so would be grossly unfair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turn to consider the plaintiff's contention that the defendants disbursed the funds contrary to the terms of an express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Certainty of object is a necessary characteristic of a valid trust. For there to be certainty of object, the beneficiaries must be clearly identified or ascertainable with certainty: </w:t>
      </w:r>
      <w:r>
        <w:rPr>
          <w:rFonts w:ascii="arial" w:eastAsia="arial" w:hAnsi="arial" w:cs="arial"/>
          <w:i/>
          <w:color w:val="000000"/>
          <w:sz w:val="20"/>
          <w:lang w:val="en-US" w:eastAsia="en-US" w:bidi="ar-SA"/>
        </w:rPr>
        <w:t>Bankruptcy of Taylor Ventures Ltd.,</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2004 BCSC 1612</w:t>
        </w:r>
      </w:hyperlink>
      <w:r>
        <w:rPr>
          <w:rFonts w:ascii="arial" w:eastAsia="arial" w:hAnsi="arial" w:cs="arial"/>
          <w:color w:val="000000"/>
          <w:sz w:val="20"/>
          <w:lang w:val="en-US" w:eastAsia="en-US" w:bidi="ar-SA"/>
        </w:rPr>
        <w:t xml:space="preserve"> at paras. 42-43; </w:t>
      </w:r>
      <w:r>
        <w:rPr>
          <w:rFonts w:ascii="arial" w:eastAsia="arial" w:hAnsi="arial" w:cs="arial"/>
          <w:i/>
          <w:color w:val="000000"/>
          <w:sz w:val="20"/>
          <w:lang w:val="en-US" w:eastAsia="en-US" w:bidi="ar-SA"/>
        </w:rPr>
        <w:t>Eron Mortgage Corporation v. Eron Mortgage Corporation (Trustee of)</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70 B.C.L.R. (3d) 381</w:t>
        </w:r>
      </w:hyperlink>
      <w:r>
        <w:rPr>
          <w:rFonts w:ascii="arial" w:eastAsia="arial" w:hAnsi="arial" w:cs="arial"/>
          <w:color w:val="000000"/>
          <w:sz w:val="20"/>
          <w:lang w:val="en-US" w:eastAsia="en-US" w:bidi="ar-SA"/>
        </w:rPr>
        <w:t>, at paras. 25-27. The plaintiff does not take issue with these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plaintiff did nothing to reveal himself as the source of the $120,000. By his actions, the plaintiff remained anonymous. Apart from his brief discussion with a receptionist at KSW to confirm receipt of his bank draft, there is no evidence that he, or anyone else, ever communicated to KSW who he was, or the terms upon which the funds were to be held in trust. He never spoke with Boulton or any other lawyer at KSW, even though the opportunity to do so arose. He authorized Redick and Milne to instruct KSW on his behalf as to what to do with the $120,000. The uncontested evidence is that Redick and Milne authorized the defendants to disburse the funds without first registering the mortgage security that had been contemplated at an earlier stage of the discussions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the plaintiff's name came to Boulton's attention in February 2003, prior to the disbursement of the funds, the plaintiff was only identified at that time in the context of a promise made by Gaukel to Milne that a double adjacent view lot would be reserved for Milne's partner, Spencer Anderson. The defendants were not notified the plaintiff had provided the $120,000 bank draft or that these funds were to be held in trust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absence of any certain designation of the plaintiff as an ascertainable beneficiary of the alleged trust, no valid trust was formed. Obviously there can be no breach of a trust that never came into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 these reasons,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Unless the parties wish to address me further on the question of costs, the defendants will have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G.J. FITCH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6" style="position:absolute;z-index:25184972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Dhillon v. Singer, [2017] B.C.J. No. 496</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Dinnissen v. Lee, [2019] B.C.J. No. 1902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Dubitz v. Knoebel, [2019] B.C.J. No. 1876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Gadsby v. Khan, [2003] B.C.J. No. 2582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 v. Cooper Industries, Inc., [2004] B.C.J. No. 338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Ingram v. Munroe, [2019] B.C.J. No. 260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Lourenco v. Pham, [2013] B.C.J. No. 2525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MacEachern (Committee of) v. Rennie, [2009] B.C.J. No. 2755</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Owens v. Steveston Waterfront Properties Inc., [2019] I.L.R. para. G-2844</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Richardson Appraisals Inc., [2003] B.C.J. No. 1080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Scheelar v. Kibblewhite, 2006 CHFL para. 15,434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Scott v. Brown, [2013] B.C.J. No. 1013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Sears Canada Inc. v. Bartram, [2004] B.C.J. No. 751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Shooters Production Services Inc. v. Arnold Bros. Transport Ltd., [2003] B.C.J. No. 125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Wang v. Johal, [2019] B.C.J. No. 1197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Bakken v. Young, [2000] B.C.J. No. 1508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Beach Estate v. Beach, [2018] B.C.J. No. 1302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Bercko v. Canada Safeway Ltd., [2000] B.C.J. No. 1754</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National Railway Co. v. Canada, [2003] B.C.J. No. 2327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Clare v. I.J. Manufacturing Ltd., [2003] B.C.J. No. 1295</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Coleman v. Spong, [2003] B.C.J. No. 1130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Cunningham v. Slubowski, [2004] B.C.J. No. 1932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F.W. Hearns/Actes - A Joint Venture v. University of British Columbia, [2000] B.C.J. No. 2569</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L'Association des Francophones de Nanaimo, [2001] B.C.J. No. 491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Gilmour v. Machibroda, [2008] B.C.J. No. 376</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Hansen v. Trinity (The), [2007] B.C.J. No. 322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Hemsworth v. Vancouver (City), [2005] B.C.J. No. 475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Hub Excavating Ltd. v. Orca Estates Ltd., [2007] B.C.J. No. 2209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Society of British Columbia v. Dempsey, [2005] B.C.J. No. 1985</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Mann v. Rainsford, [2010] B.C.J. No. 550</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Maradadi Pacific Holdings Ltd. v. Call, [2019] B.C.J. No. 687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Meredith v. Turnbull, [2000] B.C.J. No. 676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Olsen v. Behr Process Corp., [2003] B.C.J. No. 627</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Oyelese v. Sorensen, [2013] B.C.J. No. 1116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 Supplies (USA) Inc. v. Pivotal Partners Inc., [2008] B.C.J. No. 2375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Procon Mining &amp; Tunnelling Ltd. v. McNeil, [2010] B.C.J. No. 648</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Pro-Sys Consultants Ltd. v. Infineon Technologies AG, [2008] B.C.J. No. 831</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Road King Asphalt &amp; Aggregate Ltd. v. Farr Fabricating (1985) Ltd., [2005] B.C.J. No. 1554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Rodgers v. Floercke, [2008] B.C.J. No. 1271</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De Bortoli, [2012] B.C.J. No. 2712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Savvas v. Green, [2008] B.C.J. No. 37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1400 v. Objekt Properties Corp., [2002] B.C.J. No. 2305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Turner v. Coblenz, [2008] B.C.J. No. 2561</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Furniture Warehouse LP v. 551148 B.C. Ltd., [2006] B.C.J. No. 271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Veszely v. Mair Jensen Blair, [2002] B.C.J. No. 2908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Zary v. Canada Mortgage and Housing Corp., [2015] B.C.J. No. 1407</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Zubko v. Ezaki, [2002] B.C.J. No. 3326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0679372 B.C. Ltd. v. 0826857 B.C. Ltd., [2011] B.C.J. No. 1384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0856464 B.C. Ltd. v. TimberWest Forest Corp., [2012] B.C.J. No. 804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v. Boulton, [2015] B.C.J. No. 819</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7"/>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9"/>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5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5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5"/>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3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4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4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5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19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20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20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3"/>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4"/>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5"/>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6"/>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2348227"/>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5C9EE4D"/>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CD60208"/>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FC9953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FE49395"/>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10685A0D"/>
    <w:multiLevelType w:val="multilevel"/>
    <w:tmpl w:val="00000001"/>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128878D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198C212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1C310B29"/>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1C500952"/>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1C8F0743"/>
    <w:multiLevelType w:val="multilevel"/>
    <w:tmpl w:val="00000001"/>
    <w:lvl w:ilvl="0">
      <w:start w:val="1"/>
      <w:numFmt w:val="decimal"/>
      <w:lvlText w:val="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1D5BEF8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1F79E18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290806FD"/>
    <w:multiLevelType w:val="multilevel"/>
    <w:tmpl w:val="0000000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2B30B20A"/>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359839E6"/>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36274A6E"/>
    <w:multiLevelType w:val="multilevel"/>
    <w:tmpl w:val="00000001"/>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3877A03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FB5CAE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4080202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4304D235"/>
    <w:multiLevelType w:val="multilevel"/>
    <w:tmpl w:val="00000001"/>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457FE421"/>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4606F816"/>
    <w:multiLevelType w:val="multilevel"/>
    <w:tmpl w:val="00000001"/>
    <w:lvl w:ilvl="0">
      <w:start w:val="5"/>
      <w:numFmt w:val="upp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460E7755"/>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4A999604"/>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4C62984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50052707"/>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508E079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572F9BA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5D5BB306"/>
    <w:multiLevelType w:val="multilevel"/>
    <w:tmpl w:val="0000000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63279173"/>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63693DF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63FBBAB7"/>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0A7C59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1D4A73B"/>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AAB1F14"/>
    <w:multiLevelType w:val="multilevel"/>
    <w:tmpl w:val="00000001"/>
    <w:lvl w:ilvl="0">
      <w:start w:val="1"/>
      <w:numFmt w:val="decimal"/>
      <w:lvlText w:val="6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BFB328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FD1FDF0"/>
    <w:multiLevelType w:val="multilevel"/>
    <w:tmpl w:val="00000001"/>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129"/>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84"/>
  </w:num>
  <w:num w:numId="87">
    <w:abstractNumId w:val="85"/>
  </w:num>
  <w:num w:numId="88">
    <w:abstractNumId w:val="86"/>
  </w:num>
  <w:num w:numId="89">
    <w:abstractNumId w:val="87"/>
  </w:num>
  <w:num w:numId="90">
    <w:abstractNumId w:val="88"/>
  </w:num>
  <w:num w:numId="91">
    <w:abstractNumId w:val="89"/>
  </w:num>
  <w:num w:numId="92">
    <w:abstractNumId w:val="90"/>
  </w:num>
  <w:num w:numId="93">
    <w:abstractNumId w:val="91"/>
  </w:num>
  <w:num w:numId="94">
    <w:abstractNumId w:val="92"/>
  </w:num>
  <w:num w:numId="95">
    <w:abstractNumId w:val="93"/>
  </w:num>
  <w:num w:numId="96">
    <w:abstractNumId w:val="94"/>
  </w:num>
  <w:num w:numId="97">
    <w:abstractNumId w:val="95"/>
  </w:num>
  <w:num w:numId="98">
    <w:abstractNumId w:val="96"/>
  </w:num>
  <w:num w:numId="99">
    <w:abstractNumId w:val="97"/>
  </w:num>
  <w:num w:numId="100">
    <w:abstractNumId w:val="98"/>
  </w:num>
  <w:num w:numId="101">
    <w:abstractNumId w:val="99"/>
  </w:num>
  <w:num w:numId="102">
    <w:abstractNumId w:val="100"/>
  </w:num>
  <w:num w:numId="103">
    <w:abstractNumId w:val="101"/>
  </w:num>
  <w:num w:numId="104">
    <w:abstractNumId w:val="102"/>
  </w:num>
  <w:num w:numId="105">
    <w:abstractNumId w:val="103"/>
  </w:num>
  <w:num w:numId="106">
    <w:abstractNumId w:val="104"/>
  </w:num>
  <w:num w:numId="107">
    <w:abstractNumId w:val="105"/>
  </w:num>
  <w:num w:numId="108">
    <w:abstractNumId w:val="109"/>
  </w:num>
  <w:num w:numId="109">
    <w:abstractNumId w:val="136"/>
  </w:num>
  <w:num w:numId="110">
    <w:abstractNumId w:val="133"/>
  </w:num>
  <w:num w:numId="111">
    <w:abstractNumId w:val="138"/>
  </w:num>
  <w:num w:numId="112">
    <w:abstractNumId w:val="140"/>
  </w:num>
  <w:num w:numId="113">
    <w:abstractNumId w:val="106"/>
  </w:num>
  <w:num w:numId="114">
    <w:abstractNumId w:val="114"/>
  </w:num>
  <w:num w:numId="115">
    <w:abstractNumId w:val="121"/>
  </w:num>
  <w:num w:numId="116">
    <w:abstractNumId w:val="118"/>
  </w:num>
  <w:num w:numId="117">
    <w:abstractNumId w:val="125"/>
  </w:num>
  <w:num w:numId="118">
    <w:abstractNumId w:val="134"/>
  </w:num>
  <w:num w:numId="119">
    <w:abstractNumId w:val="123"/>
  </w:num>
  <w:num w:numId="120">
    <w:abstractNumId w:val="127"/>
  </w:num>
  <w:num w:numId="121">
    <w:abstractNumId w:val="126"/>
  </w:num>
  <w:num w:numId="122">
    <w:abstractNumId w:val="119"/>
  </w:num>
  <w:num w:numId="123">
    <w:abstractNumId w:val="132"/>
  </w:num>
  <w:num w:numId="124">
    <w:abstractNumId w:val="141"/>
  </w:num>
  <w:num w:numId="125">
    <w:abstractNumId w:val="107"/>
  </w:num>
  <w:num w:numId="126">
    <w:abstractNumId w:val="135"/>
  </w:num>
  <w:num w:numId="127">
    <w:abstractNumId w:val="115"/>
  </w:num>
  <w:num w:numId="128">
    <w:abstractNumId w:val="142"/>
  </w:num>
  <w:num w:numId="129">
    <w:abstractNumId w:val="120"/>
  </w:num>
  <w:num w:numId="130">
    <w:abstractNumId w:val="110"/>
  </w:num>
  <w:num w:numId="131">
    <w:abstractNumId w:val="137"/>
  </w:num>
  <w:num w:numId="132">
    <w:abstractNumId w:val="112"/>
  </w:num>
  <w:num w:numId="133">
    <w:abstractNumId w:val="131"/>
  </w:num>
  <w:num w:numId="134">
    <w:abstractNumId w:val="116"/>
  </w:num>
  <w:num w:numId="135">
    <w:abstractNumId w:val="128"/>
  </w:num>
  <w:num w:numId="136">
    <w:abstractNumId w:val="111"/>
  </w:num>
  <w:num w:numId="137">
    <w:abstractNumId w:val="130"/>
  </w:num>
  <w:num w:numId="138">
    <w:abstractNumId w:val="122"/>
  </w:num>
  <w:num w:numId="139">
    <w:abstractNumId w:val="108"/>
  </w:num>
  <w:num w:numId="140">
    <w:abstractNumId w:val="113"/>
  </w:num>
  <w:num w:numId="141">
    <w:abstractNumId w:val="117"/>
  </w:num>
  <w:num w:numId="142">
    <w:abstractNumId w:val="143"/>
  </w:num>
  <w:num w:numId="143">
    <w:abstractNumId w:val="139"/>
  </w:num>
  <w:num w:numId="144">
    <w:abstractNumId w:val="1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N54-05W1-JPGX-S1H7-00000-00&amp;context=" TargetMode="External" /><Relationship Id="rId100" Type="http://schemas.openxmlformats.org/officeDocument/2006/relationships/hyperlink" Target="https://advance.lexis.com/api/document?collection=cases-ca&amp;id=urn:contentItem:5RRK-9081-JCBX-S0G4-00000-00&amp;context=" TargetMode="External" /><Relationship Id="rId101" Type="http://schemas.openxmlformats.org/officeDocument/2006/relationships/hyperlink" Target="https://advance.lexis.com/api/document?collection=cases-ca&amp;id=urn:contentItem:5F7T-S7D1-DY89-M463-00000-00&amp;context=" TargetMode="External" /><Relationship Id="rId102" Type="http://schemas.openxmlformats.org/officeDocument/2006/relationships/hyperlink" Target="https://advance.lexis.com/api/document?collection=cases-ca&amp;id=urn:contentItem:5F7T-S771-JN14-G2PR-00000-00&amp;context=" TargetMode="External" /><Relationship Id="rId103" Type="http://schemas.openxmlformats.org/officeDocument/2006/relationships/hyperlink" Target="https://advance.lexis.com/api/document?collection=cases-ca&amp;id=urn:contentItem:5G6F-0731-JSJC-X1B6-00000-00&amp;context=" TargetMode="External" /><Relationship Id="rId104" Type="http://schemas.openxmlformats.org/officeDocument/2006/relationships/hyperlink" Target="https://advance.lexis.com/api/document?collection=cases-ca&amp;id=urn:contentItem:5F7T-S6W1-JYYX-61TX-00000-00&amp;context=" TargetMode="External" /><Relationship Id="rId105" Type="http://schemas.openxmlformats.org/officeDocument/2006/relationships/image" Target="media/image2.png" /><Relationship Id="rId106" Type="http://schemas.openxmlformats.org/officeDocument/2006/relationships/image" Target="media/image3.png" /><Relationship Id="rId107" Type="http://schemas.openxmlformats.org/officeDocument/2006/relationships/image" Target="media/image4.png" /><Relationship Id="rId108" Type="http://schemas.openxmlformats.org/officeDocument/2006/relationships/hyperlink" Target="https://advance.lexis.com/api/document?collection=cases-ca&amp;id=urn:contentItem:5F7T-S781-JSC5-M4GD-00000-00&amp;context=" TargetMode="External" /><Relationship Id="rId109" Type="http://schemas.openxmlformats.org/officeDocument/2006/relationships/hyperlink" Target="https://advance.lexis.com/api/document?collection=cases-ca&amp;id=urn:contentItem:5F7T-S7C1-F7VM-S3NW-00000-00&amp;context=" TargetMode="External" /><Relationship Id="rId11" Type="http://schemas.openxmlformats.org/officeDocument/2006/relationships/hyperlink" Target="https://advance.lexis.com/api/document?collection=cases-ca&amp;id=urn:contentItem:5NY8-H081-JSJC-X1Y8-00000-00&amp;context=" TargetMode="External" /><Relationship Id="rId110" Type="http://schemas.openxmlformats.org/officeDocument/2006/relationships/hyperlink" Target="https://advance.lexis.com/api/document?collection=cases-ca&amp;id=urn:contentItem:5F8T-N3T1-JJSF-2361-00000-00&amp;context=" TargetMode="External" /><Relationship Id="rId111" Type="http://schemas.openxmlformats.org/officeDocument/2006/relationships/image" Target="media/image5.png" /><Relationship Id="rId112" Type="http://schemas.openxmlformats.org/officeDocument/2006/relationships/header" Target="header7.xml" /><Relationship Id="rId113" Type="http://schemas.openxmlformats.org/officeDocument/2006/relationships/header" Target="header8.xml" /><Relationship Id="rId114" Type="http://schemas.openxmlformats.org/officeDocument/2006/relationships/footer" Target="footer7.xml" /><Relationship Id="rId115" Type="http://schemas.openxmlformats.org/officeDocument/2006/relationships/footer" Target="footer8.xml" /><Relationship Id="rId116" Type="http://schemas.openxmlformats.org/officeDocument/2006/relationships/header" Target="header9.xml" /><Relationship Id="rId117" Type="http://schemas.openxmlformats.org/officeDocument/2006/relationships/footer" Target="footer9.xml" /><Relationship Id="rId118" Type="http://schemas.openxmlformats.org/officeDocument/2006/relationships/hyperlink" Target="https://advance.lexis.com/api/document?collection=cases-ca&amp;id=urn:contentItem:5X7M-2361-JGBH-B2N5-00000-00&amp;context=" TargetMode="External" /><Relationship Id="rId119" Type="http://schemas.openxmlformats.org/officeDocument/2006/relationships/hyperlink" Target="https://advance.lexis.com/api/document?collection=cases-ca&amp;id=urn:contentItem:5YFR-J3Y1-JGBH-B396-00000-00&amp;context=" TargetMode="External" /><Relationship Id="rId12" Type="http://schemas.openxmlformats.org/officeDocument/2006/relationships/hyperlink" Target="https://advance.lexis.com/api/document?collection=cases-ca&amp;id=urn:contentItem:5F7T-S721-F06F-230Y-00000-00&amp;context=" TargetMode="External" /><Relationship Id="rId120" Type="http://schemas.openxmlformats.org/officeDocument/2006/relationships/hyperlink" Target="https://advance.lexis.com/api/document?collection=cases-ca&amp;id=urn:contentItem:5F7T-S7C1-FGRY-B081-00000-00&amp;context=" TargetMode="External" /><Relationship Id="rId121" Type="http://schemas.openxmlformats.org/officeDocument/2006/relationships/hyperlink" Target="https://advance.lexis.com/api/document?collection=cases-ca&amp;id=urn:contentItem:5F7T-S7K1-JKHB-6307-00000-00&amp;context=" TargetMode="External" /><Relationship Id="rId122" Type="http://schemas.openxmlformats.org/officeDocument/2006/relationships/hyperlink" Target="https://advance.lexis.com/api/document?collection=cases-ca&amp;id=urn:contentItem:5F7T-S781-FH4C-X2V6-00000-00&amp;context=" TargetMode="External" /><Relationship Id="rId123" Type="http://schemas.openxmlformats.org/officeDocument/2006/relationships/hyperlink" Target="https://advance.lexis.com/api/document?collection=cases-ca&amp;id=urn:contentItem:5F7T-S7N1-JWR6-S24S-00000-00&amp;context=" TargetMode="External" /><Relationship Id="rId124" Type="http://schemas.openxmlformats.org/officeDocument/2006/relationships/hyperlink" Target="https://advance.lexis.com/api/document?collection=cases-ca&amp;id=urn:contentItem:5F8T-N3V1-FH4C-X20M-00000-00&amp;context=" TargetMode="External" /><Relationship Id="rId125" Type="http://schemas.openxmlformats.org/officeDocument/2006/relationships/hyperlink" Target="https://advance.lexis.com/api/document?collection=cases-ca&amp;id=urn:contentItem:5F8T-N3V1-FH4C-X22V-00000-00&amp;context=" TargetMode="External" /><Relationship Id="rId126" Type="http://schemas.openxmlformats.org/officeDocument/2006/relationships/hyperlink" Target="https://advance.lexis.com/api/document?collection=cases-ca&amp;id=urn:contentItem:5F7T-S7M1-JNCK-22RP-00000-00&amp;context=" TargetMode="External" /><Relationship Id="rId127" Type="http://schemas.openxmlformats.org/officeDocument/2006/relationships/hyperlink" Target="https://advance.lexis.com/api/document?collection=cases-ca&amp;id=urn:contentItem:5F8T-N3V1-JTGH-B18F-00000-00&amp;context=" TargetMode="External" /><Relationship Id="rId128" Type="http://schemas.openxmlformats.org/officeDocument/2006/relationships/hyperlink" Target="https://advance.lexis.com/api/document?collection=cases-ca&amp;id=urn:contentItem:5F7T-S7C1-JSRM-60TP-00000-00&amp;context=" TargetMode="External" /><Relationship Id="rId129" Type="http://schemas.openxmlformats.org/officeDocument/2006/relationships/hyperlink" Target="https://advance.lexis.com/api/document?collection=cases-ca&amp;id=urn:contentItem:5VN2-23P1-DY89-M2PK-00000-00&amp;context=" TargetMode="External" /><Relationship Id="rId13" Type="http://schemas.openxmlformats.org/officeDocument/2006/relationships/hyperlink" Target="https://advance.lexis.com/api/document?collection=cases-ca&amp;id=urn:contentItem:5F7T-S7M1-JFSV-G3V4-00000-00&amp;context=" TargetMode="External" /><Relationship Id="rId130" Type="http://schemas.openxmlformats.org/officeDocument/2006/relationships/hyperlink" Target="https://advance.lexis.com/api/document?collection=cases-ca&amp;id=urn:contentItem:5P98-G3F1-FFMK-M3VC-00000-00&amp;context=" TargetMode="External" /><Relationship Id="rId131" Type="http://schemas.openxmlformats.org/officeDocument/2006/relationships/hyperlink" Target="https://advance.lexis.com/api/document?collection=cases-ca&amp;id=urn:contentItem:5F7T-S7K1-JWXF-2115-00000-00&amp;context=" TargetMode="External" /><Relationship Id="rId132" Type="http://schemas.openxmlformats.org/officeDocument/2006/relationships/hyperlink" Target="https://advance.lexis.com/api/document?collection=cases-ca&amp;id=urn:contentItem:5F7T-S7K1-F1H1-224D-00000-00&amp;context=" TargetMode="External" /><Relationship Id="rId133" Type="http://schemas.openxmlformats.org/officeDocument/2006/relationships/hyperlink" Target="https://advance.lexis.com/api/document?collection=cases-ca&amp;id=urn:contentItem:5H2B-YKT1-FGY5-M3ST-00000-00&amp;context=" TargetMode="External" /><Relationship Id="rId134" Type="http://schemas.openxmlformats.org/officeDocument/2006/relationships/hyperlink" Target="https://advance.lexis.com/api/document?collection=cases-ca&amp;id=urn:contentItem:5F7T-S7P1-JBDT-B187-00000-00&amp;context=" TargetMode="External" /><Relationship Id="rId135" Type="http://schemas.openxmlformats.org/officeDocument/2006/relationships/hyperlink" Target="https://advance.lexis.com/api/document?collection=cases-ca&amp;id=urn:contentItem:5F7T-S7G1-JWR6-S1K1-00000-00&amp;context=" TargetMode="External" /><Relationship Id="rId136" Type="http://schemas.openxmlformats.org/officeDocument/2006/relationships/hyperlink" Target="https://advance.lexis.com/api/document?collection=cases-ca&amp;id=urn:contentItem:5F7T-S7N1-DXWW-209Y-00000-00&amp;context=" TargetMode="External" /><Relationship Id="rId137" Type="http://schemas.openxmlformats.org/officeDocument/2006/relationships/image" Target="media/image6.png" /><Relationship Id="rId138" Type="http://schemas.openxmlformats.org/officeDocument/2006/relationships/image" Target="media/image7.png" /><Relationship Id="rId139" Type="http://schemas.openxmlformats.org/officeDocument/2006/relationships/image" Target="media/image8.png" /><Relationship Id="rId14" Type="http://schemas.openxmlformats.org/officeDocument/2006/relationships/hyperlink" Target="https://advance.lexis.com/api/document?collection=cases-ca&amp;id=urn:contentItem:5F7T-S7M1-JPP5-2299-00000-00&amp;context=" TargetMode="External" /><Relationship Id="rId140" Type="http://schemas.openxmlformats.org/officeDocument/2006/relationships/hyperlink" Target="https://advance.lexis.com/api/document?collection=cases-ca&amp;id=urn:contentItem:5F7T-S7H1-F016-S3X8-00000-00&amp;context=" TargetMode="External" /><Relationship Id="rId141" Type="http://schemas.openxmlformats.org/officeDocument/2006/relationships/hyperlink" Target="https://advance.lexis.com/api/document?collection=cases-ca&amp;id=urn:contentItem:5F7T-S7B1-F7ND-G50F-00000-00&amp;context=" TargetMode="External" /><Relationship Id="rId142" Type="http://schemas.openxmlformats.org/officeDocument/2006/relationships/hyperlink" Target="https://advance.lexis.com/api/document?collection=cases-ca&amp;id=urn:contentItem:5F7T-S7H1-FCSB-S3RY-00000-00&amp;context=" TargetMode="External" /><Relationship Id="rId143" Type="http://schemas.openxmlformats.org/officeDocument/2006/relationships/hyperlink" Target="https://advance.lexis.com/api/document?collection=cases-ca&amp;id=urn:contentItem:5F7T-S7P1-F2TK-23KN-00000-00&amp;context=" TargetMode="External" /><Relationship Id="rId144" Type="http://schemas.openxmlformats.org/officeDocument/2006/relationships/hyperlink" Target="https://advance.lexis.com/api/document?collection=cases-ca&amp;id=urn:contentItem:5RTY-1871-JCBX-S0TB-00000-00&amp;context=" TargetMode="External" /><Relationship Id="rId145" Type="http://schemas.openxmlformats.org/officeDocument/2006/relationships/header" Target="header10.xml" /><Relationship Id="rId146" Type="http://schemas.openxmlformats.org/officeDocument/2006/relationships/header" Target="header11.xml" /><Relationship Id="rId147" Type="http://schemas.openxmlformats.org/officeDocument/2006/relationships/footer" Target="footer10.xml" /><Relationship Id="rId148" Type="http://schemas.openxmlformats.org/officeDocument/2006/relationships/footer" Target="footer11.xml" /><Relationship Id="rId149" Type="http://schemas.openxmlformats.org/officeDocument/2006/relationships/header" Target="header12.xml" /><Relationship Id="rId15" Type="http://schemas.openxmlformats.org/officeDocument/2006/relationships/hyperlink" Target="https://advance.lexis.com/api/document?collection=cases-ca&amp;id=urn:contentItem:5F7T-S7P1-JP4G-620F-00000-00&amp;context=" TargetMode="External" /><Relationship Id="rId150" Type="http://schemas.openxmlformats.org/officeDocument/2006/relationships/footer" Target="footer12.xml" /><Relationship Id="rId151" Type="http://schemas.openxmlformats.org/officeDocument/2006/relationships/hyperlink" Target="https://advance.lexis.com/api/document?collection=cases-ca&amp;id=urn:contentItem:5F7T-S7C1-FGRY-B0M8-00000-00&amp;context=" TargetMode="External" /><Relationship Id="rId152" Type="http://schemas.openxmlformats.org/officeDocument/2006/relationships/hyperlink" Target="https://advance.lexis.com/api/document?collection=cases-ca&amp;id=urn:contentItem:5F7T-S751-F361-M0NT-00000-00&amp;context=" TargetMode="External" /><Relationship Id="rId153" Type="http://schemas.openxmlformats.org/officeDocument/2006/relationships/hyperlink" Target="https://advance.lexis.com/api/document?collection=cases-ca&amp;id=urn:contentItem:5F8N-K701-F528-G23X-00000-00&amp;context=" TargetMode="External" /><Relationship Id="rId154" Type="http://schemas.openxmlformats.org/officeDocument/2006/relationships/hyperlink" Target="https://advance.lexis.com/api/document?collection=cases-ca&amp;id=urn:contentItem:5F7T-S701-FJDY-X27B-00000-00&amp;context=" TargetMode="External" /><Relationship Id="rId155" Type="http://schemas.openxmlformats.org/officeDocument/2006/relationships/header" Target="header13.xml" /><Relationship Id="rId156" Type="http://schemas.openxmlformats.org/officeDocument/2006/relationships/header" Target="header14.xml" /><Relationship Id="rId157" Type="http://schemas.openxmlformats.org/officeDocument/2006/relationships/footer" Target="footer13.xml" /><Relationship Id="rId158" Type="http://schemas.openxmlformats.org/officeDocument/2006/relationships/footer" Target="footer14.xml" /><Relationship Id="rId159" Type="http://schemas.openxmlformats.org/officeDocument/2006/relationships/header" Target="header15.xml" /><Relationship Id="rId16" Type="http://schemas.openxmlformats.org/officeDocument/2006/relationships/hyperlink" Target="https://advance.lexis.com/api/document?collection=cases-ca&amp;id=urn:contentItem:5F7T-S761-F81W-21TW-00000-00&amp;context=" TargetMode="External" /><Relationship Id="rId160" Type="http://schemas.openxmlformats.org/officeDocument/2006/relationships/footer" Target="footer15.xml" /><Relationship Id="rId161" Type="http://schemas.openxmlformats.org/officeDocument/2006/relationships/hyperlink" Target="https://advance.lexis.com/api/document?collection=cases-ca&amp;id=urn:contentItem:5F7T-S7C1-F7VM-S3KF-00000-00&amp;context=" TargetMode="External" /><Relationship Id="rId162" Type="http://schemas.openxmlformats.org/officeDocument/2006/relationships/hyperlink" Target="https://advance.lexis.com/api/document?collection=cases-ca&amp;id=urn:contentItem:5F8T-N3S1-JBDT-B021-00000-00&amp;context=" TargetMode="External" /><Relationship Id="rId163" Type="http://schemas.openxmlformats.org/officeDocument/2006/relationships/hyperlink" Target="https://advance.lexis.com/api/document?collection=cases-ca&amp;id=urn:contentItem:5F7T-S741-F57G-S1M3-00000-00&amp;context=" TargetMode="External" /><Relationship Id="rId164" Type="http://schemas.openxmlformats.org/officeDocument/2006/relationships/hyperlink" Target="https://advance.lexis.com/api/document?collection=cases-ca&amp;id=urn:contentItem:5F8T-N3V1-JF75-M3MF-00000-00&amp;context=" TargetMode="External" /><Relationship Id="rId165" Type="http://schemas.openxmlformats.org/officeDocument/2006/relationships/image" Target="media/image9.jpeg" /><Relationship Id="rId166" Type="http://schemas.openxmlformats.org/officeDocument/2006/relationships/image" Target="media/image10.png" /><Relationship Id="rId167" Type="http://schemas.openxmlformats.org/officeDocument/2006/relationships/header" Target="header16.xml" /><Relationship Id="rId168" Type="http://schemas.openxmlformats.org/officeDocument/2006/relationships/header" Target="header17.xml" /><Relationship Id="rId169" Type="http://schemas.openxmlformats.org/officeDocument/2006/relationships/footer" Target="footer16.xml" /><Relationship Id="rId17" Type="http://schemas.openxmlformats.org/officeDocument/2006/relationships/hyperlink" Target="https://advance.lexis.com/api/document?collection=cases-ca&amp;id=urn:contentItem:5F7T-S7P1-F2TK-23CF-00000-00&amp;context=" TargetMode="External" /><Relationship Id="rId170" Type="http://schemas.openxmlformats.org/officeDocument/2006/relationships/footer" Target="footer17.xml" /><Relationship Id="rId171" Type="http://schemas.openxmlformats.org/officeDocument/2006/relationships/header" Target="header18.xml" /><Relationship Id="rId172" Type="http://schemas.openxmlformats.org/officeDocument/2006/relationships/footer" Target="footer18.xml" /><Relationship Id="rId173" Type="http://schemas.openxmlformats.org/officeDocument/2006/relationships/hyperlink" Target="https://advance.lexis.com/api/document?collection=cases-ca&amp;id=urn:contentItem:5VHV-R691-FK0M-S1H1-00000-00&amp;context=" TargetMode="External" /><Relationship Id="rId174" Type="http://schemas.openxmlformats.org/officeDocument/2006/relationships/hyperlink" Target="https://advance.lexis.com/api/document?collection=cases-ca&amp;id=urn:contentItem:5X40-PHD1-JNJT-B0FK-00000-00&amp;context=" TargetMode="External" /><Relationship Id="rId175" Type="http://schemas.openxmlformats.org/officeDocument/2006/relationships/hyperlink" Target="https://advance.lexis.com/api/document?collection=cases-ca&amp;id=urn:contentItem:5F8T-N3P1-F7ND-G14C-00000-00&amp;context=" TargetMode="External" /><Relationship Id="rId176" Type="http://schemas.openxmlformats.org/officeDocument/2006/relationships/hyperlink" Target="https://advance.lexis.com/api/document?collection=cases-ca&amp;id=urn:contentItem:5F81-YGW1-DYFH-X025-00000-00&amp;context=" TargetMode="External" /><Relationship Id="rId177" Type="http://schemas.openxmlformats.org/officeDocument/2006/relationships/hyperlink" Target="https://advance.lexis.com/api/document?collection=cases-ca&amp;id=urn:contentItem:5F8P-SC71-JK4W-M2MK-00000-00&amp;context=" TargetMode="External" /><Relationship Id="rId178" Type="http://schemas.openxmlformats.org/officeDocument/2006/relationships/hyperlink" Target="https://advance.lexis.com/api/document?collection=cases-ca&amp;id=urn:contentItem:5F8T-N3V1-JF75-M3WX-00000-00&amp;context=" TargetMode="External" /><Relationship Id="rId179" Type="http://schemas.openxmlformats.org/officeDocument/2006/relationships/hyperlink" Target="https://advance.lexis.com/api/document?collection=cases-ca&amp;id=urn:contentItem:5F7T-S7G1-JNY7-X443-00000-00&amp;context=" TargetMode="External" /><Relationship Id="rId18" Type="http://schemas.openxmlformats.org/officeDocument/2006/relationships/hyperlink" Target="https://advance.lexis.com/api/document?collection=cases-ca&amp;id=urn:contentItem:5GCC-XVB1-FK0M-S528-00000-00&amp;context=" TargetMode="External" /><Relationship Id="rId180" Type="http://schemas.openxmlformats.org/officeDocument/2006/relationships/hyperlink" Target="https://advance.lexis.com/api/document?collection=cases-ca&amp;id=urn:contentItem:5F7T-S7C1-F7VM-S3T7-00000-00&amp;context=" TargetMode="External" /><Relationship Id="rId181" Type="http://schemas.openxmlformats.org/officeDocument/2006/relationships/hyperlink" Target="https://advance.lexis.com/api/document?collection=cases-ca&amp;id=urn:contentItem:5F7T-S7D1-JN6B-S13K-00000-00&amp;context=" TargetMode="External" /><Relationship Id="rId182" Type="http://schemas.openxmlformats.org/officeDocument/2006/relationships/hyperlink" Target="https://advance.lexis.com/api/document?collection=cases-ca&amp;id=urn:contentItem:5F7T-S6T1-FJTD-G1NJ-00000-00&amp;context=" TargetMode="External" /><Relationship Id="rId183" Type="http://schemas.openxmlformats.org/officeDocument/2006/relationships/hyperlink" Target="https://advance.lexis.com/api/document?collection=cases-ca&amp;id=urn:contentItem:5HNM-S131-JSJC-X4WR-00000-00&amp;context=" TargetMode="External" /><Relationship Id="rId184" Type="http://schemas.openxmlformats.org/officeDocument/2006/relationships/hyperlink" Target="https://advance.lexis.com/api/document?collection=cases-ca&amp;id=urn:contentItem:5HX7-VJ11-FCSB-S3YY-00000-00&amp;context=" TargetMode="External" /><Relationship Id="rId185" Type="http://schemas.openxmlformats.org/officeDocument/2006/relationships/hyperlink" Target="https://advance.lexis.com/api/document?collection=cases-ca&amp;id=urn:contentItem:5NDS-W3W1-F06F-22HS-00000-00&amp;context=" TargetMode="External" /><Relationship Id="rId186" Type="http://schemas.openxmlformats.org/officeDocument/2006/relationships/hyperlink" Target="https://advance.lexis.com/api/document?collection=cases-ca&amp;id=urn:contentItem:5GN2-DCK1-FGRY-B3MC-00000-00&amp;context=" TargetMode="External" /><Relationship Id="rId187" Type="http://schemas.openxmlformats.org/officeDocument/2006/relationships/hyperlink" Target="https://advance.lexis.com/api/document?collection=cases-ca&amp;id=urn:contentItem:5GCC-XVC1-JSRM-60S7-00000-00&amp;context=" TargetMode="External" /><Relationship Id="rId188" Type="http://schemas.openxmlformats.org/officeDocument/2006/relationships/hyperlink" Target="https://advance.lexis.com/api/document?collection=cases-ca&amp;id=urn:contentItem:5MYY-YHT1-FGCG-S1WD-00000-00&amp;context=" TargetMode="External" /><Relationship Id="rId189" Type="http://schemas.openxmlformats.org/officeDocument/2006/relationships/hyperlink" Target="https://advance.lexis.com/api/document?collection=cases-ca&amp;id=urn:contentItem:5F8T-N3V1-JTGH-B0YB-00000-00&amp;context=" TargetMode="External" /><Relationship Id="rId19" Type="http://schemas.openxmlformats.org/officeDocument/2006/relationships/hyperlink" Target="https://advance.lexis.com/api/document?collection=cases-ca&amp;id=urn:contentItem:5F7T-S7G1-JBT7-X40C-00000-00&amp;context=" TargetMode="External" /><Relationship Id="rId190" Type="http://schemas.openxmlformats.org/officeDocument/2006/relationships/hyperlink" Target="https://advance.lexis.com/api/document?collection=cases-ca&amp;id=urn:contentItem:5F7T-S7M1-JCRC-B1TW-00000-00&amp;context=" TargetMode="External" /><Relationship Id="rId191" Type="http://schemas.openxmlformats.org/officeDocument/2006/relationships/hyperlink" Target="https://advance.lexis.com/api/document?collection=cases-ca&amp;id=urn:contentItem:5F7T-S7N1-F06F-24M7-00000-00&amp;context=" TargetMode="External" /><Relationship Id="rId192" Type="http://schemas.openxmlformats.org/officeDocument/2006/relationships/hyperlink" Target="https://advance.lexis.com/api/document?collection=cases-ca&amp;id=urn:contentItem:5F7T-S731-FFFC-B0K2-00000-00&amp;context=" TargetMode="External" /><Relationship Id="rId193" Type="http://schemas.openxmlformats.org/officeDocument/2006/relationships/hyperlink" Target="https://advance.lexis.com/api/document?collection=cases-ca&amp;id=urn:contentItem:5F7T-S7M1-DYMS-62FG-00000-00&amp;context=" TargetMode="External" /><Relationship Id="rId194" Type="http://schemas.openxmlformats.org/officeDocument/2006/relationships/hyperlink" Target="https://advance.lexis.com/api/document?collection=cases-ca&amp;id=urn:contentItem:5F7T-S7N1-JW09-M12P-00000-00&amp;context=" TargetMode="External" /><Relationship Id="rId195" Type="http://schemas.openxmlformats.org/officeDocument/2006/relationships/hyperlink" Target="https://advance.lexis.com/api/document?collection=cases-ca&amp;id=urn:contentItem:5F7T-S771-JSJC-X038-00000-00&amp;context=" TargetMode="External" /><Relationship Id="rId196" Type="http://schemas.openxmlformats.org/officeDocument/2006/relationships/hyperlink" Target="https://advance.lexis.com/api/document?collection=cases-ca&amp;id=urn:contentItem:5F7T-S7M1-JCRC-B1SF-00000-00&amp;context=" TargetMode="External" /><Relationship Id="rId197" Type="http://schemas.openxmlformats.org/officeDocument/2006/relationships/hyperlink" Target="https://advance.lexis.com/api/document?collection=cases-ca&amp;id=urn:contentItem:5F8T-N3V1-FC1F-M4BC-00000-00&amp;context=" TargetMode="External" /><Relationship Id="rId198" Type="http://schemas.openxmlformats.org/officeDocument/2006/relationships/header" Target="header19.xml" /><Relationship Id="rId199" Type="http://schemas.openxmlformats.org/officeDocument/2006/relationships/header" Target="header20.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K1-JX3N-B2V4-00000-00&amp;context=" TargetMode="External" /><Relationship Id="rId200" Type="http://schemas.openxmlformats.org/officeDocument/2006/relationships/footer" Target="footer19.xml" /><Relationship Id="rId201" Type="http://schemas.openxmlformats.org/officeDocument/2006/relationships/footer" Target="footer20.xml" /><Relationship Id="rId202" Type="http://schemas.openxmlformats.org/officeDocument/2006/relationships/header" Target="header21.xml" /><Relationship Id="rId203" Type="http://schemas.openxmlformats.org/officeDocument/2006/relationships/footer" Target="footer21.xml" /><Relationship Id="rId204" Type="http://schemas.openxmlformats.org/officeDocument/2006/relationships/hyperlink" Target="https://advance.lexis.com/api/document?collection=cases-ca&amp;id=urn:contentItem:5F7T-S7P1-JG02-S42X-00000-00&amp;context=" TargetMode="External" /><Relationship Id="rId205" Type="http://schemas.openxmlformats.org/officeDocument/2006/relationships/hyperlink" Target="https://advance.lexis.com/api/document?collection=cases-ca&amp;id=urn:contentItem:5K6Y-81N1-JFDC-X1FX-00000-00&amp;context=" TargetMode="External" /><Relationship Id="rId206" Type="http://schemas.openxmlformats.org/officeDocument/2006/relationships/hyperlink" Target="https://advance.lexis.com/api/document?collection=cases-ca&amp;id=urn:contentItem:5F7T-S7N1-JC5P-G2BJ-00000-00&amp;context=" TargetMode="External" /><Relationship Id="rId207" Type="http://schemas.openxmlformats.org/officeDocument/2006/relationships/hyperlink" Target="https://advance.lexis.com/api/document?collection=cases-ca&amp;id=urn:contentItem:5F7T-S7N1-F06F-24B0-00000-00&amp;context=" TargetMode="External" /><Relationship Id="rId208" Type="http://schemas.openxmlformats.org/officeDocument/2006/relationships/hyperlink" Target="https://advance.lexis.com/api/document?collection=cases-ca&amp;id=urn:contentItem:5F7T-S7P1-JG02-S3WT-00000-00&amp;context=" TargetMode="External" /><Relationship Id="rId209" Type="http://schemas.openxmlformats.org/officeDocument/2006/relationships/hyperlink" Target="https://advance.lexis.com/api/document?collection=cases-ca&amp;id=urn:contentItem:5F7T-S7K1-DY33-B1KS-00000-00&amp;context=" TargetMode="External" /><Relationship Id="rId21" Type="http://schemas.openxmlformats.org/officeDocument/2006/relationships/hyperlink" Target="https://advance.lexis.com/api/document?collection=cases-ca&amp;id=urn:contentItem:5F7T-S7N1-F06F-24KX-00000-00&amp;context=" TargetMode="External" /><Relationship Id="rId210" Type="http://schemas.openxmlformats.org/officeDocument/2006/relationships/hyperlink" Target="https://advance.lexis.com/api/document?collection=cases-ca&amp;id=urn:contentItem:5F7T-S7N1-F57G-S2PF-00000-00&amp;context=" TargetMode="External" /><Relationship Id="rId211" Type="http://schemas.openxmlformats.org/officeDocument/2006/relationships/hyperlink" Target="https://advance.lexis.com/api/document?collection=cases-ca&amp;id=urn:contentItem:5F7T-S7F1-JK4W-M1P3-00000-00&amp;context=" TargetMode="External" /><Relationship Id="rId212" Type="http://schemas.openxmlformats.org/officeDocument/2006/relationships/hyperlink" Target="https://advance.lexis.com/api/document?collection=cases-ca&amp;id=urn:contentItem:5F7T-S701-JF75-M4N2-00000-00&amp;context=" TargetMode="External" /><Relationship Id="rId213" Type="http://schemas.openxmlformats.org/officeDocument/2006/relationships/hyperlink" Target="https://advance.lexis.com/api/document?collection=cases-ca&amp;id=urn:contentItem:5F7T-S731-F1WF-M2HD-00000-00&amp;context=" TargetMode="External" /><Relationship Id="rId214" Type="http://schemas.openxmlformats.org/officeDocument/2006/relationships/hyperlink" Target="https://advance.lexis.com/api/document?collection=cases-ca&amp;id=urn:contentItem:5F7T-S731-DY33-B0YN-00000-00&amp;context=" TargetMode="External" /><Relationship Id="rId215" Type="http://schemas.openxmlformats.org/officeDocument/2006/relationships/hyperlink" Target="https://advance.lexis.com/api/document?collection=cases-ca&amp;id=urn:contentItem:5F7T-S7F1-DXWW-24HM-00000-00&amp;context=" TargetMode="External" /><Relationship Id="rId216" Type="http://schemas.openxmlformats.org/officeDocument/2006/relationships/header" Target="header22.xml" /><Relationship Id="rId217" Type="http://schemas.openxmlformats.org/officeDocument/2006/relationships/header" Target="header23.xml" /><Relationship Id="rId218" Type="http://schemas.openxmlformats.org/officeDocument/2006/relationships/footer" Target="footer22.xml" /><Relationship Id="rId219" Type="http://schemas.openxmlformats.org/officeDocument/2006/relationships/footer" Target="footer23.xml" /><Relationship Id="rId22" Type="http://schemas.openxmlformats.org/officeDocument/2006/relationships/hyperlink" Target="https://advance.lexis.com/api/document?collection=cases-ca&amp;id=urn:contentItem:5F82-1SJ1-FGY5-M50Y-00000-00&amp;context=" TargetMode="External" /><Relationship Id="rId220" Type="http://schemas.openxmlformats.org/officeDocument/2006/relationships/header" Target="header24.xml" /><Relationship Id="rId221" Type="http://schemas.openxmlformats.org/officeDocument/2006/relationships/footer" Target="footer24.xml" /><Relationship Id="rId222" Type="http://schemas.openxmlformats.org/officeDocument/2006/relationships/hyperlink" Target="https://advance.lexis.com/api/document?collection=cases-ca&amp;id=urn:contentItem:5F7T-S7K1-JSJC-X15H-00000-00&amp;context=" TargetMode="External" /><Relationship Id="rId223" Type="http://schemas.openxmlformats.org/officeDocument/2006/relationships/hyperlink" Target="https://advance.lexis.com/api/document?collection=cases-ca&amp;id=urn:contentItem:5F8T-N3T1-JGHR-M1TK-00000-00&amp;context=" TargetMode="External" /><Relationship Id="rId224" Type="http://schemas.openxmlformats.org/officeDocument/2006/relationships/hyperlink" Target="https://advance.lexis.com/api/document?collection=cases-ca&amp;id=urn:contentItem:5F8T-N3R1-FJDY-X3BB-00000-00&amp;context=" TargetMode="External" /><Relationship Id="rId225" Type="http://schemas.openxmlformats.org/officeDocument/2006/relationships/hyperlink" Target="https://advance.lexis.com/api/document?collection=cases-ca&amp;id=urn:contentItem:5F7T-S6R1-JW09-M09C-00000-00&amp;context=" TargetMode="External" /><Relationship Id="rId226" Type="http://schemas.openxmlformats.org/officeDocument/2006/relationships/header" Target="header25.xml" /><Relationship Id="rId227" Type="http://schemas.openxmlformats.org/officeDocument/2006/relationships/header" Target="header26.xml" /><Relationship Id="rId228" Type="http://schemas.openxmlformats.org/officeDocument/2006/relationships/footer" Target="footer25.xml" /><Relationship Id="rId229" Type="http://schemas.openxmlformats.org/officeDocument/2006/relationships/footer" Target="footer26.xml" /><Relationship Id="rId23" Type="http://schemas.openxmlformats.org/officeDocument/2006/relationships/hyperlink" Target="https://advance.lexis.com/api/document?collection=cases-ca&amp;id=urn:contentItem:5F7T-S7M1-JCRC-B1X4-00000-00&amp;context=" TargetMode="External" /><Relationship Id="rId230" Type="http://schemas.openxmlformats.org/officeDocument/2006/relationships/header" Target="header27.xml" /><Relationship Id="rId231" Type="http://schemas.openxmlformats.org/officeDocument/2006/relationships/footer" Target="footer27.xml" /><Relationship Id="rId232" Type="http://schemas.openxmlformats.org/officeDocument/2006/relationships/hyperlink" Target="https://advance.lexis.com/api/document?collection=cases-ca&amp;id=urn:contentItem:5XB5-SP81-JP9P-G17F-00000-00&amp;context=" TargetMode="External" /><Relationship Id="rId233" Type="http://schemas.openxmlformats.org/officeDocument/2006/relationships/hyperlink" Target="https://advance.lexis.com/api/document?collection=cases-ca&amp;id=urn:contentItem:5W4G-7M61-JB7K-208C-00000-00&amp;context=" TargetMode="External" /><Relationship Id="rId234" Type="http://schemas.openxmlformats.org/officeDocument/2006/relationships/hyperlink" Target="https://advance.lexis.com/api/document?collection=legislation-ca&amp;id=urn:contentItem:5F41-1FJ1-JKPJ-G0P7-00000-00&amp;context=" TargetMode="External" /><Relationship Id="rId235" Type="http://schemas.openxmlformats.org/officeDocument/2006/relationships/hyperlink" Target="https://advance.lexis.com/api/document?collection=cases-ca&amp;id=urn:contentItem:5F7T-S7P1-JBDT-B196-00000-00&amp;context=" TargetMode="External" /><Relationship Id="rId236" Type="http://schemas.openxmlformats.org/officeDocument/2006/relationships/hyperlink" Target="https://advance.lexis.com/api/document?collection=cases-ca&amp;id=urn:contentItem:5G4S-FF61-K0HK-24T6-00000-00&amp;context=" TargetMode="External" /><Relationship Id="rId237" Type="http://schemas.openxmlformats.org/officeDocument/2006/relationships/hyperlink" Target="https://advance.lexis.com/api/document?collection=cases-ca&amp;id=urn:contentItem:5F7T-S7M1-F4W2-6236-00000-00&amp;context=" TargetMode="External" /><Relationship Id="rId238" Type="http://schemas.openxmlformats.org/officeDocument/2006/relationships/hyperlink" Target="https://advance.lexis.com/api/document?collection=cases-ca&amp;id=urn:contentItem:5F16-9371-JT99-21XC-00000-00&amp;context=" TargetMode="External" /><Relationship Id="rId239" Type="http://schemas.openxmlformats.org/officeDocument/2006/relationships/hyperlink" Target="https://advance.lexis.com/api/document?collection=cases-ca&amp;id=urn:contentItem:5T6R-RXX1-JC5P-G17T-00000-00&amp;context=" TargetMode="External" /><Relationship Id="rId24" Type="http://schemas.openxmlformats.org/officeDocument/2006/relationships/hyperlink" Target="https://advance.lexis.com/api/document?collection=cases-ca&amp;id=urn:contentItem:5F7T-S7P1-F2TK-23B2-00000-00&amp;context=" TargetMode="External" /><Relationship Id="rId240" Type="http://schemas.openxmlformats.org/officeDocument/2006/relationships/hyperlink" Target="https://advance.lexis.com/api/document?collection=cases-ca&amp;id=urn:contentItem:5F7T-S7P1-JNJT-B2SH-00000-00&amp;context=" TargetMode="External" /><Relationship Id="rId241" Type="http://schemas.openxmlformats.org/officeDocument/2006/relationships/hyperlink" Target="https://advance.lexis.com/api/document?collection=cases-ca&amp;id=urn:contentItem:5GF9-8HG1-FCYK-20XG-00000-00&amp;context=" TargetMode="External" /><Relationship Id="rId242" Type="http://schemas.openxmlformats.org/officeDocument/2006/relationships/hyperlink" Target="https://advance.lexis.com/api/document?collection=cases-ca&amp;id=urn:contentItem:5F7T-S7C1-JS0R-2276-00000-00&amp;context=" TargetMode="External" /><Relationship Id="rId243" Type="http://schemas.openxmlformats.org/officeDocument/2006/relationships/hyperlink" Target="https://advance.lexis.com/api/document?collection=cases-ca&amp;id=urn:contentItem:5NHR-M691-FH4C-X2BF-00000-00&amp;context=" TargetMode="External" /><Relationship Id="rId244" Type="http://schemas.openxmlformats.org/officeDocument/2006/relationships/hyperlink" Target="https://advance.lexis.com/api/document?collection=cases-ca&amp;id=urn:contentItem:5G77-HXG1-FCK4-G3X6-00000-00&amp;context=" TargetMode="External" /><Relationship Id="rId245" Type="http://schemas.openxmlformats.org/officeDocument/2006/relationships/hyperlink" Target="https://advance.lexis.com/api/document?collection=cases-ca&amp;id=urn:contentItem:5F7T-S7D1-DY89-M42S-00000-00&amp;context=" TargetMode="External" /><Relationship Id="rId246" Type="http://schemas.openxmlformats.org/officeDocument/2006/relationships/hyperlink" Target="https://advance.lexis.com/api/document?collection=cases-ca&amp;id=urn:contentItem:5HNF-8S81-JB7K-21HK-00000-00&amp;context=" TargetMode="External" /><Relationship Id="rId247" Type="http://schemas.openxmlformats.org/officeDocument/2006/relationships/hyperlink" Target="https://advance.lexis.com/api/document?collection=cases-ca&amp;id=urn:contentItem:5F7T-S7K1-DXWW-2018-00000-00&amp;context=" TargetMode="External" /><Relationship Id="rId248" Type="http://schemas.openxmlformats.org/officeDocument/2006/relationships/hyperlink" Target="https://advance.lexis.com/api/document?collection=cases-ca&amp;id=urn:contentItem:5F7T-S7J1-DXWW-251K-00000-00&amp;context=" TargetMode="External" /><Relationship Id="rId249" Type="http://schemas.openxmlformats.org/officeDocument/2006/relationships/hyperlink" Target="https://advance.lexis.com/api/document?collection=cases-ca&amp;id=urn:contentItem:5F7T-S7H1-JFSV-G30P-00000-00&amp;context=" TargetMode="External" /><Relationship Id="rId25" Type="http://schemas.openxmlformats.org/officeDocument/2006/relationships/hyperlink" Target="https://advance.lexis.com/api/document?collection=cases-ca&amp;id=urn:contentItem:5F7T-S781-F06F-23N7-00000-00&amp;context=" TargetMode="External" /><Relationship Id="rId250" Type="http://schemas.openxmlformats.org/officeDocument/2006/relationships/hyperlink" Target="https://advance.lexis.com/api/document?collection=cases-ca&amp;id=urn:contentItem:5KS2-M7W1-JNY7-X3HR-00000-00&amp;context=" TargetMode="External" /><Relationship Id="rId251" Type="http://schemas.openxmlformats.org/officeDocument/2006/relationships/hyperlink" Target="https://advance.lexis.com/api/document?collection=cases-ca&amp;id=urn:contentItem:5JXC-X5T1-F8SS-616V-00000-00&amp;context=" TargetMode="External" /><Relationship Id="rId252" Type="http://schemas.openxmlformats.org/officeDocument/2006/relationships/header" Target="header28.xml" /><Relationship Id="rId253" Type="http://schemas.openxmlformats.org/officeDocument/2006/relationships/header" Target="header29.xml" /><Relationship Id="rId254" Type="http://schemas.openxmlformats.org/officeDocument/2006/relationships/footer" Target="footer28.xml" /><Relationship Id="rId255" Type="http://schemas.openxmlformats.org/officeDocument/2006/relationships/footer" Target="footer29.xml" /><Relationship Id="rId256" Type="http://schemas.openxmlformats.org/officeDocument/2006/relationships/header" Target="header30.xml" /><Relationship Id="rId257" Type="http://schemas.openxmlformats.org/officeDocument/2006/relationships/footer" Target="footer30.xml" /><Relationship Id="rId258" Type="http://schemas.openxmlformats.org/officeDocument/2006/relationships/hyperlink" Target="https://advance.lexis.com/api/document?collection=cases-ca&amp;id=urn:contentItem:5F7T-S7C1-F4NT-X33J-00000-00&amp;context=" TargetMode="External" /><Relationship Id="rId259" Type="http://schemas.openxmlformats.org/officeDocument/2006/relationships/hyperlink" Target="https://advance.lexis.com/api/document?collection=cases-ca&amp;id=urn:contentItem:5F8T-N3V1-JFKM-609G-00000-00&amp;context=" TargetMode="External" /><Relationship Id="rId26" Type="http://schemas.openxmlformats.org/officeDocument/2006/relationships/hyperlink" Target="https://advance.lexis.com/api/document?collection=cases-ca&amp;id=urn:contentItem:5F7T-S7C1-JSRM-60W1-00000-00&amp;context=" TargetMode="External" /><Relationship Id="rId260" Type="http://schemas.openxmlformats.org/officeDocument/2006/relationships/hyperlink" Target="https://advance.lexis.com/api/document?collection=cases-ca&amp;id=urn:contentItem:5F8N-K6V1-F65M-61J6-00000-00&amp;context=" TargetMode="External" /><Relationship Id="rId261" Type="http://schemas.openxmlformats.org/officeDocument/2006/relationships/hyperlink" Target="https://advance.lexis.com/api/document?collection=cases-ca&amp;id=urn:contentItem:5F7T-S791-JCJ5-24YF-00000-00&amp;context=" TargetMode="External" /><Relationship Id="rId262" Type="http://schemas.openxmlformats.org/officeDocument/2006/relationships/hyperlink" Target="https://advance.lexis.com/api/document?collection=cases-ca&amp;id=urn:contentItem:5F16-92X1-FFFC-B21S-00000-00&amp;context=" TargetMode="External" /><Relationship Id="rId263" Type="http://schemas.openxmlformats.org/officeDocument/2006/relationships/header" Target="header31.xml" /><Relationship Id="rId264" Type="http://schemas.openxmlformats.org/officeDocument/2006/relationships/header" Target="header32.xml" /><Relationship Id="rId265" Type="http://schemas.openxmlformats.org/officeDocument/2006/relationships/footer" Target="footer31.xml" /><Relationship Id="rId266" Type="http://schemas.openxmlformats.org/officeDocument/2006/relationships/footer" Target="footer32.xml" /><Relationship Id="rId267" Type="http://schemas.openxmlformats.org/officeDocument/2006/relationships/header" Target="header33.xml" /><Relationship Id="rId268" Type="http://schemas.openxmlformats.org/officeDocument/2006/relationships/footer" Target="footer33.xml" /><Relationship Id="rId269" Type="http://schemas.openxmlformats.org/officeDocument/2006/relationships/hyperlink" Target="https://advance.lexis.com/api/document?collection=cases-ca&amp;id=urn:contentItem:5K6X-H241-JNS1-M0HV-00000-00&amp;context=" TargetMode="External" /><Relationship Id="rId27" Type="http://schemas.openxmlformats.org/officeDocument/2006/relationships/hyperlink" Target="https://advance.lexis.com/api/document?collection=cases-ca&amp;id=urn:contentItem:5F8T-N3V1-JTGH-B153-00000-00&amp;context=" TargetMode="External" /><Relationship Id="rId270" Type="http://schemas.openxmlformats.org/officeDocument/2006/relationships/hyperlink" Target="https://advance.lexis.com/api/document?collection=cases-ca&amp;id=urn:contentItem:5F7T-S7F1-JK4W-M1BH-00000-00&amp;context=" TargetMode="External" /><Relationship Id="rId271" Type="http://schemas.openxmlformats.org/officeDocument/2006/relationships/header" Target="header34.xml" /><Relationship Id="rId272" Type="http://schemas.openxmlformats.org/officeDocument/2006/relationships/header" Target="header35.xml" /><Relationship Id="rId273" Type="http://schemas.openxmlformats.org/officeDocument/2006/relationships/footer" Target="footer34.xml" /><Relationship Id="rId274" Type="http://schemas.openxmlformats.org/officeDocument/2006/relationships/footer" Target="footer35.xml" /><Relationship Id="rId275" Type="http://schemas.openxmlformats.org/officeDocument/2006/relationships/header" Target="header36.xml" /><Relationship Id="rId276" Type="http://schemas.openxmlformats.org/officeDocument/2006/relationships/footer" Target="footer36.xml" /><Relationship Id="rId277" Type="http://schemas.openxmlformats.org/officeDocument/2006/relationships/hyperlink" Target="https://advance.lexis.com/api/document?collection=cases-ca&amp;id=urn:contentItem:5F7T-S7N1-DXWW-20K1-00000-00&amp;context=" TargetMode="External" /><Relationship Id="rId278" Type="http://schemas.openxmlformats.org/officeDocument/2006/relationships/hyperlink" Target="https://advance.lexis.com/api/document?collection=cases-ca&amp;id=urn:contentItem:5K6Y-81N1-JFDC-X1H5-00000-00&amp;context=" TargetMode="External" /><Relationship Id="rId279" Type="http://schemas.openxmlformats.org/officeDocument/2006/relationships/hyperlink" Target="https://advance.lexis.com/api/document?collection=cases-ca&amp;id=urn:contentItem:5F7T-S6R1-JGPY-X0T3-00000-00&amp;context=" TargetMode="External" /><Relationship Id="rId28" Type="http://schemas.openxmlformats.org/officeDocument/2006/relationships/hyperlink" Target="https://advance.lexis.com/api/document?collection=cases-ca&amp;id=urn:contentItem:5F8T-N3V1-JF75-M3S6-00000-00&amp;context=" TargetMode="External" /><Relationship Id="rId280" Type="http://schemas.openxmlformats.org/officeDocument/2006/relationships/hyperlink" Target="https://advance.lexis.com/api/document?collection=cases-ca&amp;id=urn:contentItem:5F8T-N3R1-JNS1-M0V2-00000-00&amp;context=" TargetMode="External" /><Relationship Id="rId281" Type="http://schemas.openxmlformats.org/officeDocument/2006/relationships/hyperlink" Target="https://advance.lexis.com/api/document?collection=cases-ca&amp;id=urn:contentItem:5F8T-N3R1-JNS1-M12F-00000-00&amp;context=" TargetMode="External" /><Relationship Id="rId282" Type="http://schemas.openxmlformats.org/officeDocument/2006/relationships/hyperlink" Target="https://advance.lexis.com/api/document?collection=cases-ca&amp;id=urn:contentItem:5F7T-S7D1-F7ND-G0G2-00000-00&amp;context=" TargetMode="External" /><Relationship Id="rId283" Type="http://schemas.openxmlformats.org/officeDocument/2006/relationships/hyperlink" Target="https://advance.lexis.com/api/document?collection=cases-ca&amp;id=urn:contentItem:5F8T-N3P1-FC6N-X1FS-00000-00&amp;context=" TargetMode="External" /><Relationship Id="rId284" Type="http://schemas.openxmlformats.org/officeDocument/2006/relationships/hyperlink" Target="https://advance.lexis.com/api/document?collection=cases-ca&amp;id=urn:contentItem:5F7T-S7F1-FBN1-21PV-00000-00&amp;context=" TargetMode="External" /><Relationship Id="rId285" Type="http://schemas.openxmlformats.org/officeDocument/2006/relationships/hyperlink" Target="https://advance.lexis.com/api/document?collection=cases-ca&amp;id=urn:contentItem:5F7T-S751-JBM1-M2CY-00000-00&amp;context=" TargetMode="External" /><Relationship Id="rId286" Type="http://schemas.openxmlformats.org/officeDocument/2006/relationships/hyperlink" Target="https://advance.lexis.com/api/document?collection=cases-ca&amp;id=urn:contentItem:5F7T-S761-JGHR-M2PP-00000-00&amp;context=" TargetMode="External" /><Relationship Id="rId287" Type="http://schemas.openxmlformats.org/officeDocument/2006/relationships/hyperlink" Target="https://advance.lexis.com/api/document?collection=cases-ca&amp;id=urn:contentItem:5F7T-S711-F27X-60PD-00000-00&amp;context=" TargetMode="External" /><Relationship Id="rId288" Type="http://schemas.openxmlformats.org/officeDocument/2006/relationships/hyperlink" Target="https://advance.lexis.com/api/document?collection=cases-ca&amp;id=urn:contentItem:5F7T-S7N1-F57G-S2JB-00000-00&amp;context=" TargetMode="External" /><Relationship Id="rId289" Type="http://schemas.openxmlformats.org/officeDocument/2006/relationships/hyperlink" Target="https://advance.lexis.com/api/document?collection=cases-ca&amp;id=urn:contentItem:5F7T-S701-JF75-M4PY-00000-00&amp;context=" TargetMode="External" /><Relationship Id="rId29" Type="http://schemas.openxmlformats.org/officeDocument/2006/relationships/hyperlink" Target="https://advance.lexis.com/api/document?collection=cases-ca&amp;id=urn:contentItem:5F8T-N3T1-JFKM-655K-00000-00&amp;context=" TargetMode="External" /><Relationship Id="rId290" Type="http://schemas.openxmlformats.org/officeDocument/2006/relationships/hyperlink" Target="https://advance.lexis.com/api/document?collection=cases-ca&amp;id=urn:contentItem:5F16-93C1-JNCK-238H-00000-00&amp;context=" TargetMode="External" /><Relationship Id="rId291" Type="http://schemas.openxmlformats.org/officeDocument/2006/relationships/hyperlink" Target="https://advance.lexis.com/api/document?collection=cases-ca&amp;id=urn:contentItem:5F7T-S741-DXPM-S13T-00000-00&amp;context=" TargetMode="External" /><Relationship Id="rId292" Type="http://schemas.openxmlformats.org/officeDocument/2006/relationships/hyperlink" Target="https://advance.lexis.com/api/document?collection=cases-ca&amp;id=urn:contentItem:5F7T-XPR1-F65M-625F-00000-00&amp;context=" TargetMode="External" /><Relationship Id="rId293" Type="http://schemas.openxmlformats.org/officeDocument/2006/relationships/hyperlink" Target="https://advance.lexis.com/api/document?collection=cases-ca&amp;id=urn:contentItem:5F7T-S7K1-JSJC-X13X-00000-00&amp;context=" TargetMode="External" /><Relationship Id="rId294" Type="http://schemas.openxmlformats.org/officeDocument/2006/relationships/hyperlink" Target="https://advance.lexis.com/api/document?collection=cases-ca&amp;id=urn:contentItem:5F7T-S751-JGHR-M20M-00000-00&amp;context=" TargetMode="External" /><Relationship Id="rId295" Type="http://schemas.openxmlformats.org/officeDocument/2006/relationships/hyperlink" Target="https://advance.lexis.com/api/document?collection=cases-ca&amp;id=urn:contentItem:5F81-VJS1-JNY7-X34G-00000-00&amp;context=" TargetMode="External" /><Relationship Id="rId296" Type="http://schemas.openxmlformats.org/officeDocument/2006/relationships/hyperlink" Target="https://advance.lexis.com/api/document?collection=cases-ca&amp;id=urn:contentItem:5F81-WC31-F5KY-B4SM-00000-00&amp;context=" TargetMode="External" /><Relationship Id="rId297" Type="http://schemas.openxmlformats.org/officeDocument/2006/relationships/hyperlink" Target="https://advance.lexis.com/api/document?collection=cases-ca&amp;id=urn:contentItem:5F8T-N3P1-FC6N-X1BS-00000-00&amp;context=" TargetMode="External" /><Relationship Id="rId298" Type="http://schemas.openxmlformats.org/officeDocument/2006/relationships/hyperlink" Target="https://advance.lexis.com/api/document?collection=cases-ca&amp;id=urn:contentItem:5F7T-S711-JG02-S1F6-00000-00&amp;context=" TargetMode="External" /><Relationship Id="rId299" Type="http://schemas.openxmlformats.org/officeDocument/2006/relationships/header" Target="header37.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N1-DXWW-206B-00000-00&amp;context=" TargetMode="External" /><Relationship Id="rId300" Type="http://schemas.openxmlformats.org/officeDocument/2006/relationships/header" Target="header38.xml" /><Relationship Id="rId301" Type="http://schemas.openxmlformats.org/officeDocument/2006/relationships/footer" Target="footer37.xml" /><Relationship Id="rId302" Type="http://schemas.openxmlformats.org/officeDocument/2006/relationships/footer" Target="footer38.xml" /><Relationship Id="rId303" Type="http://schemas.openxmlformats.org/officeDocument/2006/relationships/header" Target="header39.xml" /><Relationship Id="rId304" Type="http://schemas.openxmlformats.org/officeDocument/2006/relationships/footer" Target="footer39.xml" /><Relationship Id="rId305" Type="http://schemas.openxmlformats.org/officeDocument/2006/relationships/hyperlink" Target="https://advance.lexis.com/api/document?collection=cases-ca&amp;id=urn:contentItem:5F7T-S7C1-F30T-B2B6-00000-00&amp;context=" TargetMode="External" /><Relationship Id="rId306" Type="http://schemas.openxmlformats.org/officeDocument/2006/relationships/hyperlink" Target="https://advance.lexis.com/api/document?collection=cases-ca&amp;id=urn:contentItem:5F7T-S7C1-FGRY-B049-00000-00&amp;context=" TargetMode="External" /><Relationship Id="rId307" Type="http://schemas.openxmlformats.org/officeDocument/2006/relationships/hyperlink" Target="https://advance.lexis.com/api/document?collection=cases-ca&amp;id=urn:contentItem:5F7T-S771-FG68-G10N-00000-00&amp;context=" TargetMode="External" /><Relationship Id="rId308" Type="http://schemas.openxmlformats.org/officeDocument/2006/relationships/hyperlink" Target="https://advance.lexis.com/api/document?collection=cases-ca&amp;id=urn:contentItem:5F7T-S781-F7G6-63ST-00000-00&amp;context=" TargetMode="External" /><Relationship Id="rId309" Type="http://schemas.openxmlformats.org/officeDocument/2006/relationships/hyperlink" Target="https://advance.lexis.com/api/document?collection=cases-ca&amp;id=urn:contentItem:5F7T-S6Y1-JP9P-G1F0-00000-00&amp;context=" TargetMode="External" /><Relationship Id="rId31" Type="http://schemas.openxmlformats.org/officeDocument/2006/relationships/hyperlink" Target="https://advance.lexis.com/api/document?collection=cases-ca&amp;id=urn:contentItem:5F7T-S7K1-F528-G2XC-00000-00&amp;context=" TargetMode="External" /><Relationship Id="rId310" Type="http://schemas.openxmlformats.org/officeDocument/2006/relationships/hyperlink" Target="https://advance.lexis.com/api/document?collection=cases-ca&amp;id=urn:contentItem:5F81-VJV1-JK4W-M4GH-00000-00&amp;context=" TargetMode="External" /><Relationship Id="rId311" Type="http://schemas.openxmlformats.org/officeDocument/2006/relationships/hyperlink" Target="https://advance.lexis.com/api/document?collection=cases-ca&amp;id=urn:contentItem:5F7T-S741-F57G-S1MJ-00000-00&amp;context=" TargetMode="External" /><Relationship Id="rId312" Type="http://schemas.openxmlformats.org/officeDocument/2006/relationships/hyperlink" Target="https://advance.lexis.com/api/document?collection=cases-ca&amp;id=urn:contentItem:5F8T-N3V1-FC1F-M4C6-00000-00&amp;context=" TargetMode="External" /><Relationship Id="rId313" Type="http://schemas.openxmlformats.org/officeDocument/2006/relationships/hyperlink" Target="https://advance.lexis.com/api/document?collection=cases-ca&amp;id=urn:contentItem:5F8T-N3V1-JF75-M3HC-00000-00&amp;context=" TargetMode="External" /><Relationship Id="rId314" Type="http://schemas.openxmlformats.org/officeDocument/2006/relationships/hyperlink" Target="https://advance.lexis.com/api/document?collection=cases-ca&amp;id=urn:contentItem:5F7T-S721-JSC5-M3JG-00000-00&amp;context=" TargetMode="External" /><Relationship Id="rId315" Type="http://schemas.openxmlformats.org/officeDocument/2006/relationships/header" Target="header40.xml" /><Relationship Id="rId316" Type="http://schemas.openxmlformats.org/officeDocument/2006/relationships/header" Target="header41.xml" /><Relationship Id="rId317" Type="http://schemas.openxmlformats.org/officeDocument/2006/relationships/footer" Target="footer40.xml" /><Relationship Id="rId318" Type="http://schemas.openxmlformats.org/officeDocument/2006/relationships/footer" Target="footer41.xml" /><Relationship Id="rId319" Type="http://schemas.openxmlformats.org/officeDocument/2006/relationships/header" Target="header42.xml" /><Relationship Id="rId32" Type="http://schemas.openxmlformats.org/officeDocument/2006/relationships/hyperlink" Target="https://advance.lexis.com/api/document?collection=cases-ca&amp;id=urn:contentItem:5F7T-S7M1-F4W2-626V-00000-00&amp;context=" TargetMode="External" /><Relationship Id="rId320" Type="http://schemas.openxmlformats.org/officeDocument/2006/relationships/footer" Target="footer42.xml" /><Relationship Id="rId321" Type="http://schemas.openxmlformats.org/officeDocument/2006/relationships/hyperlink" Target="https://advance.lexis.com/api/document?collection=cases-ca&amp;id=urn:contentItem:5F7T-S7B1-F7ND-G504-00000-00&amp;context=" TargetMode="External" /><Relationship Id="rId322" Type="http://schemas.openxmlformats.org/officeDocument/2006/relationships/hyperlink" Target="https://advance.lexis.com/api/document?collection=legislation-ca&amp;id=urn:contentItem:5F97-RBP1-F5T5-M13G-00000-00&amp;context=" TargetMode="External" /><Relationship Id="rId323" Type="http://schemas.openxmlformats.org/officeDocument/2006/relationships/hyperlink" Target="https://advance.lexis.com/api/document?collection=cases-ca&amp;id=urn:contentItem:5F7T-S711-JB2B-S0SC-00000-00&amp;context=" TargetMode="External" /><Relationship Id="rId324" Type="http://schemas.openxmlformats.org/officeDocument/2006/relationships/hyperlink" Target="https://advance.lexis.com/api/document?collection=cases-ca&amp;id=urn:contentItem:5F7T-S791-FJTD-G2N1-00000-00&amp;context=" TargetMode="External" /><Relationship Id="rId325" Type="http://schemas.openxmlformats.org/officeDocument/2006/relationships/hyperlink" Target="https://advance.lexis.com/api/document?collection=cases-ca&amp;id=urn:contentItem:5F8T-N3S1-JT99-24M9-00000-00&amp;context=" TargetMode="External" /><Relationship Id="rId326" Type="http://schemas.openxmlformats.org/officeDocument/2006/relationships/hyperlink" Target="https://advance.lexis.com/api/document?collection=cases-ca&amp;id=urn:contentItem:5F8T-N3S1-JT99-2520-00000-00&amp;context=" TargetMode="External" /><Relationship Id="rId327" Type="http://schemas.openxmlformats.org/officeDocument/2006/relationships/hyperlink" Target="https://advance.lexis.com/api/document?collection=cases-ca&amp;id=urn:contentItem:5F7T-S6T1-F361-M06H-00000-00&amp;context=" TargetMode="External" /><Relationship Id="rId328" Type="http://schemas.openxmlformats.org/officeDocument/2006/relationships/hyperlink" Target="https://advance.lexis.com/api/document?collection=cases-ca&amp;id=urn:contentItem:5F7T-S701-JBT7-X2DB-00000-00&amp;context=" TargetMode="External" /><Relationship Id="rId329" Type="http://schemas.openxmlformats.org/officeDocument/2006/relationships/hyperlink" Target="https://advance.lexis.com/api/document?collection=cases-ca&amp;id=urn:contentItem:5F8P-SBT1-F8KH-X2D0-00000-00&amp;context=" TargetMode="External" /><Relationship Id="rId33" Type="http://schemas.openxmlformats.org/officeDocument/2006/relationships/hyperlink" Target="https://advance.lexis.com/api/document?collection=cases-ca&amp;id=urn:contentItem:5F7T-S7K1-F1H1-22C1-00000-00&amp;context=" TargetMode="External" /><Relationship Id="rId330" Type="http://schemas.openxmlformats.org/officeDocument/2006/relationships/hyperlink" Target="https://advance.lexis.com/api/document?collection=cases-ca&amp;id=urn:contentItem:5F8T-N3P1-FBV7-B553-00000-00&amp;context=" TargetMode="External" /><Relationship Id="rId331" Type="http://schemas.openxmlformats.org/officeDocument/2006/relationships/hyperlink" Target="https://advance.lexis.com/api/document?collection=cases-ca&amp;id=urn:contentItem:5F7T-S701-JF75-M45C-00000-00&amp;context=" TargetMode="External" /><Relationship Id="rId332" Type="http://schemas.openxmlformats.org/officeDocument/2006/relationships/hyperlink" Target="https://advance.lexis.com/api/document?collection=cases-ca&amp;id=urn:contentItem:5F7T-S6Y1-JPP5-21H9-00000-00&amp;context=" TargetMode="External" /><Relationship Id="rId333" Type="http://schemas.openxmlformats.org/officeDocument/2006/relationships/header" Target="header43.xml" /><Relationship Id="rId334" Type="http://schemas.openxmlformats.org/officeDocument/2006/relationships/header" Target="header44.xml" /><Relationship Id="rId335" Type="http://schemas.openxmlformats.org/officeDocument/2006/relationships/footer" Target="footer43.xml" /><Relationship Id="rId336" Type="http://schemas.openxmlformats.org/officeDocument/2006/relationships/footer" Target="footer44.xml" /><Relationship Id="rId337" Type="http://schemas.openxmlformats.org/officeDocument/2006/relationships/header" Target="header45.xml" /><Relationship Id="rId338" Type="http://schemas.openxmlformats.org/officeDocument/2006/relationships/footer" Target="footer45.xml" /><Relationship Id="rId339" Type="http://schemas.openxmlformats.org/officeDocument/2006/relationships/hyperlink" Target="https://advance.lexis.com/api/document?collection=cases-ca&amp;id=urn:contentItem:5WGP-WYK1-JKHB-63J7-00000-00&amp;context=" TargetMode="External" /><Relationship Id="rId34" Type="http://schemas.openxmlformats.org/officeDocument/2006/relationships/hyperlink" Target="https://advance.lexis.com/api/document?collection=cases-ca&amp;id=urn:contentItem:5F7T-S7D1-FBFS-S1M7-00000-00&amp;context=" TargetMode="External" /><Relationship Id="rId340" Type="http://schemas.openxmlformats.org/officeDocument/2006/relationships/hyperlink" Target="https://advance.lexis.com/api/document?collection=cases-ca&amp;id=urn:contentItem:5XS5-37N1-FJTD-G2HN-00000-00&amp;context=" TargetMode="External" /><Relationship Id="rId341" Type="http://schemas.openxmlformats.org/officeDocument/2006/relationships/hyperlink" Target="https://advance.lexis.com/api/document?collection=cases-ca&amp;id=urn:contentItem:5SR9-JCX1-DXPM-S0NT-00000-00&amp;context=" TargetMode="External" /><Relationship Id="rId342" Type="http://schemas.openxmlformats.org/officeDocument/2006/relationships/hyperlink" Target="https://advance.lexis.com/api/document?collection=cases-ca&amp;id=urn:contentItem:5PCD-G8K1-JP4G-61K1-00000-00&amp;context=" TargetMode="External" /><Relationship Id="rId343" Type="http://schemas.openxmlformats.org/officeDocument/2006/relationships/hyperlink" Target="https://advance.lexis.com/api/document?collection=cases-ca&amp;id=urn:contentItem:5TMG-3WN1-JC5P-G116-00000-00&amp;context=" TargetMode="External" /><Relationship Id="rId344" Type="http://schemas.openxmlformats.org/officeDocument/2006/relationships/hyperlink" Target="https://advance.lexis.com/api/document?collection=cases-ca&amp;id=urn:contentItem:5GWF-M0T1-F8KH-X2FP-00000-00&amp;context=" TargetMode="External" /><Relationship Id="rId345" Type="http://schemas.openxmlformats.org/officeDocument/2006/relationships/hyperlink" Target="https://advance.lexis.com/api/document?collection=cases-ca&amp;id=urn:contentItem:5PWP-KW51-DXHD-G1R3-00000-00&amp;context=" TargetMode="External" /><Relationship Id="rId346" Type="http://schemas.openxmlformats.org/officeDocument/2006/relationships/hyperlink" Target="https://advance.lexis.com/api/document?collection=cases-ca&amp;id=urn:contentItem:5T64-7581-F65M-613N-00000-00&amp;context=" TargetMode="External" /><Relationship Id="rId347" Type="http://schemas.openxmlformats.org/officeDocument/2006/relationships/hyperlink" Target="https://advance.lexis.com/api/document?collection=cases-ca&amp;id=urn:contentItem:5K0Y-G9P1-DYMS-61NV-00000-00&amp;context=" TargetMode="External" /><Relationship Id="rId348" Type="http://schemas.openxmlformats.org/officeDocument/2006/relationships/header" Target="header46.xml" /><Relationship Id="rId349" Type="http://schemas.openxmlformats.org/officeDocument/2006/relationships/header" Target="header47.xml" /><Relationship Id="rId35" Type="http://schemas.openxmlformats.org/officeDocument/2006/relationships/hyperlink" Target="https://advance.lexis.com/api/document?collection=cases-ca&amp;id=urn:contentItem:5F82-1SF1-F361-M45M-00000-00&amp;context=" TargetMode="External" /><Relationship Id="rId350" Type="http://schemas.openxmlformats.org/officeDocument/2006/relationships/footer" Target="footer46.xml" /><Relationship Id="rId351" Type="http://schemas.openxmlformats.org/officeDocument/2006/relationships/footer" Target="footer47.xml" /><Relationship Id="rId352" Type="http://schemas.openxmlformats.org/officeDocument/2006/relationships/header" Target="header48.xml" /><Relationship Id="rId353" Type="http://schemas.openxmlformats.org/officeDocument/2006/relationships/footer" Target="footer48.xml" /><Relationship Id="rId354" Type="http://schemas.openxmlformats.org/officeDocument/2006/relationships/hyperlink" Target="https://advance.lexis.com/api/document?collection=cases-ca&amp;id=urn:contentItem:5F7T-S771-F81W-22HW-00000-00&amp;context=" TargetMode="External" /><Relationship Id="rId355" Type="http://schemas.openxmlformats.org/officeDocument/2006/relationships/hyperlink" Target="https://advance.lexis.com/api/document?collection=cases-ca&amp;id=urn:contentItem:5F8T-N3T1-JGHR-M21F-00000-00&amp;context=" TargetMode="External" /><Relationship Id="rId356" Type="http://schemas.openxmlformats.org/officeDocument/2006/relationships/hyperlink" Target="https://advance.lexis.com/api/document?collection=cases-ca&amp;id=urn:contentItem:5F7T-S6Y1-JNY7-X2P6-00000-00&amp;context=" TargetMode="External" /><Relationship Id="rId357" Type="http://schemas.openxmlformats.org/officeDocument/2006/relationships/hyperlink" Target="https://advance.lexis.com/api/document?collection=cases-ca&amp;id=urn:contentItem:5F8T-N3T1-JFKM-6524-00000-00&amp;context=" TargetMode="External" /><Relationship Id="rId358" Type="http://schemas.openxmlformats.org/officeDocument/2006/relationships/hyperlink" Target="https://advance.lexis.com/api/document?collection=cases-ca&amp;id=urn:contentItem:5F81-VJX1-F5T5-M3YH-00000-00&amp;context=" TargetMode="External" /><Relationship Id="rId359" Type="http://schemas.openxmlformats.org/officeDocument/2006/relationships/header" Target="header49.xml" /><Relationship Id="rId36" Type="http://schemas.openxmlformats.org/officeDocument/2006/relationships/hyperlink" Target="https://advance.lexis.com/api/document?collection=cases-ca&amp;id=urn:contentItem:5KD1-W4V1-JC5P-G3DR-00000-00&amp;context=" TargetMode="External" /><Relationship Id="rId360" Type="http://schemas.openxmlformats.org/officeDocument/2006/relationships/header" Target="header50.xml" /><Relationship Id="rId361" Type="http://schemas.openxmlformats.org/officeDocument/2006/relationships/footer" Target="footer49.xml" /><Relationship Id="rId362" Type="http://schemas.openxmlformats.org/officeDocument/2006/relationships/footer" Target="footer50.xml" /><Relationship Id="rId363" Type="http://schemas.openxmlformats.org/officeDocument/2006/relationships/header" Target="header51.xml" /><Relationship Id="rId364" Type="http://schemas.openxmlformats.org/officeDocument/2006/relationships/footer" Target="footer51.xml" /><Relationship Id="rId365" Type="http://schemas.openxmlformats.org/officeDocument/2006/relationships/hyperlink" Target="https://advance.lexis.com/api/document?collection=cases-ca&amp;id=urn:contentItem:5SRY-8JT1-JW5H-X4R0-00000-00&amp;context=" TargetMode="External" /><Relationship Id="rId366" Type="http://schemas.openxmlformats.org/officeDocument/2006/relationships/hyperlink" Target="https://advance.lexis.com/api/document?collection=legislation-ca&amp;id=urn:contentItem:5F41-1FG1-FC1F-M0TR-00000-00&amp;context=" TargetMode="External" /><Relationship Id="rId367" Type="http://schemas.openxmlformats.org/officeDocument/2006/relationships/hyperlink" Target="https://advance.lexis.com/api/document?collection=legislation-ca&amp;id=urn:contentItem:5F41-1FG1-FC1F-M0TW-00000-00&amp;context=" TargetMode="External" /><Relationship Id="rId368" Type="http://schemas.openxmlformats.org/officeDocument/2006/relationships/hyperlink" Target="https://advance.lexis.com/api/document?collection=cases-ca&amp;id=urn:contentItem:5F7T-S741-F2F4-G2CF-00000-00&amp;context=" TargetMode="External" /><Relationship Id="rId369" Type="http://schemas.openxmlformats.org/officeDocument/2006/relationships/hyperlink" Target="https://advance.lexis.com/api/document?collection=cases-ca&amp;id=urn:contentItem:5F8P-SBT1-F8KH-X2PR-00000-00&amp;context=" TargetMode="External" /><Relationship Id="rId37" Type="http://schemas.openxmlformats.org/officeDocument/2006/relationships/hyperlink" Target="https://advance.lexis.com/api/document?collection=cases-ca&amp;id=urn:contentItem:5G3H-VVF1-JSRM-62MX-00000-00&amp;context=" TargetMode="External" /><Relationship Id="rId370" Type="http://schemas.openxmlformats.org/officeDocument/2006/relationships/hyperlink" Target="https://advance.lexis.com/api/document?collection=cases-ca&amp;id=urn:contentItem:5F7T-S7F1-FJTD-G3CT-00000-00&amp;context=" TargetMode="External" /><Relationship Id="rId371" Type="http://schemas.openxmlformats.org/officeDocument/2006/relationships/hyperlink" Target="https://advance.lexis.com/api/document?collection=cases-ca&amp;id=urn:contentItem:5F7T-S6T1-F361-M02B-00000-00&amp;context=" TargetMode="External" /><Relationship Id="rId372" Type="http://schemas.openxmlformats.org/officeDocument/2006/relationships/hyperlink" Target="https://advance.lexis.com/api/document?collection=cases-ca&amp;id=urn:contentItem:5F7T-S7C1-JSRM-60TH-00000-00&amp;context=" TargetMode="External" /><Relationship Id="rId373" Type="http://schemas.openxmlformats.org/officeDocument/2006/relationships/hyperlink" Target="https://advance.lexis.com/api/document?collection=cases-ca&amp;id=urn:contentItem:5F7T-S761-JS5Y-B1R2-00000-00&amp;context=" TargetMode="External" /><Relationship Id="rId374" Type="http://schemas.openxmlformats.org/officeDocument/2006/relationships/hyperlink" Target="https://advance.lexis.com/api/document?collection=cases-ca&amp;id=urn:contentItem:5GCC-XVB1-JSXV-G04V-00000-00&amp;context=" TargetMode="External" /><Relationship Id="rId375" Type="http://schemas.openxmlformats.org/officeDocument/2006/relationships/hyperlink" Target="https://advance.lexis.com/api/document?collection=cases-ca&amp;id=urn:contentItem:5F7T-S7D1-JS5Y-B29P-00000-00&amp;context=" TargetMode="External" /><Relationship Id="rId376" Type="http://schemas.openxmlformats.org/officeDocument/2006/relationships/hyperlink" Target="https://advance.lexis.com/api/document?collection=cases-ca&amp;id=urn:contentItem:5F7T-S7P1-JNJT-B2G0-00000-00&amp;context=" TargetMode="External" /><Relationship Id="rId377" Type="http://schemas.openxmlformats.org/officeDocument/2006/relationships/hyperlink" Target="https://advance.lexis.com/api/document?collection=cases-ca&amp;id=urn:contentItem:5F7T-S7K1-JKHB-62MB-00000-00&amp;context=" TargetMode="External" /><Relationship Id="rId378" Type="http://schemas.openxmlformats.org/officeDocument/2006/relationships/hyperlink" Target="https://advance.lexis.com/api/document?collection=cases-ca&amp;id=urn:contentItem:5F7T-S7P1-JNJT-B29X-00000-00&amp;context=" TargetMode="External" /><Relationship Id="rId379" Type="http://schemas.openxmlformats.org/officeDocument/2006/relationships/hyperlink" Target="https://advance.lexis.com/api/document?collection=cases-ca&amp;id=urn:contentItem:5GCC-XVC1-JSRM-60DX-00000-00&amp;context=" TargetMode="External" /><Relationship Id="rId38" Type="http://schemas.openxmlformats.org/officeDocument/2006/relationships/hyperlink" Target="https://advance.lexis.com/api/document?collection=cases-ca&amp;id=urn:contentItem:5F7T-S7P1-JG02-S40C-00000-00&amp;context=" TargetMode="External" /><Relationship Id="rId380" Type="http://schemas.openxmlformats.org/officeDocument/2006/relationships/hyperlink" Target="https://advance.lexis.com/api/document?collection=cases-ca&amp;id=urn:contentItem:5F7T-S6R1-JF75-M2D9-00000-00&amp;context=" TargetMode="External" /><Relationship Id="rId381" Type="http://schemas.openxmlformats.org/officeDocument/2006/relationships/hyperlink" Target="https://advance.lexis.com/api/document?collection=cases-ca&amp;id=urn:contentItem:5F7T-S7C1-FGRY-B057-00000-00&amp;context=" TargetMode="External" /><Relationship Id="rId382" Type="http://schemas.openxmlformats.org/officeDocument/2006/relationships/hyperlink" Target="https://advance.lexis.com/api/document?collection=cases-ca&amp;id=urn:contentItem:5SHB-BV91-JJD0-G3NX-00000-00&amp;context=" TargetMode="External" /><Relationship Id="rId383" Type="http://schemas.openxmlformats.org/officeDocument/2006/relationships/hyperlink" Target="https://advance.lexis.com/api/document?collection=cases-ca&amp;id=urn:contentItem:5F7T-S7M1-JNCK-22HM-00000-00&amp;context=" TargetMode="External" /><Relationship Id="rId384" Type="http://schemas.openxmlformats.org/officeDocument/2006/relationships/hyperlink" Target="https://advance.lexis.com/api/document?collection=cases-ca&amp;id=urn:contentItem:5F7T-S741-FJM6-61RX-00000-00&amp;context=" TargetMode="External" /><Relationship Id="rId385" Type="http://schemas.openxmlformats.org/officeDocument/2006/relationships/header" Target="header52.xml" /><Relationship Id="rId386" Type="http://schemas.openxmlformats.org/officeDocument/2006/relationships/header" Target="header53.xml" /><Relationship Id="rId387" Type="http://schemas.openxmlformats.org/officeDocument/2006/relationships/footer" Target="footer52.xml" /><Relationship Id="rId388" Type="http://schemas.openxmlformats.org/officeDocument/2006/relationships/footer" Target="footer53.xml" /><Relationship Id="rId389" Type="http://schemas.openxmlformats.org/officeDocument/2006/relationships/header" Target="header54.xml" /><Relationship Id="rId39" Type="http://schemas.openxmlformats.org/officeDocument/2006/relationships/hyperlink" Target="https://advance.lexis.com/api/document?collection=cases-ca&amp;id=urn:contentItem:5F7T-S7B1-FH4C-X381-00000-00&amp;context=" TargetMode="External" /><Relationship Id="rId390" Type="http://schemas.openxmlformats.org/officeDocument/2006/relationships/footer" Target="footer54.xml" /><Relationship Id="rId391" Type="http://schemas.openxmlformats.org/officeDocument/2006/relationships/hyperlink" Target="https://advance.lexis.com/api/document?collection=cases-ca&amp;id=urn:contentItem:5F7T-S771-F81W-22W1-00000-00&amp;context=" TargetMode="External" /><Relationship Id="rId392" Type="http://schemas.openxmlformats.org/officeDocument/2006/relationships/header" Target="header55.xml" /><Relationship Id="rId393" Type="http://schemas.openxmlformats.org/officeDocument/2006/relationships/header" Target="header56.xml" /><Relationship Id="rId394" Type="http://schemas.openxmlformats.org/officeDocument/2006/relationships/footer" Target="footer55.xml" /><Relationship Id="rId395" Type="http://schemas.openxmlformats.org/officeDocument/2006/relationships/footer" Target="footer56.xml" /><Relationship Id="rId396" Type="http://schemas.openxmlformats.org/officeDocument/2006/relationships/header" Target="header57.xml" /><Relationship Id="rId397" Type="http://schemas.openxmlformats.org/officeDocument/2006/relationships/footer" Target="footer57.xml" /><Relationship Id="rId398" Type="http://schemas.openxmlformats.org/officeDocument/2006/relationships/hyperlink" Target="https://advance.lexis.com/api/document?collection=cases-ca&amp;id=urn:contentItem:5F7T-S7C1-FGRY-B08B-00000-00&amp;context=" TargetMode="External" /><Relationship Id="rId399" Type="http://schemas.openxmlformats.org/officeDocument/2006/relationships/header" Target="header58.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F1-F7VM-S475-00000-00&amp;context=" TargetMode="External" /><Relationship Id="rId400" Type="http://schemas.openxmlformats.org/officeDocument/2006/relationships/header" Target="header59.xml" /><Relationship Id="rId401" Type="http://schemas.openxmlformats.org/officeDocument/2006/relationships/footer" Target="footer58.xml" /><Relationship Id="rId402" Type="http://schemas.openxmlformats.org/officeDocument/2006/relationships/footer" Target="footer59.xml" /><Relationship Id="rId403" Type="http://schemas.openxmlformats.org/officeDocument/2006/relationships/header" Target="header60.xml" /><Relationship Id="rId404" Type="http://schemas.openxmlformats.org/officeDocument/2006/relationships/footer" Target="footer60.xml" /><Relationship Id="rId405" Type="http://schemas.openxmlformats.org/officeDocument/2006/relationships/hyperlink" Target="https://advance.lexis.com/api/document?collection=cases-ca&amp;id=urn:contentItem:5F7T-S7C1-JS0R-220M-00000-00&amp;context=" TargetMode="External" /><Relationship Id="rId406" Type="http://schemas.openxmlformats.org/officeDocument/2006/relationships/hyperlink" Target="https://advance.lexis.com/api/document?collection=legislation-ca&amp;id=urn:contentItem:5F3X-H861-JB7K-209X-00000-00&amp;context=" TargetMode="External" /><Relationship Id="rId407" Type="http://schemas.openxmlformats.org/officeDocument/2006/relationships/hyperlink" Target="https://advance.lexis.com/api/document?collection=legislation-ca&amp;id=urn:contentItem:5F41-1FJ1-JG59-214N-00000-00&amp;context=" TargetMode="External" /><Relationship Id="rId408" Type="http://schemas.openxmlformats.org/officeDocument/2006/relationships/hyperlink" Target="https://advance.lexis.com/api/document?collection=legislation-ca&amp;id=urn:contentItem:5FBJ-TMB1-JBM1-M4VP-00000-00&amp;context=" TargetMode="External" /><Relationship Id="rId409" Type="http://schemas.openxmlformats.org/officeDocument/2006/relationships/hyperlink" Target="https://advance.lexis.com/api/document?collection=legislation-ca&amp;id=urn:contentItem:5W07-4KH1-JXNB-619G-00000-00&amp;context=" TargetMode="External" /><Relationship Id="rId41" Type="http://schemas.openxmlformats.org/officeDocument/2006/relationships/hyperlink" Target="https://advance.lexis.com/api/document?collection=cases-ca&amp;id=urn:contentItem:5F7T-S7P1-JSJC-X1MC-00000-00&amp;context=" TargetMode="External" /><Relationship Id="rId410" Type="http://schemas.openxmlformats.org/officeDocument/2006/relationships/hyperlink" Target="https://advance.lexis.com/api/document?collection=cases-ca&amp;id=urn:contentItem:5F16-93C1-JF1Y-B4C4-00000-00&amp;context=" TargetMode="External" /><Relationship Id="rId411" Type="http://schemas.openxmlformats.org/officeDocument/2006/relationships/hyperlink" Target="https://advance.lexis.com/api/document?collection=cases-ca&amp;id=urn:contentItem:5F8T-N3R1-JJSF-22NC-00000-00&amp;context=" TargetMode="External" /><Relationship Id="rId412" Type="http://schemas.openxmlformats.org/officeDocument/2006/relationships/hyperlink" Target="https://advance.lexis.com/api/document?collection=cases-ca&amp;id=urn:contentItem:5F8P-SDD1-FFTT-X1MG-00000-00&amp;context=" TargetMode="External" /><Relationship Id="rId413" Type="http://schemas.openxmlformats.org/officeDocument/2006/relationships/hyperlink" Target="https://advance.lexis.com/api/document?collection=cases-ca&amp;id=urn:contentItem:5F7T-S6T1-JJ1H-X244-00000-00&amp;context=" TargetMode="External" /><Relationship Id="rId414" Type="http://schemas.openxmlformats.org/officeDocument/2006/relationships/hyperlink" Target="https://advance.lexis.com/api/document?collection=cases-ca&amp;id=urn:contentItem:5F81-VJV1-DYFH-X4JD-00000-00&amp;context=" TargetMode="External" /><Relationship Id="rId415" Type="http://schemas.openxmlformats.org/officeDocument/2006/relationships/hyperlink" Target="https://advance.lexis.com/api/document?collection=cases-ca&amp;id=urn:contentItem:5F7T-S741-F8D9-M1NR-00000-00&amp;context=" TargetMode="External" /><Relationship Id="rId416" Type="http://schemas.openxmlformats.org/officeDocument/2006/relationships/hyperlink" Target="https://advance.lexis.com/api/document?collection=cases-ca&amp;id=urn:contentItem:5F7T-S781-FH4C-X2PD-00000-00&amp;context=" TargetMode="External" /><Relationship Id="rId417" Type="http://schemas.openxmlformats.org/officeDocument/2006/relationships/hyperlink" Target="https://advance.lexis.com/api/document?collection=cases-ca&amp;id=urn:contentItem:5F7T-S6Y1-JSC5-M346-00000-00&amp;context=" TargetMode="External" /><Relationship Id="rId418" Type="http://schemas.openxmlformats.org/officeDocument/2006/relationships/hyperlink" Target="https://advance.lexis.com/api/document?collection=cases-ca&amp;id=urn:contentItem:5F7T-S791-FJTD-G2FC-00000-00&amp;context=" TargetMode="External" /><Relationship Id="rId419" Type="http://schemas.openxmlformats.org/officeDocument/2006/relationships/hyperlink" Target="https://advance.lexis.com/api/document?collection=cases-ca&amp;id=urn:contentItem:5F8T-N3V1-JF75-M3GT-00000-00&amp;context=" TargetMode="External" /><Relationship Id="rId42" Type="http://schemas.openxmlformats.org/officeDocument/2006/relationships/hyperlink" Target="https://advance.lexis.com/api/document?collection=cases-ca&amp;id=urn:contentItem:5F7T-S7K1-JKHB-62PC-00000-00&amp;context=" TargetMode="External" /><Relationship Id="rId420" Type="http://schemas.openxmlformats.org/officeDocument/2006/relationships/hyperlink" Target="https://advance.lexis.com/api/document?collection=cases-ca&amp;id=urn:contentItem:5F8T-N3V1-FC1F-M469-00000-00&amp;context=" TargetMode="External" /><Relationship Id="rId421" Type="http://schemas.openxmlformats.org/officeDocument/2006/relationships/hyperlink" Target="https://advance.lexis.com/api/document?collection=cases-ca&amp;id=urn:contentItem:5F8T-N3V1-JFKM-6070-00000-00&amp;context=" TargetMode="External" /><Relationship Id="rId422" Type="http://schemas.openxmlformats.org/officeDocument/2006/relationships/hyperlink" Target="https://advance.lexis.com/api/document?collection=cases-ca&amp;id=urn:contentItem:5F8T-N3S1-JBDT-B087-00000-00&amp;context=" TargetMode="External" /><Relationship Id="rId423" Type="http://schemas.openxmlformats.org/officeDocument/2006/relationships/hyperlink" Target="https://advance.lexis.com/api/document?collection=cases-ca&amp;id=urn:contentItem:5F7T-S7C1-F4NT-X31G-00000-00&amp;context=" TargetMode="External" /><Relationship Id="rId424" Type="http://schemas.openxmlformats.org/officeDocument/2006/relationships/hyperlink" Target="https://advance.lexis.com/api/document?collection=cases-ca&amp;id=urn:contentItem:5F7T-S771-F81W-22K6-00000-00&amp;context=" TargetMode="External" /><Relationship Id="rId425" Type="http://schemas.openxmlformats.org/officeDocument/2006/relationships/hyperlink" Target="https://advance.lexis.com/api/document?collection=cases-ca&amp;id=urn:contentItem:5F7T-S731-JNJT-B1P4-00000-00&amp;context=" TargetMode="External" /><Relationship Id="rId426" Type="http://schemas.openxmlformats.org/officeDocument/2006/relationships/hyperlink" Target="https://advance.lexis.com/api/document?collection=cases-ca&amp;id=urn:contentItem:5F7T-S741-F1H1-21FV-00000-00&amp;context=" TargetMode="External" /><Relationship Id="rId427" Type="http://schemas.openxmlformats.org/officeDocument/2006/relationships/hyperlink" Target="https://advance.lexis.com/api/document?collection=cases-ca&amp;id=urn:contentItem:5F7T-S751-JX3N-B11K-00000-00&amp;context=" TargetMode="External" /><Relationship Id="rId428" Type="http://schemas.openxmlformats.org/officeDocument/2006/relationships/hyperlink" Target="https://advance.lexis.com/api/document?collection=cases-ca&amp;id=urn:contentItem:5F82-1SD1-F8D9-M2DR-00000-00&amp;context=" TargetMode="External" /><Relationship Id="rId429" Type="http://schemas.openxmlformats.org/officeDocument/2006/relationships/header" Target="header61.xml" /><Relationship Id="rId43" Type="http://schemas.openxmlformats.org/officeDocument/2006/relationships/hyperlink" Target="https://advance.lexis.com/api/document?collection=cases-ca&amp;id=urn:contentItem:5F7T-S7K1-DY33-B1KT-00000-00&amp;context=" TargetMode="External" /><Relationship Id="rId430" Type="http://schemas.openxmlformats.org/officeDocument/2006/relationships/header" Target="header62.xml" /><Relationship Id="rId431" Type="http://schemas.openxmlformats.org/officeDocument/2006/relationships/footer" Target="footer61.xml" /><Relationship Id="rId432" Type="http://schemas.openxmlformats.org/officeDocument/2006/relationships/footer" Target="footer62.xml" /><Relationship Id="rId433" Type="http://schemas.openxmlformats.org/officeDocument/2006/relationships/header" Target="header63.xml" /><Relationship Id="rId434" Type="http://schemas.openxmlformats.org/officeDocument/2006/relationships/footer" Target="footer63.xml" /><Relationship Id="rId435" Type="http://schemas.openxmlformats.org/officeDocument/2006/relationships/hyperlink" Target="https://advance.lexis.com/api/document?collection=cases-ca&amp;id=urn:contentItem:5F7T-S7C1-F4NT-X353-00000-00&amp;context=" TargetMode="External" /><Relationship Id="rId436" Type="http://schemas.openxmlformats.org/officeDocument/2006/relationships/hyperlink" Target="https://advance.lexis.com/api/document?collection=cases-ca&amp;id=urn:contentItem:5F7T-S781-DYMS-61D4-00000-00&amp;context=" TargetMode="External" /><Relationship Id="rId437" Type="http://schemas.openxmlformats.org/officeDocument/2006/relationships/hyperlink" Target="https://advance.lexis.com/api/document?collection=cases-ca&amp;id=urn:contentItem:5F7T-S751-JNS1-M1D3-00000-00&amp;context=" TargetMode="External" /><Relationship Id="rId438" Type="http://schemas.openxmlformats.org/officeDocument/2006/relationships/hyperlink" Target="https://advance.lexis.com/api/document?collection=cases-ca&amp;id=urn:contentItem:5F7T-S6X1-JTNR-M42X-00000-00&amp;context=" TargetMode="External" /><Relationship Id="rId439" Type="http://schemas.openxmlformats.org/officeDocument/2006/relationships/header" Target="header64.xml" /><Relationship Id="rId44" Type="http://schemas.openxmlformats.org/officeDocument/2006/relationships/hyperlink" Target="https://advance.lexis.com/api/document?collection=cases-ca&amp;id=urn:contentItem:5JVG-2XS1-JN14-G1JY-00000-00&amp;context=" TargetMode="External" /><Relationship Id="rId440" Type="http://schemas.openxmlformats.org/officeDocument/2006/relationships/header" Target="header65.xml" /><Relationship Id="rId441" Type="http://schemas.openxmlformats.org/officeDocument/2006/relationships/footer" Target="footer64.xml" /><Relationship Id="rId442" Type="http://schemas.openxmlformats.org/officeDocument/2006/relationships/footer" Target="footer65.xml" /><Relationship Id="rId443" Type="http://schemas.openxmlformats.org/officeDocument/2006/relationships/header" Target="header66.xml" /><Relationship Id="rId444" Type="http://schemas.openxmlformats.org/officeDocument/2006/relationships/footer" Target="footer66.xml" /><Relationship Id="rId445" Type="http://schemas.openxmlformats.org/officeDocument/2006/relationships/hyperlink" Target="https://advance.lexis.com/api/document?collection=cases-ca&amp;id=urn:contentItem:5F7T-S7D1-FCSB-S2W5-00000-00&amp;context=" TargetMode="External" /><Relationship Id="rId446" Type="http://schemas.openxmlformats.org/officeDocument/2006/relationships/hyperlink" Target="https://advance.lexis.com/api/document?collection=cases-ca&amp;id=urn:contentItem:5F7T-S6V1-F956-S05N-00000-00&amp;context=" TargetMode="External" /><Relationship Id="rId447" Type="http://schemas.openxmlformats.org/officeDocument/2006/relationships/hyperlink" Target="https://advance.lexis.com/api/document?collection=cases-ca&amp;id=urn:contentItem:5F7T-S731-JC0G-63HG-00000-00&amp;context=" TargetMode="External" /><Relationship Id="rId448" Type="http://schemas.openxmlformats.org/officeDocument/2006/relationships/hyperlink" Target="https://advance.lexis.com/api/document?collection=cases-ca&amp;id=urn:contentItem:5F8T-N3V1-JF75-M39V-00000-00&amp;context=" TargetMode="External" /><Relationship Id="rId449" Type="http://schemas.openxmlformats.org/officeDocument/2006/relationships/hyperlink" Target="https://advance.lexis.com/api/document?collection=cases-ca&amp;id=urn:contentItem:5F7T-S701-JJYN-B2CY-00000-00&amp;context=" TargetMode="External" /><Relationship Id="rId45" Type="http://schemas.openxmlformats.org/officeDocument/2006/relationships/hyperlink" Target="https://advance.lexis.com/api/document?collection=cases-ca&amp;id=urn:contentItem:5F7T-S7K1-JSJC-X168-00000-00&amp;context=" TargetMode="External" /><Relationship Id="rId450" Type="http://schemas.openxmlformats.org/officeDocument/2006/relationships/hyperlink" Target="https://advance.lexis.com/api/document?collection=cases-ca&amp;id=urn:contentItem:5F7T-S741-F1H1-21PB-00000-00&amp;context=" TargetMode="External" /><Relationship Id="rId451" Type="http://schemas.openxmlformats.org/officeDocument/2006/relationships/hyperlink" Target="https://advance.lexis.com/api/document?collection=cases-ca&amp;id=urn:contentItem:5F7T-S761-JX8W-M2KK-00000-00&amp;context=" TargetMode="External" /><Relationship Id="rId452" Type="http://schemas.openxmlformats.org/officeDocument/2006/relationships/hyperlink" Target="https://advance.lexis.com/api/document?collection=cases-ca&amp;id=urn:contentItem:5F7T-S771-JWBS-61RB-00000-00&amp;context=" TargetMode="External" /><Relationship Id="rId453" Type="http://schemas.openxmlformats.org/officeDocument/2006/relationships/hyperlink" Target="https://advance.lexis.com/api/document?collection=cases-ca&amp;id=urn:contentItem:5F7T-S701-F8KH-X18G-00000-00&amp;context=" TargetMode="External" /><Relationship Id="rId454" Type="http://schemas.openxmlformats.org/officeDocument/2006/relationships/hyperlink" Target="https://advance.lexis.com/api/document?collection=cases-ca&amp;id=urn:contentItem:5F7T-S761-JS5Y-B1WK-00000-00&amp;context=" TargetMode="External" /><Relationship Id="rId455" Type="http://schemas.openxmlformats.org/officeDocument/2006/relationships/hyperlink" Target="https://advance.lexis.com/api/document?collection=cases-ca&amp;id=urn:contentItem:5F7T-S6Y1-JNY7-X2NF-00000-00&amp;context=" TargetMode="External" /><Relationship Id="rId456" Type="http://schemas.openxmlformats.org/officeDocument/2006/relationships/hyperlink" Target="https://advance.lexis.com/api/document?collection=cases-ca&amp;id=urn:contentItem:5F7T-S7B1-FH4C-X3VM-00000-00&amp;context=" TargetMode="External" /><Relationship Id="rId457" Type="http://schemas.openxmlformats.org/officeDocument/2006/relationships/header" Target="header67.xml" /><Relationship Id="rId458" Type="http://schemas.openxmlformats.org/officeDocument/2006/relationships/header" Target="header68.xml" /><Relationship Id="rId459" Type="http://schemas.openxmlformats.org/officeDocument/2006/relationships/footer" Target="footer67.xml" /><Relationship Id="rId46" Type="http://schemas.openxmlformats.org/officeDocument/2006/relationships/hyperlink" Target="https://advance.lexis.com/api/document?collection=cases-ca&amp;id=urn:contentItem:5F7T-S7J1-JNS1-M2G2-00000-00&amp;context=" TargetMode="External" /><Relationship Id="rId460" Type="http://schemas.openxmlformats.org/officeDocument/2006/relationships/footer" Target="footer68.xml" /><Relationship Id="rId461" Type="http://schemas.openxmlformats.org/officeDocument/2006/relationships/header" Target="header69.xml" /><Relationship Id="rId462" Type="http://schemas.openxmlformats.org/officeDocument/2006/relationships/footer" Target="footer69.xml" /><Relationship Id="rId463" Type="http://schemas.openxmlformats.org/officeDocument/2006/relationships/hyperlink" Target="https://advance.lexis.com/api/document?collection=cases-ca&amp;id=urn:contentItem:5F7T-S771-JN14-G2P2-00000-00&amp;context=" TargetMode="External" /><Relationship Id="rId464" Type="http://schemas.openxmlformats.org/officeDocument/2006/relationships/hyperlink" Target="https://advance.lexis.com/api/document?collection=cases-ca&amp;id=urn:contentItem:5F7T-S701-JGPY-X1KR-00000-00&amp;context=" TargetMode="External" /><Relationship Id="rId465" Type="http://schemas.openxmlformats.org/officeDocument/2006/relationships/hyperlink" Target="https://advance.lexis.com/api/document?collection=cases-ca&amp;id=urn:contentItem:5F7T-S721-F06F-236K-00000-00&amp;context=" TargetMode="External" /><Relationship Id="rId466" Type="http://schemas.openxmlformats.org/officeDocument/2006/relationships/hyperlink" Target="https://advance.lexis.com/api/document?collection=cases-ca&amp;id=urn:contentItem:5F7T-S751-JP4G-6106-00000-00&amp;context=" TargetMode="External" /><Relationship Id="rId467" Type="http://schemas.openxmlformats.org/officeDocument/2006/relationships/hyperlink" Target="https://advance.lexis.com/api/document?collection=cases-ca&amp;id=urn:contentItem:5F81-YGM1-JG02-S13T-00000-00&amp;context=" TargetMode="External" /><Relationship Id="rId468" Type="http://schemas.openxmlformats.org/officeDocument/2006/relationships/hyperlink" Target="https://advance.lexis.com/api/document?collection=cases-ca&amp;id=urn:contentItem:5F8T-N3T1-JJSF-2339-00000-00&amp;context=" TargetMode="External" /><Relationship Id="rId469" Type="http://schemas.openxmlformats.org/officeDocument/2006/relationships/hyperlink" Target="https://advance.lexis.com/api/document?collection=cases-ca&amp;id=urn:contentItem:5F8T-N3V1-JF75-M3VR-00000-00&amp;context=" TargetMode="External" /><Relationship Id="rId47" Type="http://schemas.openxmlformats.org/officeDocument/2006/relationships/hyperlink" Target="https://advance.lexis.com/api/document?collection=cases-ca&amp;id=urn:contentItem:5F7T-S7M1-JNCK-22MK-00000-00&amp;context=" TargetMode="External" /><Relationship Id="rId470" Type="http://schemas.openxmlformats.org/officeDocument/2006/relationships/hyperlink" Target="https://advance.lexis.com/api/document?collection=cases-ca&amp;id=urn:contentItem:5F8T-N3V1-FC1F-M3WX-00000-00&amp;context=" TargetMode="External" /><Relationship Id="rId471" Type="http://schemas.openxmlformats.org/officeDocument/2006/relationships/hyperlink" Target="https://advance.lexis.com/api/document?collection=cases-ca&amp;id=urn:contentItem:5F8T-N3V1-JF75-M3RK-00000-00&amp;context=" TargetMode="External" /><Relationship Id="rId472" Type="http://schemas.openxmlformats.org/officeDocument/2006/relationships/hyperlink" Target="https://advance.lexis.com/api/document?collection=cases-ca&amp;id=urn:contentItem:5F7T-S711-JB2B-S0W5-00000-00&amp;context=" TargetMode="External" /><Relationship Id="rId473" Type="http://schemas.openxmlformats.org/officeDocument/2006/relationships/hyperlink" Target="https://advance.lexis.com/api/document?collection=cases-ca&amp;id=urn:contentItem:5F8P-SD31-JGHR-M4CG-00000-00&amp;context=" TargetMode="External" /><Relationship Id="rId474" Type="http://schemas.openxmlformats.org/officeDocument/2006/relationships/header" Target="header70.xml" /><Relationship Id="rId475" Type="http://schemas.openxmlformats.org/officeDocument/2006/relationships/header" Target="header71.xml" /><Relationship Id="rId476" Type="http://schemas.openxmlformats.org/officeDocument/2006/relationships/footer" Target="footer70.xml" /><Relationship Id="rId477" Type="http://schemas.openxmlformats.org/officeDocument/2006/relationships/footer" Target="footer71.xml" /><Relationship Id="rId478" Type="http://schemas.openxmlformats.org/officeDocument/2006/relationships/header" Target="header72.xml" /><Relationship Id="rId479" Type="http://schemas.openxmlformats.org/officeDocument/2006/relationships/footer" Target="footer72.xml" /><Relationship Id="rId48" Type="http://schemas.openxmlformats.org/officeDocument/2006/relationships/hyperlink" Target="https://advance.lexis.com/api/document?collection=cases-ca&amp;id=urn:contentItem:5F7T-S6W1-JB7K-21F4-00000-00&amp;context=" TargetMode="External" /><Relationship Id="rId480" Type="http://schemas.openxmlformats.org/officeDocument/2006/relationships/hyperlink" Target="https://advance.lexis.com/api/document?collection=cases-ca&amp;id=urn:contentItem:5F7T-S781-FH4C-X2MJ-00000-00&amp;context=" TargetMode="External" /><Relationship Id="rId481" Type="http://schemas.openxmlformats.org/officeDocument/2006/relationships/header" Target="header73.xml" /><Relationship Id="rId482" Type="http://schemas.openxmlformats.org/officeDocument/2006/relationships/header" Target="header74.xml" /><Relationship Id="rId483" Type="http://schemas.openxmlformats.org/officeDocument/2006/relationships/footer" Target="footer73.xml" /><Relationship Id="rId484" Type="http://schemas.openxmlformats.org/officeDocument/2006/relationships/footer" Target="footer74.xml" /><Relationship Id="rId485" Type="http://schemas.openxmlformats.org/officeDocument/2006/relationships/header" Target="header75.xml" /><Relationship Id="rId486" Type="http://schemas.openxmlformats.org/officeDocument/2006/relationships/footer" Target="footer75.xml" /><Relationship Id="rId487" Type="http://schemas.openxmlformats.org/officeDocument/2006/relationships/hyperlink" Target="https://advance.lexis.com/api/document?collection=cases-ca&amp;id=urn:contentItem:5F7T-S7G1-JWR6-S1T2-00000-00&amp;context=" TargetMode="External" /><Relationship Id="rId488" Type="http://schemas.openxmlformats.org/officeDocument/2006/relationships/hyperlink" Target="https://advance.lexis.com/api/document?collection=cases-ca&amp;id=urn:contentItem:5F7T-S741-F528-G2F5-00000-00&amp;context=" TargetMode="External" /><Relationship Id="rId489" Type="http://schemas.openxmlformats.org/officeDocument/2006/relationships/header" Target="header76.xml" /><Relationship Id="rId49" Type="http://schemas.openxmlformats.org/officeDocument/2006/relationships/hyperlink" Target="https://advance.lexis.com/api/document?collection=cases-ca&amp;id=urn:contentItem:5F7T-S6X1-JTNR-M3X3-00000-00&amp;context=" TargetMode="External" /><Relationship Id="rId490" Type="http://schemas.openxmlformats.org/officeDocument/2006/relationships/header" Target="header77.xml" /><Relationship Id="rId491" Type="http://schemas.openxmlformats.org/officeDocument/2006/relationships/footer" Target="footer76.xml" /><Relationship Id="rId492" Type="http://schemas.openxmlformats.org/officeDocument/2006/relationships/footer" Target="footer77.xml" /><Relationship Id="rId493" Type="http://schemas.openxmlformats.org/officeDocument/2006/relationships/header" Target="header78.xml" /><Relationship Id="rId494" Type="http://schemas.openxmlformats.org/officeDocument/2006/relationships/footer" Target="footer78.xml" /><Relationship Id="rId495" Type="http://schemas.openxmlformats.org/officeDocument/2006/relationships/hyperlink" Target="https://advance.lexis.com/api/document?collection=cases-ca&amp;id=urn:contentItem:5F7T-S7F1-F7VM-S3YM-00000-00&amp;context=" TargetMode="External" /><Relationship Id="rId496" Type="http://schemas.openxmlformats.org/officeDocument/2006/relationships/hyperlink" Target="https://advance.lexis.com/api/document?collection=cases-ca&amp;id=urn:contentItem:5K6Y-81M1-JGPY-X21G-00000-00&amp;context=" TargetMode="External" /><Relationship Id="rId497" Type="http://schemas.openxmlformats.org/officeDocument/2006/relationships/hyperlink" Target="https://advance.lexis.com/api/document?collection=cases-ca&amp;id=urn:contentItem:5F8W-M451-FCSB-S17N-00000-00&amp;context=" TargetMode="External" /><Relationship Id="rId498" Type="http://schemas.openxmlformats.org/officeDocument/2006/relationships/hyperlink" Target="https://advance.lexis.com/api/document?collection=cases-ca&amp;id=urn:contentItem:5F7F-5RH1-F873-B0JK-00000-00&amp;context=" TargetMode="External" /><Relationship Id="rId499" Type="http://schemas.openxmlformats.org/officeDocument/2006/relationships/hyperlink" Target="https://advance.lexis.com/api/document?collection=cases-ca&amp;id=urn:contentItem:5F7F-5RG1-JG02-S0N3-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91-JCJ5-251B-00000-00&amp;context=" TargetMode="External" /><Relationship Id="rId500" Type="http://schemas.openxmlformats.org/officeDocument/2006/relationships/hyperlink" Target="https://advance.lexis.com/api/document?collection=cases-ca&amp;id=urn:contentItem:5F8W-M401-JBT7-X435-00000-00&amp;context=" TargetMode="External" /><Relationship Id="rId501" Type="http://schemas.openxmlformats.org/officeDocument/2006/relationships/hyperlink" Target="https://advance.lexis.com/api/document?collection=cases-ca&amp;id=urn:contentItem:5F8T-N3V1-JF75-M3W9-00000-00&amp;context=" TargetMode="External" /><Relationship Id="rId502" Type="http://schemas.openxmlformats.org/officeDocument/2006/relationships/hyperlink" Target="https://advance.lexis.com/api/document?collection=cases-ca&amp;id=urn:contentItem:5F7T-S6P1-F7G6-612G-00000-00&amp;context=" TargetMode="External" /><Relationship Id="rId503" Type="http://schemas.openxmlformats.org/officeDocument/2006/relationships/header" Target="header79.xml" /><Relationship Id="rId504" Type="http://schemas.openxmlformats.org/officeDocument/2006/relationships/header" Target="header80.xml" /><Relationship Id="rId505" Type="http://schemas.openxmlformats.org/officeDocument/2006/relationships/footer" Target="footer79.xml" /><Relationship Id="rId506" Type="http://schemas.openxmlformats.org/officeDocument/2006/relationships/footer" Target="footer80.xml" /><Relationship Id="rId507" Type="http://schemas.openxmlformats.org/officeDocument/2006/relationships/header" Target="header81.xml" /><Relationship Id="rId508" Type="http://schemas.openxmlformats.org/officeDocument/2006/relationships/footer" Target="footer81.xml" /><Relationship Id="rId509" Type="http://schemas.openxmlformats.org/officeDocument/2006/relationships/hyperlink" Target="https://advance.lexis.com/api/document?collection=cases-ca&amp;id=urn:contentItem:5F7T-S7D1-DY89-M43S-00000-00&amp;context=" TargetMode="External" /><Relationship Id="rId51" Type="http://schemas.openxmlformats.org/officeDocument/2006/relationships/hyperlink" Target="https://advance.lexis.com/api/document?collection=cases-ca&amp;id=urn:contentItem:5F7T-S7C1-F4NT-X3NB-00000-00&amp;context=" TargetMode="External" /><Relationship Id="rId510" Type="http://schemas.openxmlformats.org/officeDocument/2006/relationships/hyperlink" Target="https://advance.lexis.com/api/document?collection=cases-ca&amp;id=urn:contentItem:5K6Y-81M1-F65M-61HN-00000-00&amp;context=" TargetMode="External" /><Relationship Id="rId511" Type="http://schemas.openxmlformats.org/officeDocument/2006/relationships/header" Target="header82.xml" /><Relationship Id="rId512" Type="http://schemas.openxmlformats.org/officeDocument/2006/relationships/header" Target="header83.xml" /><Relationship Id="rId513" Type="http://schemas.openxmlformats.org/officeDocument/2006/relationships/footer" Target="footer82.xml" /><Relationship Id="rId514" Type="http://schemas.openxmlformats.org/officeDocument/2006/relationships/footer" Target="footer83.xml" /><Relationship Id="rId515" Type="http://schemas.openxmlformats.org/officeDocument/2006/relationships/header" Target="header84.xml" /><Relationship Id="rId516" Type="http://schemas.openxmlformats.org/officeDocument/2006/relationships/footer" Target="footer84.xml" /><Relationship Id="rId517" Type="http://schemas.openxmlformats.org/officeDocument/2006/relationships/hyperlink" Target="https://advance.lexis.com/api/document?collection=cases-ca&amp;id=urn:contentItem:5F7T-S7G1-F5KY-B1M3-00000-00&amp;context=" TargetMode="External" /><Relationship Id="rId518" Type="http://schemas.openxmlformats.org/officeDocument/2006/relationships/hyperlink" Target="https://advance.lexis.com/api/document?collection=cases-ca&amp;id=urn:contentItem:5F7T-S7G1-FCYK-20B7-00000-00&amp;context=" TargetMode="External" /><Relationship Id="rId519" Type="http://schemas.openxmlformats.org/officeDocument/2006/relationships/hyperlink" Target="https://advance.lexis.com/api/document?collection=cases-ca&amp;id=urn:contentItem:5F7T-S751-JX3N-B12X-00000-00&amp;context=" TargetMode="External" /><Relationship Id="rId52" Type="http://schemas.openxmlformats.org/officeDocument/2006/relationships/hyperlink" Target="https://advance.lexis.com/api/document?collection=cases-ca&amp;id=urn:contentItem:5F7T-S7N1-F57G-S2D4-00000-00&amp;context=" TargetMode="External" /><Relationship Id="rId520" Type="http://schemas.openxmlformats.org/officeDocument/2006/relationships/hyperlink" Target="https://advance.lexis.com/api/document?collection=cases-ca&amp;id=urn:contentItem:5F7T-S7B1-JSRM-60FC-00000-00&amp;context=" TargetMode="External" /><Relationship Id="rId521" Type="http://schemas.openxmlformats.org/officeDocument/2006/relationships/hyperlink" Target="https://advance.lexis.com/api/document?collection=cases-ca&amp;id=urn:contentItem:5F8T-N3V1-JFKM-6045-00000-00&amp;context=" TargetMode="External" /><Relationship Id="rId522" Type="http://schemas.openxmlformats.org/officeDocument/2006/relationships/hyperlink" Target="https://advance.lexis.com/api/document?collection=cases-ca&amp;id=urn:contentItem:5F7V-3DH1-FCK4-G11V-00000-00&amp;context=" TargetMode="External" /><Relationship Id="rId523" Type="http://schemas.openxmlformats.org/officeDocument/2006/relationships/hyperlink" Target="https://advance.lexis.com/api/document?collection=cases-ca&amp;id=urn:contentItem:5F7T-S7C1-JXG3-X0FH-00000-00&amp;context=" TargetMode="External" /><Relationship Id="rId524" Type="http://schemas.openxmlformats.org/officeDocument/2006/relationships/hyperlink" Target="https://advance.lexis.com/api/document?collection=cases-ca&amp;id=urn:contentItem:5F8T-N3T1-JGHR-M1YP-00000-00&amp;context=" TargetMode="External" /><Relationship Id="rId525" Type="http://schemas.openxmlformats.org/officeDocument/2006/relationships/hyperlink" Target="https://advance.lexis.com/api/document?collection=cases-ca&amp;id=urn:contentItem:5F8T-N3V1-FC1F-M41Y-00000-00&amp;context=" TargetMode="External" /><Relationship Id="rId526" Type="http://schemas.openxmlformats.org/officeDocument/2006/relationships/hyperlink" Target="https://advance.lexis.com/api/document?collection=cases-ca&amp;id=urn:contentItem:5F7T-S7F1-JK4W-M196-00000-00&amp;context=" TargetMode="External" /><Relationship Id="rId527" Type="http://schemas.openxmlformats.org/officeDocument/2006/relationships/hyperlink" Target="https://advance.lexis.com/api/document?collection=cases-ca&amp;id=urn:contentItem:5F7T-S771-JWBS-61HM-00000-00&amp;context=" TargetMode="External" /><Relationship Id="rId528" Type="http://schemas.openxmlformats.org/officeDocument/2006/relationships/hyperlink" Target="https://advance.lexis.com/api/document?collection=cases-ca&amp;id=urn:contentItem:5F7T-S7C1-JSRM-615B-00000-00&amp;context=" TargetMode="External" /><Relationship Id="rId529" Type="http://schemas.openxmlformats.org/officeDocument/2006/relationships/hyperlink" Target="https://advance.lexis.com/api/document?collection=cases-ca&amp;id=urn:contentItem:5F7T-S7C1-FGRY-B0J2-00000-00&amp;context=" TargetMode="External" /><Relationship Id="rId53" Type="http://schemas.openxmlformats.org/officeDocument/2006/relationships/hyperlink" Target="https://advance.lexis.com/api/document?collection=cases-ca&amp;id=urn:contentItem:5F7T-S7N1-F06F-24BC-00000-00&amp;context=" TargetMode="External" /><Relationship Id="rId530" Type="http://schemas.openxmlformats.org/officeDocument/2006/relationships/hyperlink" Target="https://advance.lexis.com/api/document?collection=cases-ca&amp;id=urn:contentItem:5F7T-S771-JTGH-B1JY-00000-00&amp;context=" TargetMode="External" /><Relationship Id="rId531" Type="http://schemas.openxmlformats.org/officeDocument/2006/relationships/hyperlink" Target="https://advance.lexis.com/api/document?collection=cases-ca&amp;id=urn:contentItem:5F8T-N3V1-JTGH-B189-00000-00&amp;context=" TargetMode="External" /><Relationship Id="rId532" Type="http://schemas.openxmlformats.org/officeDocument/2006/relationships/hyperlink" Target="https://advance.lexis.com/api/document?collection=cases-ca&amp;id=urn:contentItem:5F7T-S7F1-DXWW-24M5-00000-00&amp;context=" TargetMode="External" /><Relationship Id="rId533" Type="http://schemas.openxmlformats.org/officeDocument/2006/relationships/hyperlink" Target="https://advance.lexis.com/api/document?collection=cases-ca&amp;id=urn:contentItem:5F7T-S7C1-JXG3-X021-00000-00&amp;context=" TargetMode="External" /><Relationship Id="rId534" Type="http://schemas.openxmlformats.org/officeDocument/2006/relationships/header" Target="header85.xml" /><Relationship Id="rId535" Type="http://schemas.openxmlformats.org/officeDocument/2006/relationships/header" Target="header86.xml" /><Relationship Id="rId536" Type="http://schemas.openxmlformats.org/officeDocument/2006/relationships/footer" Target="footer85.xml" /><Relationship Id="rId537" Type="http://schemas.openxmlformats.org/officeDocument/2006/relationships/footer" Target="footer86.xml" /><Relationship Id="rId538" Type="http://schemas.openxmlformats.org/officeDocument/2006/relationships/header" Target="header87.xml" /><Relationship Id="rId539" Type="http://schemas.openxmlformats.org/officeDocument/2006/relationships/footer" Target="footer87.xml" /><Relationship Id="rId54" Type="http://schemas.openxmlformats.org/officeDocument/2006/relationships/hyperlink" Target="https://advance.lexis.com/api/document?collection=cases-ca&amp;id=urn:contentItem:5F7T-S7K1-DY33-B1K8-00000-00&amp;context=" TargetMode="External" /><Relationship Id="rId540" Type="http://schemas.openxmlformats.org/officeDocument/2006/relationships/hyperlink" Target="https://advance.lexis.com/api/document?collection=cases-ca&amp;id=urn:contentItem:5F7T-S7D1-FFFC-B1G9-00000-00&amp;context=" TargetMode="External" /><Relationship Id="rId541" Type="http://schemas.openxmlformats.org/officeDocument/2006/relationships/hyperlink" Target="https://advance.lexis.com/api/document?collection=legislation-ca&amp;id=urn:contentItem:5S2H-CJ11-JF75-M0S0-00000-00&amp;context=" TargetMode="External" /><Relationship Id="rId542" Type="http://schemas.openxmlformats.org/officeDocument/2006/relationships/hyperlink" Target="https://advance.lexis.com/api/document?collection=cases-ca&amp;id=urn:contentItem:5F7T-S7C1-JXG3-X06R-00000-00&amp;context=" TargetMode="External" /><Relationship Id="rId543" Type="http://schemas.openxmlformats.org/officeDocument/2006/relationships/hyperlink" Target="https://advance.lexis.com/api/document?collection=cases-ca&amp;id=urn:contentItem:5F7T-S7C1-FGRY-B0GB-00000-00&amp;context=" TargetMode="External" /><Relationship Id="rId544" Type="http://schemas.openxmlformats.org/officeDocument/2006/relationships/hyperlink" Target="https://advance.lexis.com/api/document?collection=cases-ca&amp;id=urn:contentItem:5F7T-S7B1-F7ND-G4YN-00000-00&amp;context=" TargetMode="External" /><Relationship Id="rId545" Type="http://schemas.openxmlformats.org/officeDocument/2006/relationships/hyperlink" Target="https://advance.lexis.com/api/document?collection=cases-ca&amp;id=urn:contentItem:5F7T-S7C1-FGRY-B0CD-00000-00&amp;context=" TargetMode="External" /><Relationship Id="rId546" Type="http://schemas.openxmlformats.org/officeDocument/2006/relationships/hyperlink" Target="https://advance.lexis.com/api/document?collection=cases-ca&amp;id=urn:contentItem:5F7T-S7C1-FCSB-S2H7-00000-00&amp;context=" TargetMode="External" /><Relationship Id="rId547" Type="http://schemas.openxmlformats.org/officeDocument/2006/relationships/hyperlink" Target="https://advance.lexis.com/api/document?collection=cases-ca&amp;id=urn:contentItem:5F7T-S7D1-FC6N-X0K6-00000-00&amp;context=" TargetMode="External" /><Relationship Id="rId548" Type="http://schemas.openxmlformats.org/officeDocument/2006/relationships/hyperlink" Target="https://advance.lexis.com/api/document?collection=cases-ca&amp;id=urn:contentItem:5F7T-S7C1-JSRM-618V-00000-00&amp;context=" TargetMode="External" /><Relationship Id="rId549" Type="http://schemas.openxmlformats.org/officeDocument/2006/relationships/hyperlink" Target="https://advance.lexis.com/api/document?collection=cases-ca&amp;id=urn:contentItem:5F7T-S7D1-JXG3-X0WH-00000-00&amp;context=" TargetMode="External" /><Relationship Id="rId55" Type="http://schemas.openxmlformats.org/officeDocument/2006/relationships/hyperlink" Target="https://advance.lexis.com/api/document?collection=cases-ca&amp;id=urn:contentItem:5F7T-S7F1-JX3N-B19D-00000-00&amp;context=" TargetMode="External" /><Relationship Id="rId550" Type="http://schemas.openxmlformats.org/officeDocument/2006/relationships/hyperlink" Target="https://advance.lexis.com/api/document?collection=cases-ca&amp;id=urn:contentItem:5F7T-S7C1-F30T-B284-00000-00&amp;context=" TargetMode="External" /><Relationship Id="rId551" Type="http://schemas.openxmlformats.org/officeDocument/2006/relationships/hyperlink" Target="https://advance.lexis.com/api/document?collection=cases-ca&amp;id=urn:contentItem:5F8P-SDN1-F1H1-20WN-00000-00&amp;context=" TargetMode="External" /><Relationship Id="rId552" Type="http://schemas.openxmlformats.org/officeDocument/2006/relationships/hyperlink" Target="https://advance.lexis.com/api/document?collection=cases-ca&amp;id=urn:contentItem:5F7T-S781-DYMS-61CF-00000-00&amp;context=" TargetMode="External" /><Relationship Id="rId553" Type="http://schemas.openxmlformats.org/officeDocument/2006/relationships/hyperlink" Target="https://advance.lexis.com/api/document?collection=cases-ca&amp;id=urn:contentItem:5F7T-S7B1-JSRM-60FM-00000-00&amp;context=" TargetMode="External" /><Relationship Id="rId554" Type="http://schemas.openxmlformats.org/officeDocument/2006/relationships/hyperlink" Target="https://advance.lexis.com/api/document?collection=cases-ca&amp;id=urn:contentItem:5F7T-S711-FJDY-X2Y3-00000-00&amp;context=" TargetMode="External" /><Relationship Id="rId555" Type="http://schemas.openxmlformats.org/officeDocument/2006/relationships/hyperlink" Target="https://advance.lexis.com/api/document?collection=cases-ca&amp;id=urn:contentItem:5F7T-S6X1-JTNR-M40M-00000-00&amp;context=" TargetMode="External" /><Relationship Id="rId556" Type="http://schemas.openxmlformats.org/officeDocument/2006/relationships/hyperlink" Target="https://advance.lexis.com/api/document?collection=cases-ca&amp;id=urn:contentItem:5F81-VJX1-JKPJ-G1V6-00000-00&amp;context=" TargetMode="External" /><Relationship Id="rId557" Type="http://schemas.openxmlformats.org/officeDocument/2006/relationships/hyperlink" Target="https://advance.lexis.com/api/document?collection=cases-ca&amp;id=urn:contentItem:5F7T-S7D1-FCSB-S301-00000-00&amp;context=" TargetMode="External" /><Relationship Id="rId558" Type="http://schemas.openxmlformats.org/officeDocument/2006/relationships/hyperlink" Target="https://advance.lexis.com/api/document?collection=cases-ca&amp;id=urn:contentItem:5F8P-T8T1-FFMK-M1GB-00000-00&amp;context=" TargetMode="External" /><Relationship Id="rId559" Type="http://schemas.openxmlformats.org/officeDocument/2006/relationships/hyperlink" Target="https://advance.lexis.com/api/document?collection=cases-ca&amp;id=urn:contentItem:5F81-VJW1-JF75-M1FG-00000-00&amp;context=" TargetMode="External" /><Relationship Id="rId56" Type="http://schemas.openxmlformats.org/officeDocument/2006/relationships/hyperlink" Target="https://advance.lexis.com/api/document?collection=cases-ca&amp;id=urn:contentItem:5F7T-S7N1-JC5P-G2DS-00000-00&amp;context=" TargetMode="External" /><Relationship Id="rId560" Type="http://schemas.openxmlformats.org/officeDocument/2006/relationships/hyperlink" Target="https://advance.lexis.com/api/document?collection=cases-ca&amp;id=urn:contentItem:5F8T-N3V1-JF75-M3MB-00000-00&amp;context=" TargetMode="External" /><Relationship Id="rId561" Type="http://schemas.openxmlformats.org/officeDocument/2006/relationships/hyperlink" Target="https://advance.lexis.com/api/document?collection=cases-ca&amp;id=urn:contentItem:5F7T-S7B1-FH4C-X3PV-00000-00&amp;context=" TargetMode="External" /><Relationship Id="rId562" Type="http://schemas.openxmlformats.org/officeDocument/2006/relationships/header" Target="header88.xml" /><Relationship Id="rId563" Type="http://schemas.openxmlformats.org/officeDocument/2006/relationships/header" Target="header89.xml" /><Relationship Id="rId564" Type="http://schemas.openxmlformats.org/officeDocument/2006/relationships/footer" Target="footer88.xml" /><Relationship Id="rId565" Type="http://schemas.openxmlformats.org/officeDocument/2006/relationships/footer" Target="footer89.xml" /><Relationship Id="rId566" Type="http://schemas.openxmlformats.org/officeDocument/2006/relationships/header" Target="header90.xml" /><Relationship Id="rId567" Type="http://schemas.openxmlformats.org/officeDocument/2006/relationships/footer" Target="footer90.xml" /><Relationship Id="rId568" Type="http://schemas.openxmlformats.org/officeDocument/2006/relationships/hyperlink" Target="https://advance.lexis.com/api/document?collection=cases-ca&amp;id=urn:contentItem:5F7T-S7K1-JKHB-62KH-00000-00&amp;context=" TargetMode="External" /><Relationship Id="rId569" Type="http://schemas.openxmlformats.org/officeDocument/2006/relationships/hyperlink" Target="https://advance.lexis.com/api/document?collection=cases-ca&amp;id=urn:contentItem:5F7H-KWB1-F2MB-S0JB-00000-00&amp;context=" TargetMode="External" /><Relationship Id="rId57" Type="http://schemas.openxmlformats.org/officeDocument/2006/relationships/header" Target="header4.xml" /><Relationship Id="rId570" Type="http://schemas.openxmlformats.org/officeDocument/2006/relationships/hyperlink" Target="https://advance.lexis.com/api/document?collection=cases-ca&amp;id=urn:contentItem:5F7T-S7J1-FGCG-S06H-00000-00&amp;context=" TargetMode="External" /><Relationship Id="rId571" Type="http://schemas.openxmlformats.org/officeDocument/2006/relationships/header" Target="header91.xml" /><Relationship Id="rId572" Type="http://schemas.openxmlformats.org/officeDocument/2006/relationships/header" Target="header92.xml" /><Relationship Id="rId573" Type="http://schemas.openxmlformats.org/officeDocument/2006/relationships/footer" Target="footer91.xml" /><Relationship Id="rId574" Type="http://schemas.openxmlformats.org/officeDocument/2006/relationships/footer" Target="footer92.xml" /><Relationship Id="rId575" Type="http://schemas.openxmlformats.org/officeDocument/2006/relationships/header" Target="header93.xml" /><Relationship Id="rId576" Type="http://schemas.openxmlformats.org/officeDocument/2006/relationships/footer" Target="footer93.xml" /><Relationship Id="rId577" Type="http://schemas.openxmlformats.org/officeDocument/2006/relationships/hyperlink" Target="https://advance.lexis.com/api/document?collection=cases-ca&amp;id=urn:contentItem:5W00-TS11-JWBS-6067-00000-00&amp;context=" TargetMode="External" /><Relationship Id="rId578" Type="http://schemas.openxmlformats.org/officeDocument/2006/relationships/hyperlink" Target="https://advance.lexis.com/api/document?collection=cases-ca&amp;id=urn:contentItem:5F7T-S7C1-F4NT-X328-00000-00&amp;context=" TargetMode="External" /><Relationship Id="rId579" Type="http://schemas.openxmlformats.org/officeDocument/2006/relationships/hyperlink" Target="https://advance.lexis.com/api/document?collection=cases-ca&amp;id=urn:contentItem:5F7T-S7J1-JYYX-62HS-00000-00&amp;context=" TargetMode="External" /><Relationship Id="rId58" Type="http://schemas.openxmlformats.org/officeDocument/2006/relationships/header" Target="header5.xml" /><Relationship Id="rId580" Type="http://schemas.openxmlformats.org/officeDocument/2006/relationships/hyperlink" Target="https://advance.lexis.com/api/document?collection=cases-ca&amp;id=urn:contentItem:5F7T-S7N1-JJ1H-X334-00000-00&amp;context=" TargetMode="External" /><Relationship Id="rId581" Type="http://schemas.openxmlformats.org/officeDocument/2006/relationships/hyperlink" Target="https://advance.lexis.com/api/document?collection=cases-ca&amp;id=urn:contentItem:5F8N-K751-F22N-X1W5-00000-00&amp;context=" TargetMode="External" /><Relationship Id="rId582" Type="http://schemas.openxmlformats.org/officeDocument/2006/relationships/hyperlink" Target="https://advance.lexis.com/api/document?collection=cases-ca&amp;id=urn:contentItem:5F7T-S7K1-F1H1-226D-00000-00&amp;context=" TargetMode="External" /><Relationship Id="rId583" Type="http://schemas.openxmlformats.org/officeDocument/2006/relationships/hyperlink" Target="https://advance.lexis.com/api/document?collection=cases-ca&amp;id=urn:contentItem:5F8T-N3T1-JGHR-M1Y0-00000-00&amp;context=" TargetMode="External" /><Relationship Id="rId584" Type="http://schemas.openxmlformats.org/officeDocument/2006/relationships/hyperlink" Target="https://advance.lexis.com/api/document?collection=cases-ca&amp;id=urn:contentItem:5F7T-S7K1-JWXF-2144-00000-00&amp;context=" TargetMode="External" /><Relationship Id="rId585" Type="http://schemas.openxmlformats.org/officeDocument/2006/relationships/hyperlink" Target="https://advance.lexis.com/api/document?collection=cases-ca&amp;id=urn:contentItem:5F7T-S7J1-JGBH-B2C1-00000-00&amp;context=" TargetMode="External" /><Relationship Id="rId586" Type="http://schemas.openxmlformats.org/officeDocument/2006/relationships/hyperlink" Target="https://advance.lexis.com/api/document?collection=cases-ca&amp;id=urn:contentItem:5F8T-N3V1-JTGH-B111-00000-00&amp;context=" TargetMode="External" /><Relationship Id="rId587" Type="http://schemas.openxmlformats.org/officeDocument/2006/relationships/hyperlink" Target="https://advance.lexis.com/api/document?collection=cases-ca&amp;id=urn:contentItem:5F8T-N3T1-JJSF-23F8-00000-00&amp;context=" TargetMode="External" /><Relationship Id="rId588" Type="http://schemas.openxmlformats.org/officeDocument/2006/relationships/hyperlink" Target="https://advance.lexis.com/api/document?collection=cases-ca&amp;id=urn:contentItem:5F8T-N3V1-JF75-M3FN-00000-00&amp;context=" TargetMode="External" /><Relationship Id="rId589" Type="http://schemas.openxmlformats.org/officeDocument/2006/relationships/hyperlink" Target="https://advance.lexis.com/api/document?collection=cases-ca&amp;id=urn:contentItem:5F8T-N3T1-JFKM-6519-00000-00&amp;context=" TargetMode="External" /><Relationship Id="rId59" Type="http://schemas.openxmlformats.org/officeDocument/2006/relationships/footer" Target="footer4.xml" /><Relationship Id="rId590" Type="http://schemas.openxmlformats.org/officeDocument/2006/relationships/hyperlink" Target="https://advance.lexis.com/api/document?collection=cases-ca&amp;id=urn:contentItem:5F7T-S7G1-JN6B-S1HR-00000-00&amp;context=" TargetMode="External" /><Relationship Id="rId591" Type="http://schemas.openxmlformats.org/officeDocument/2006/relationships/header" Target="header94.xml" /><Relationship Id="rId592" Type="http://schemas.openxmlformats.org/officeDocument/2006/relationships/header" Target="header95.xml" /><Relationship Id="rId593" Type="http://schemas.openxmlformats.org/officeDocument/2006/relationships/footer" Target="footer94.xml" /><Relationship Id="rId594" Type="http://schemas.openxmlformats.org/officeDocument/2006/relationships/footer" Target="footer95.xml" /><Relationship Id="rId595" Type="http://schemas.openxmlformats.org/officeDocument/2006/relationships/header" Target="header96.xml" /><Relationship Id="rId596" Type="http://schemas.openxmlformats.org/officeDocument/2006/relationships/footer" Target="footer96.xml" /><Relationship Id="rId597" Type="http://schemas.openxmlformats.org/officeDocument/2006/relationships/hyperlink" Target="https://advance.lexis.com/api/document?collection=cases-ca&amp;id=urn:contentItem:5F7T-S771-JSJC-X0FB-00000-00&amp;context=" TargetMode="External" /><Relationship Id="rId598" Type="http://schemas.openxmlformats.org/officeDocument/2006/relationships/header" Target="header97.xml" /><Relationship Id="rId599" Type="http://schemas.openxmlformats.org/officeDocument/2006/relationships/header" Target="header98.xml" /><Relationship Id="rId6" Type="http://schemas.openxmlformats.org/officeDocument/2006/relationships/footer" Target="footer1.xml" /><Relationship Id="rId60" Type="http://schemas.openxmlformats.org/officeDocument/2006/relationships/footer" Target="footer5.xml" /><Relationship Id="rId600" Type="http://schemas.openxmlformats.org/officeDocument/2006/relationships/footer" Target="footer97.xml" /><Relationship Id="rId601" Type="http://schemas.openxmlformats.org/officeDocument/2006/relationships/footer" Target="footer98.xml" /><Relationship Id="rId602" Type="http://schemas.openxmlformats.org/officeDocument/2006/relationships/header" Target="header99.xml" /><Relationship Id="rId603" Type="http://schemas.openxmlformats.org/officeDocument/2006/relationships/footer" Target="footer99.xml" /><Relationship Id="rId604" Type="http://schemas.openxmlformats.org/officeDocument/2006/relationships/hyperlink" Target="https://advance.lexis.com/api/document?collection=cases-ca&amp;id=urn:contentItem:5F7T-S7C1-FCSB-S29G-00000-00&amp;context=" TargetMode="External" /><Relationship Id="rId605" Type="http://schemas.openxmlformats.org/officeDocument/2006/relationships/hyperlink" Target="https://advance.lexis.com/api/document?collection=legislation-ca&amp;id=urn:contentItem:5F3B-B791-JW09-M0XN-00000-00&amp;context=" TargetMode="External" /><Relationship Id="rId606" Type="http://schemas.openxmlformats.org/officeDocument/2006/relationships/hyperlink" Target="https://advance.lexis.com/api/document?collection=cases-ca&amp;id=urn:contentItem:5F7T-S741-DXPM-S0VP-00000-00&amp;context=" TargetMode="External" /><Relationship Id="rId607" Type="http://schemas.openxmlformats.org/officeDocument/2006/relationships/hyperlink" Target="https://advance.lexis.com/api/document?collection=cases-ca&amp;id=urn:contentItem:5F7T-S771-JN14-G2M9-00000-00&amp;context=" TargetMode="External" /><Relationship Id="rId608" Type="http://schemas.openxmlformats.org/officeDocument/2006/relationships/hyperlink" Target="https://advance.lexis.com/api/document?collection=cases-ca&amp;id=urn:contentItem:5F7T-S761-FFMK-M15W-00000-00&amp;context=" TargetMode="External" /><Relationship Id="rId609" Type="http://schemas.openxmlformats.org/officeDocument/2006/relationships/hyperlink" Target="https://advance.lexis.com/api/document?collection=cases-ca&amp;id=urn:contentItem:5F7T-S711-FJDY-X352-00000-00&amp;context=" TargetMode="External" /><Relationship Id="rId61" Type="http://schemas.openxmlformats.org/officeDocument/2006/relationships/header" Target="header6.xml" /><Relationship Id="rId610" Type="http://schemas.openxmlformats.org/officeDocument/2006/relationships/hyperlink" Target="https://advance.lexis.com/api/document?collection=cases-ca&amp;id=urn:contentItem:5F81-VJX1-JJYN-B52M-00000-00&amp;context=" TargetMode="External" /><Relationship Id="rId611" Type="http://schemas.openxmlformats.org/officeDocument/2006/relationships/hyperlink" Target="https://advance.lexis.com/api/document?collection=cases-ca&amp;id=urn:contentItem:5F7T-S791-JCJ5-24WB-00000-00&amp;context=" TargetMode="External" /><Relationship Id="rId612" Type="http://schemas.openxmlformats.org/officeDocument/2006/relationships/hyperlink" Target="https://advance.lexis.com/api/document?collection=cases-ca&amp;id=urn:contentItem:5F7T-S741-FJM6-61C6-00000-00&amp;context=" TargetMode="External" /><Relationship Id="rId613" Type="http://schemas.openxmlformats.org/officeDocument/2006/relationships/hyperlink" Target="https://advance.lexis.com/api/document?collection=cases-ca&amp;id=urn:contentItem:5F7T-S771-JTGH-B1KF-00000-00&amp;context=" TargetMode="External" /><Relationship Id="rId614" Type="http://schemas.openxmlformats.org/officeDocument/2006/relationships/hyperlink" Target="https://advance.lexis.com/api/document?collection=cases-ca&amp;id=urn:contentItem:5F8T-N3T1-JGHR-M1TG-00000-00&amp;context=" TargetMode="External" /><Relationship Id="rId615" Type="http://schemas.openxmlformats.org/officeDocument/2006/relationships/hyperlink" Target="https://advance.lexis.com/api/document?collection=cases-ca&amp;id=urn:contentItem:5F7T-S7B1-FH4C-X3GF-00000-00&amp;context=" TargetMode="External" /><Relationship Id="rId616" Type="http://schemas.openxmlformats.org/officeDocument/2006/relationships/hyperlink" Target="https://advance.lexis.com/api/document?collection=cases-ca&amp;id=urn:contentItem:5F7T-S721-F956-S1B4-00000-00&amp;context=" TargetMode="External" /><Relationship Id="rId617" Type="http://schemas.openxmlformats.org/officeDocument/2006/relationships/hyperlink" Target="https://advance.lexis.com/api/document?collection=cases-ca&amp;id=urn:contentItem:5F7T-S761-F81W-224Y-00000-00&amp;context=" TargetMode="External" /><Relationship Id="rId618" Type="http://schemas.openxmlformats.org/officeDocument/2006/relationships/hyperlink" Target="https://advance.lexis.com/api/document?collection=cases-ca&amp;id=urn:contentItem:5F7T-S791-FJTD-G2KF-00000-00&amp;context=" TargetMode="External" /><Relationship Id="rId619" Type="http://schemas.openxmlformats.org/officeDocument/2006/relationships/hyperlink" Target="https://advance.lexis.com/api/document?collection=cases-ca&amp;id=urn:contentItem:5F82-1SF1-F4W2-63PS-00000-00&amp;context=" TargetMode="External" /><Relationship Id="rId62" Type="http://schemas.openxmlformats.org/officeDocument/2006/relationships/footer" Target="footer6.xml" /><Relationship Id="rId620" Type="http://schemas.openxmlformats.org/officeDocument/2006/relationships/hyperlink" Target="https://advance.lexis.com/api/document?collection=cases-ca&amp;id=urn:contentItem:5F8P-SGB1-F873-B306-00000-00&amp;context=" TargetMode="External" /><Relationship Id="rId621" Type="http://schemas.openxmlformats.org/officeDocument/2006/relationships/hyperlink" Target="https://advance.lexis.com/api/document?collection=cases-ca&amp;id=urn:contentItem:5F8P-SDC1-FK0M-S3N1-00000-00&amp;context=" TargetMode="External" /><Relationship Id="rId622" Type="http://schemas.openxmlformats.org/officeDocument/2006/relationships/hyperlink" Target="https://advance.lexis.com/api/document?collection=cases-ca&amp;id=urn:contentItem:5F8P-SD31-JSRM-62XR-00000-00&amp;context=" TargetMode="External" /><Relationship Id="rId623" Type="http://schemas.openxmlformats.org/officeDocument/2006/relationships/hyperlink" Target="https://advance.lexis.com/api/document?collection=cases-ca&amp;id=urn:contentItem:5F8P-SDD1-F65M-635D-00000-00&amp;context=" TargetMode="External" /><Relationship Id="rId624" Type="http://schemas.openxmlformats.org/officeDocument/2006/relationships/header" Target="header100.xml" /><Relationship Id="rId625" Type="http://schemas.openxmlformats.org/officeDocument/2006/relationships/header" Target="header101.xml" /><Relationship Id="rId626" Type="http://schemas.openxmlformats.org/officeDocument/2006/relationships/footer" Target="footer100.xml" /><Relationship Id="rId627" Type="http://schemas.openxmlformats.org/officeDocument/2006/relationships/footer" Target="footer101.xml" /><Relationship Id="rId628" Type="http://schemas.openxmlformats.org/officeDocument/2006/relationships/header" Target="header102.xml" /><Relationship Id="rId629" Type="http://schemas.openxmlformats.org/officeDocument/2006/relationships/footer" Target="footer102.xml" /><Relationship Id="rId63" Type="http://schemas.openxmlformats.org/officeDocument/2006/relationships/hyperlink" Target="https://advance.lexis.com/api/document?collection=cases-ca&amp;id=urn:contentItem:5X8P-1591-JT99-2322-00000-00&amp;context=" TargetMode="External" /><Relationship Id="rId630" Type="http://schemas.openxmlformats.org/officeDocument/2006/relationships/hyperlink" Target="https://advance.lexis.com/api/document?collection=cases-ca&amp;id=urn:contentItem:5F7T-S7N1-JW09-M0NM-00000-00&amp;context=" TargetMode="External" /><Relationship Id="rId631" Type="http://schemas.openxmlformats.org/officeDocument/2006/relationships/hyperlink" Target="https://advance.lexis.com/api/document?collection=legislation-ca&amp;id=urn:contentItem:5F41-1FG1-JC0G-61K8-00000-00&amp;context=" TargetMode="External" /><Relationship Id="rId632" Type="http://schemas.openxmlformats.org/officeDocument/2006/relationships/hyperlink" Target="https://advance.lexis.com/api/document?collection=legislation-ca&amp;id=urn:contentItem:5F41-1FJ1-F5KY-B1T4-00000-00&amp;context=" TargetMode="External" /><Relationship Id="rId633" Type="http://schemas.openxmlformats.org/officeDocument/2006/relationships/hyperlink" Target="https://advance.lexis.com/api/document?collection=cases-ca&amp;id=urn:contentItem:5F7T-S721-JSC5-M398-00000-00&amp;context=" TargetMode="External" /><Relationship Id="rId634" Type="http://schemas.openxmlformats.org/officeDocument/2006/relationships/hyperlink" Target="https://advance.lexis.com/api/document?collection=cases-ca&amp;id=urn:contentItem:5F7T-S741-F2F4-G22V-00000-00&amp;context=" TargetMode="External" /><Relationship Id="rId635" Type="http://schemas.openxmlformats.org/officeDocument/2006/relationships/hyperlink" Target="https://advance.lexis.com/api/document?collection=cases-ca&amp;id=urn:contentItem:5F7T-S761-JGHR-M2GR-00000-00&amp;context=" TargetMode="External" /><Relationship Id="rId636" Type="http://schemas.openxmlformats.org/officeDocument/2006/relationships/hyperlink" Target="https://advance.lexis.com/api/document?collection=cases-ca&amp;id=urn:contentItem:5F7T-S7N1-JWR6-S2BC-00000-00&amp;context=" TargetMode="External" /><Relationship Id="rId637" Type="http://schemas.openxmlformats.org/officeDocument/2006/relationships/hyperlink" Target="https://advance.lexis.com/api/document?collection=cases-ca&amp;id=urn:contentItem:5F7T-S7M1-JPP5-22S7-00000-00&amp;context=" TargetMode="External" /><Relationship Id="rId638" Type="http://schemas.openxmlformats.org/officeDocument/2006/relationships/hyperlink" Target="https://advance.lexis.com/api/document?collection=cases-ca&amp;id=urn:contentItem:5F7T-S7D1-DY89-M4FF-00000-00&amp;context=" TargetMode="External" /><Relationship Id="rId639" Type="http://schemas.openxmlformats.org/officeDocument/2006/relationships/hyperlink" Target="https://advance.lexis.com/api/document?collection=cases-ca&amp;id=urn:contentItem:5F7T-S6V1-JC0G-623G-00000-00&amp;context=" TargetMode="External" /><Relationship Id="rId64" Type="http://schemas.openxmlformats.org/officeDocument/2006/relationships/hyperlink" Target="https://advance.lexis.com/api/document?collection=cases-ca&amp;id=urn:contentItem:5YFR-J3Y1-JGBH-B38Y-00000-00&amp;context=" TargetMode="External" /><Relationship Id="rId640" Type="http://schemas.openxmlformats.org/officeDocument/2006/relationships/hyperlink" Target="https://advance.lexis.com/api/document?collection=cases-ca&amp;id=urn:contentItem:5F7T-S7K1-JSJC-X0P7-00000-00&amp;context=" TargetMode="External" /><Relationship Id="rId641" Type="http://schemas.openxmlformats.org/officeDocument/2006/relationships/hyperlink" Target="https://advance.lexis.com/api/document?collection=cases-ca&amp;id=urn:contentItem:5F81-VJT1-JK4W-M46X-00000-00&amp;context=" TargetMode="External" /><Relationship Id="rId642" Type="http://schemas.openxmlformats.org/officeDocument/2006/relationships/hyperlink" Target="https://advance.lexis.com/api/document?collection=cases-ca&amp;id=urn:contentItem:5F7T-S7D1-FBFS-S1VC-00000-00&amp;context=" TargetMode="External" /><Relationship Id="rId643" Type="http://schemas.openxmlformats.org/officeDocument/2006/relationships/hyperlink" Target="https://advance.lexis.com/api/document?collection=cases-ca&amp;id=urn:contentItem:5F7T-S7H1-F4GK-M2W6-00000-00&amp;context=" TargetMode="External" /><Relationship Id="rId644" Type="http://schemas.openxmlformats.org/officeDocument/2006/relationships/hyperlink" Target="https://advance.lexis.com/api/document?collection=cases-ca&amp;id=urn:contentItem:5F7T-S741-F8D9-M1GF-00000-00&amp;context=" TargetMode="External" /><Relationship Id="rId645" Type="http://schemas.openxmlformats.org/officeDocument/2006/relationships/hyperlink" Target="https://advance.lexis.com/api/document?collection=cases-ca&amp;id=urn:contentItem:5F7T-S7H1-F4GK-M381-00000-00&amp;context=" TargetMode="External" /><Relationship Id="rId646" Type="http://schemas.openxmlformats.org/officeDocument/2006/relationships/hyperlink" Target="https://advance.lexis.com/api/document?collection=cases-ca&amp;id=urn:contentItem:5F7T-S7B1-JSRM-60D1-00000-00&amp;context=" TargetMode="External" /><Relationship Id="rId647" Type="http://schemas.openxmlformats.org/officeDocument/2006/relationships/hyperlink" Target="https://advance.lexis.com/api/document?collection=cases-ca&amp;id=urn:contentItem:5F7T-S6T1-FJTD-G1MH-00000-00&amp;context=" TargetMode="External" /><Relationship Id="rId648" Type="http://schemas.openxmlformats.org/officeDocument/2006/relationships/hyperlink" Target="https://advance.lexis.com/api/document?collection=cases-ca&amp;id=urn:contentItem:5F7T-S6T1-JJ1H-X2G2-00000-00&amp;context=" TargetMode="External" /><Relationship Id="rId649" Type="http://schemas.openxmlformats.org/officeDocument/2006/relationships/hyperlink" Target="https://advance.lexis.com/api/document?collection=cases-ca&amp;id=urn:contentItem:5F7T-S781-F7G6-636J-00000-00&amp;context=" TargetMode="External" /><Relationship Id="rId65" Type="http://schemas.openxmlformats.org/officeDocument/2006/relationships/image" Target="media/image1.jpeg" /><Relationship Id="rId650" Type="http://schemas.openxmlformats.org/officeDocument/2006/relationships/header" Target="header103.xml" /><Relationship Id="rId651" Type="http://schemas.openxmlformats.org/officeDocument/2006/relationships/header" Target="header104.xml" /><Relationship Id="rId652" Type="http://schemas.openxmlformats.org/officeDocument/2006/relationships/footer" Target="footer103.xml" /><Relationship Id="rId653" Type="http://schemas.openxmlformats.org/officeDocument/2006/relationships/footer" Target="footer104.xml" /><Relationship Id="rId654" Type="http://schemas.openxmlformats.org/officeDocument/2006/relationships/header" Target="header105.xml" /><Relationship Id="rId655" Type="http://schemas.openxmlformats.org/officeDocument/2006/relationships/footer" Target="footer105.xml" /><Relationship Id="rId656" Type="http://schemas.openxmlformats.org/officeDocument/2006/relationships/hyperlink" Target="https://advance.lexis.com/api/document?collection=cases-ca&amp;id=urn:contentItem:5F7T-S7H1-JS5Y-B335-00000-00&amp;context=" TargetMode="External" /><Relationship Id="rId657" Type="http://schemas.openxmlformats.org/officeDocument/2006/relationships/hyperlink" Target="https://advance.lexis.com/api/document?collection=legislation-ca&amp;id=urn:contentItem:5VYK-W9R1-F2MB-S2P6-00000-00&amp;context=" TargetMode="External" /><Relationship Id="rId658" Type="http://schemas.openxmlformats.org/officeDocument/2006/relationships/hyperlink" Target="https://advance.lexis.com/api/document?collection=cases-ca&amp;id=urn:contentItem:5F7T-S7F1-FFFC-B239-00000-00&amp;context=" TargetMode="External" /><Relationship Id="rId659" Type="http://schemas.openxmlformats.org/officeDocument/2006/relationships/hyperlink" Target="https://advance.lexis.com/api/document?collection=cases-ca&amp;id=urn:contentItem:5F7T-S7F1-FJTD-G34B-00000-00&amp;context=" TargetMode="External" /><Relationship Id="rId66" Type="http://schemas.openxmlformats.org/officeDocument/2006/relationships/hyperlink" Target="https://advance.lexis.com/api/document?collection=cases-ca&amp;id=urn:contentItem:5NBM-9KY1-JCRC-B3Y8-00000-00&amp;context=" TargetMode="External" /><Relationship Id="rId660" Type="http://schemas.openxmlformats.org/officeDocument/2006/relationships/hyperlink" Target="https://advance.lexis.com/api/document?collection=cases-ca&amp;id=urn:contentItem:5F8T-N3V1-FC1F-M4CP-00000-00&amp;context=" TargetMode="External" /><Relationship Id="rId661" Type="http://schemas.openxmlformats.org/officeDocument/2006/relationships/hyperlink" Target="https://advance.lexis.com/api/document?collection=cases-ca&amp;id=urn:contentItem:5F7T-S731-F1WF-M1Y1-00000-00&amp;context=" TargetMode="External" /><Relationship Id="rId662" Type="http://schemas.openxmlformats.org/officeDocument/2006/relationships/hyperlink" Target="https://advance.lexis.com/api/document?collection=cases-ca&amp;id=urn:contentItem:5F7T-S7G1-JBT7-X42G-00000-00&amp;context=" TargetMode="External" /><Relationship Id="rId663" Type="http://schemas.openxmlformats.org/officeDocument/2006/relationships/hyperlink" Target="https://advance.lexis.com/api/document?collection=cases-ca&amp;id=urn:contentItem:5F8P-SGB1-FBV7-B4BS-00000-00&amp;context=" TargetMode="External" /><Relationship Id="rId664" Type="http://schemas.openxmlformats.org/officeDocument/2006/relationships/hyperlink" Target="https://advance.lexis.com/api/document?collection=cases-ca&amp;id=urn:contentItem:5F8P-SDW1-F57G-S132-00000-00&amp;context=" TargetMode="External" /><Relationship Id="rId665" Type="http://schemas.openxmlformats.org/officeDocument/2006/relationships/hyperlink" Target="https://advance.lexis.com/api/document?collection=cases-ca&amp;id=urn:contentItem:5F8P-SF21-JJK6-S0KP-00000-00&amp;context=" TargetMode="External" /><Relationship Id="rId666" Type="http://schemas.openxmlformats.org/officeDocument/2006/relationships/hyperlink" Target="https://advance.lexis.com/api/document?collection=cases-ca&amp;id=urn:contentItem:5F8T-N3V1-JTGH-B192-00000-00&amp;context=" TargetMode="External" /><Relationship Id="rId667" Type="http://schemas.openxmlformats.org/officeDocument/2006/relationships/header" Target="header106.xml" /><Relationship Id="rId668" Type="http://schemas.openxmlformats.org/officeDocument/2006/relationships/header" Target="header107.xml" /><Relationship Id="rId669" Type="http://schemas.openxmlformats.org/officeDocument/2006/relationships/footer" Target="footer106.xml" /><Relationship Id="rId67" Type="http://schemas.openxmlformats.org/officeDocument/2006/relationships/hyperlink" Target="https://advance.lexis.com/api/document?collection=cases-ca&amp;id=urn:contentItem:5F81-YH41-JX8W-M05P-00000-00&amp;context=" TargetMode="External" /><Relationship Id="rId670" Type="http://schemas.openxmlformats.org/officeDocument/2006/relationships/footer" Target="footer107.xml" /><Relationship Id="rId671" Type="http://schemas.openxmlformats.org/officeDocument/2006/relationships/header" Target="header108.xml" /><Relationship Id="rId672" Type="http://schemas.openxmlformats.org/officeDocument/2006/relationships/footer" Target="footer108.xml" /><Relationship Id="rId673" Type="http://schemas.openxmlformats.org/officeDocument/2006/relationships/hyperlink" Target="https://advance.lexis.com/api/document?collection=cases-ca&amp;id=urn:contentItem:5F7T-S7K1-JKHB-62RF-00000-00&amp;context=" TargetMode="External" /><Relationship Id="rId674" Type="http://schemas.openxmlformats.org/officeDocument/2006/relationships/hyperlink" Target="https://advance.lexis.com/api/document?collection=legislation-ca&amp;id=urn:contentItem:5VYK-W9V1-F4NT-X507-00000-00&amp;context=" TargetMode="External" /><Relationship Id="rId675" Type="http://schemas.openxmlformats.org/officeDocument/2006/relationships/hyperlink" Target="https://advance.lexis.com/api/document?collection=legislation-ca&amp;id=urn:contentItem:5F41-1FJ1-JBDT-B069-00000-00&amp;context=" TargetMode="External" /><Relationship Id="rId676" Type="http://schemas.openxmlformats.org/officeDocument/2006/relationships/hyperlink" Target="https://advance.lexis.com/api/document?collection=cases-ca&amp;id=urn:contentItem:5F7T-S7D1-DY89-M40V-00000-00&amp;context=" TargetMode="External" /><Relationship Id="rId677" Type="http://schemas.openxmlformats.org/officeDocument/2006/relationships/hyperlink" Target="https://advance.lexis.com/api/document?collection=cases-ca&amp;id=urn:contentItem:5F7T-S6V1-JWR6-S16K-00000-00&amp;context=" TargetMode="External" /><Relationship Id="rId678" Type="http://schemas.openxmlformats.org/officeDocument/2006/relationships/hyperlink" Target="https://advance.lexis.com/api/document?collection=cases-ca&amp;id=urn:contentItem:5F7T-S7G1-JPP5-21S2-00000-00&amp;context=" TargetMode="External" /><Relationship Id="rId679" Type="http://schemas.openxmlformats.org/officeDocument/2006/relationships/hyperlink" Target="https://advance.lexis.com/api/document?collection=cases-ca&amp;id=urn:contentItem:5F7T-S6Y1-JF75-M3TH-00000-00&amp;context=" TargetMode="External" /><Relationship Id="rId68" Type="http://schemas.openxmlformats.org/officeDocument/2006/relationships/hyperlink" Target="https://advance.lexis.com/api/document?collection=cases-ca&amp;id=urn:contentItem:5GCC-XVB1-JGHR-M479-00000-00&amp;context=" TargetMode="External" /><Relationship Id="rId680" Type="http://schemas.openxmlformats.org/officeDocument/2006/relationships/hyperlink" Target="https://advance.lexis.com/api/document?collection=cases-ca&amp;id=urn:contentItem:5F8P-SF01-JTGH-B3WF-00000-00&amp;context=" TargetMode="External" /><Relationship Id="rId681" Type="http://schemas.openxmlformats.org/officeDocument/2006/relationships/hyperlink" Target="https://advance.lexis.com/api/document?collection=cases-ca&amp;id=urn:contentItem:5F7T-S731-FFFC-B0HN-00000-00&amp;context=" TargetMode="External" /><Relationship Id="rId682" Type="http://schemas.openxmlformats.org/officeDocument/2006/relationships/hyperlink" Target="https://advance.lexis.com/api/document?collection=cases-ca&amp;id=urn:contentItem:5F7T-S741-F8D9-M1BF-00000-00&amp;context=" TargetMode="External" /><Relationship Id="rId683" Type="http://schemas.openxmlformats.org/officeDocument/2006/relationships/hyperlink" Target="https://advance.lexis.com/api/document?collection=cases-ca&amp;id=urn:contentItem:5F7T-S7J1-JGBH-B220-00000-00&amp;context=" TargetMode="External" /><Relationship Id="rId684" Type="http://schemas.openxmlformats.org/officeDocument/2006/relationships/hyperlink" Target="https://advance.lexis.com/api/document?collection=cases-ca&amp;id=urn:contentItem:5F16-93B1-JKB3-X3NW-00000-00&amp;context=" TargetMode="External" /><Relationship Id="rId685" Type="http://schemas.openxmlformats.org/officeDocument/2006/relationships/hyperlink" Target="https://advance.lexis.com/api/document?collection=cases-ca&amp;id=urn:contentItem:5F7T-XPR1-F65M-6240-00000-00&amp;context=" TargetMode="External" /><Relationship Id="rId686" Type="http://schemas.openxmlformats.org/officeDocument/2006/relationships/hyperlink" Target="https://advance.lexis.com/api/document?collection=cases-ca&amp;id=urn:contentItem:5F7T-XPR1-JCBX-S1T9-00000-00&amp;context=" TargetMode="External" /><Relationship Id="rId687" Type="http://schemas.openxmlformats.org/officeDocument/2006/relationships/hyperlink" Target="https://advance.lexis.com/api/document?collection=cases-ca&amp;id=urn:contentItem:5F7T-S701-JJYN-B2W8-00000-00&amp;context=" TargetMode="External" /><Relationship Id="rId688" Type="http://schemas.openxmlformats.org/officeDocument/2006/relationships/hyperlink" Target="https://advance.lexis.com/api/document?collection=cases-ca&amp;id=urn:contentItem:5F2P-NNM1-JCRC-B52T-00000-00&amp;context=" TargetMode="External" /><Relationship Id="rId689" Type="http://schemas.openxmlformats.org/officeDocument/2006/relationships/hyperlink" Target="https://advance.lexis.com/api/document?collection=cases-ca&amp;id=urn:contentItem:5F82-1SB1-JPP5-24NT-00000-00&amp;context=" TargetMode="External" /><Relationship Id="rId69" Type="http://schemas.openxmlformats.org/officeDocument/2006/relationships/hyperlink" Target="https://advance.lexis.com/api/document?collection=cases-ca&amp;id=urn:contentItem:5F7T-S6Y1-F65M-604Y-00000-00&amp;context=" TargetMode="External" /><Relationship Id="rId690" Type="http://schemas.openxmlformats.org/officeDocument/2006/relationships/hyperlink" Target="https://advance.lexis.com/api/document?collection=cases-ca&amp;id=urn:contentItem:5F7T-S7H1-K054-G25X-00000-00&amp;context=" TargetMode="External" /><Relationship Id="rId691" Type="http://schemas.openxmlformats.org/officeDocument/2006/relationships/hyperlink" Target="https://advance.lexis.com/api/document?collection=cases-ca&amp;id=urn:contentItem:5F7T-S6V1-JC0G-629K-00000-00&amp;context=" TargetMode="External" /><Relationship Id="rId692" Type="http://schemas.openxmlformats.org/officeDocument/2006/relationships/hyperlink" Target="https://advance.lexis.com/api/document?collection=cases-ca&amp;id=urn:contentItem:5F81-WC31-F5KY-B4VK-00000-00&amp;context=" TargetMode="External" /><Relationship Id="rId693" Type="http://schemas.openxmlformats.org/officeDocument/2006/relationships/hyperlink" Target="https://advance.lexis.com/api/document?collection=cases-ca&amp;id=urn:contentItem:5F7T-S6W1-F8SS-62MR-00000-00&amp;context=" TargetMode="External" /><Relationship Id="rId694" Type="http://schemas.openxmlformats.org/officeDocument/2006/relationships/hyperlink" Target="https://advance.lexis.com/api/document?collection=cases-ca&amp;id=urn:contentItem:5F7T-S6V1-F2TK-21YN-00000-00&amp;context=" TargetMode="External" /><Relationship Id="rId695" Type="http://schemas.openxmlformats.org/officeDocument/2006/relationships/hyperlink" Target="https://advance.lexis.com/api/document?collection=cases-ca&amp;id=urn:contentItem:5F7T-S7H1-JFSV-G30V-00000-00&amp;context=" TargetMode="External" /><Relationship Id="rId696" Type="http://schemas.openxmlformats.org/officeDocument/2006/relationships/hyperlink" Target="https://advance.lexis.com/api/document?collection=cases-ca&amp;id=urn:contentItem:5F8P-SD21-JNS1-M4TG-00000-00&amp;context=" TargetMode="External" /><Relationship Id="rId697" Type="http://schemas.openxmlformats.org/officeDocument/2006/relationships/hyperlink" Target="https://advance.lexis.com/api/document?collection=cases-ca&amp;id=urn:contentItem:5F82-1SD1-FC1F-M35N-00000-00&amp;context=" TargetMode="External" /><Relationship Id="rId698" Type="http://schemas.openxmlformats.org/officeDocument/2006/relationships/hyperlink" Target="https://advance.lexis.com/api/document?collection=cases-ca&amp;id=urn:contentItem:5F7T-S771-JSJC-X0FT-00000-00&amp;context=" TargetMode="External" /><Relationship Id="rId699" Type="http://schemas.openxmlformats.org/officeDocument/2006/relationships/hyperlink" Target="https://advance.lexis.com/api/document?collection=cases-ca&amp;id=urn:contentItem:5F82-1SD1-F8D9-M327-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01-JK4W-M150-00000-00&amp;context=" TargetMode="External" /><Relationship Id="rId700" Type="http://schemas.openxmlformats.org/officeDocument/2006/relationships/hyperlink" Target="https://advance.lexis.com/api/document?collection=cases-ca&amp;id=urn:contentItem:5F7T-S7J1-JGBH-B270-00000-00&amp;context=" TargetMode="External" /><Relationship Id="rId701" Type="http://schemas.openxmlformats.org/officeDocument/2006/relationships/hyperlink" Target="https://advance.lexis.com/api/document?collection=cases-ca&amp;id=urn:contentItem:5F16-92X1-JS5Y-B54Y-00000-00&amp;context=" TargetMode="External" /><Relationship Id="rId702" Type="http://schemas.openxmlformats.org/officeDocument/2006/relationships/hyperlink" Target="https://advance.lexis.com/api/document?collection=cases-ca&amp;id=urn:contentItem:5F81-VJV1-DXWW-22F0-00000-00&amp;context=" TargetMode="External" /><Relationship Id="rId703" Type="http://schemas.openxmlformats.org/officeDocument/2006/relationships/hyperlink" Target="https://advance.lexis.com/api/document?collection=cases-ca&amp;id=urn:contentItem:5F7T-XPY1-F7G6-64Y5-00000-00&amp;context=" TargetMode="External" /><Relationship Id="rId704" Type="http://schemas.openxmlformats.org/officeDocument/2006/relationships/hyperlink" Target="https://advance.lexis.com/api/document?collection=cases-ca&amp;id=urn:contentItem:5F81-VJT1-FD4T-B27S-00000-00&amp;context=" TargetMode="External" /><Relationship Id="rId705" Type="http://schemas.openxmlformats.org/officeDocument/2006/relationships/hyperlink" Target="https://advance.lexis.com/api/document?collection=cases-ca&amp;id=urn:contentItem:5F16-9351-JFKM-628V-00000-00&amp;context=" TargetMode="External" /><Relationship Id="rId706" Type="http://schemas.openxmlformats.org/officeDocument/2006/relationships/hyperlink" Target="https://advance.lexis.com/api/document?collection=cases-ca&amp;id=urn:contentItem:5F7T-S731-F60C-X11C-00000-00&amp;context=" TargetMode="External" /><Relationship Id="rId707" Type="http://schemas.openxmlformats.org/officeDocument/2006/relationships/hyperlink" Target="https://advance.lexis.com/api/document?collection=cases-ca&amp;id=urn:contentItem:5F8T-N3V1-JTGH-B1F3-00000-00&amp;context=" TargetMode="External" /><Relationship Id="rId708" Type="http://schemas.openxmlformats.org/officeDocument/2006/relationships/hyperlink" Target="https://advance.lexis.com/api/document?collection=cases-ca&amp;id=urn:contentItem:5F7T-S731-F016-S38H-00000-00&amp;context=" TargetMode="External" /><Relationship Id="rId709" Type="http://schemas.openxmlformats.org/officeDocument/2006/relationships/hyperlink" Target="https://advance.lexis.com/api/document?collection=cases-ca&amp;id=urn:contentItem:5F7T-S711-JNY7-X39H-00000-00&amp;context=" TargetMode="External" /><Relationship Id="rId71" Type="http://schemas.openxmlformats.org/officeDocument/2006/relationships/hyperlink" Target="https://advance.lexis.com/api/document?collection=cases-ca&amp;id=urn:contentItem:5F82-1SB1-JPP5-24NX-00000-00&amp;context=" TargetMode="External" /><Relationship Id="rId710" Type="http://schemas.openxmlformats.org/officeDocument/2006/relationships/hyperlink" Target="https://advance.lexis.com/api/document?collection=cases-ca&amp;id=urn:contentItem:5F7T-S6X1-JXNB-62MK-00000-00&amp;context=" TargetMode="External" /><Relationship Id="rId711" Type="http://schemas.openxmlformats.org/officeDocument/2006/relationships/hyperlink" Target="https://advance.lexis.com/api/document?collection=cases-ca&amp;id=urn:contentItem:5F7T-S6T1-F2F4-G1N4-00000-00&amp;context=" TargetMode="External" /><Relationship Id="rId712" Type="http://schemas.openxmlformats.org/officeDocument/2006/relationships/hyperlink" Target="https://advance.lexis.com/api/document?collection=cases-ca&amp;id=urn:contentItem:5F8T-N3T1-JFKM-651V-00000-00&amp;context=" TargetMode="External" /><Relationship Id="rId713" Type="http://schemas.openxmlformats.org/officeDocument/2006/relationships/hyperlink" Target="https://advance.lexis.com/api/document?collection=cases-ca&amp;id=urn:contentItem:5F7T-S6Y1-JNY7-X2GK-00000-00&amp;context=" TargetMode="External" /><Relationship Id="rId714" Type="http://schemas.openxmlformats.org/officeDocument/2006/relationships/hyperlink" Target="https://advance.lexis.com/api/document?collection=cases-ca&amp;id=urn:contentItem:5F7T-S781-F7G6-63F7-00000-00&amp;context=" TargetMode="External" /><Relationship Id="rId715" Type="http://schemas.openxmlformats.org/officeDocument/2006/relationships/hyperlink" Target="https://advance.lexis.com/api/document?collection=cases-ca&amp;id=urn:contentItem:5F7T-S7C1-JSRM-612M-00000-00&amp;context=" TargetMode="External" /><Relationship Id="rId716" Type="http://schemas.openxmlformats.org/officeDocument/2006/relationships/hyperlink" Target="https://advance.lexis.com/api/document?collection=cases-ca&amp;id=urn:contentItem:5F7T-S7K1-JSJC-X130-00000-00&amp;context=" TargetMode="External" /><Relationship Id="rId717" Type="http://schemas.openxmlformats.org/officeDocument/2006/relationships/hyperlink" Target="https://advance.lexis.com/api/document?collection=cases-ca&amp;id=urn:contentItem:5F8T-N3V1-FC1F-M4BS-00000-00&amp;context=" TargetMode="External" /><Relationship Id="rId718" Type="http://schemas.openxmlformats.org/officeDocument/2006/relationships/hyperlink" Target="https://advance.lexis.com/api/document?collection=cases-ca&amp;id=urn:contentItem:5F8T-N3V1-JF75-M3K1-00000-00&amp;context=" TargetMode="External" /><Relationship Id="rId719" Type="http://schemas.openxmlformats.org/officeDocument/2006/relationships/hyperlink" Target="https://advance.lexis.com/api/document?collection=cases-ca&amp;id=urn:contentItem:5F7T-S731-FG12-62D4-00000-00&amp;context=" TargetMode="External" /><Relationship Id="rId72" Type="http://schemas.openxmlformats.org/officeDocument/2006/relationships/hyperlink" Target="https://advance.lexis.com/api/document?collection=cases-ca&amp;id=urn:contentItem:5F7T-S771-JJD0-G13S-00000-00&amp;context=" TargetMode="External" /><Relationship Id="rId720" Type="http://schemas.openxmlformats.org/officeDocument/2006/relationships/hyperlink" Target="https://advance.lexis.com/api/document?collection=cases-ca&amp;id=urn:contentItem:5F7T-S6T1-FD4T-B09G-00000-00&amp;context=" TargetMode="External" /><Relationship Id="rId721" Type="http://schemas.openxmlformats.org/officeDocument/2006/relationships/hyperlink" Target="https://advance.lexis.com/api/document?collection=cases-ca&amp;id=urn:contentItem:5F7T-S6W1-F7ND-G2JK-00000-00&amp;context=" TargetMode="External" /><Relationship Id="rId722" Type="http://schemas.openxmlformats.org/officeDocument/2006/relationships/hyperlink" Target="https://advance.lexis.com/api/document?collection=cases-ca&amp;id=urn:contentItem:5F81-VJV1-FC6N-X2GC-00000-00&amp;context=" TargetMode="External" /><Relationship Id="rId723" Type="http://schemas.openxmlformats.org/officeDocument/2006/relationships/hyperlink" Target="https://advance.lexis.com/api/document?collection=cases-ca&amp;id=urn:contentItem:5F8T-N3V1-JF75-M3VS-00000-00&amp;context=" TargetMode="External" /><Relationship Id="rId724" Type="http://schemas.openxmlformats.org/officeDocument/2006/relationships/hyperlink" Target="https://advance.lexis.com/api/document?collection=cases-ca&amp;id=urn:contentItem:5F7T-S7F1-FFFC-B1VX-00000-00&amp;context=" TargetMode="External" /><Relationship Id="rId725" Type="http://schemas.openxmlformats.org/officeDocument/2006/relationships/hyperlink" Target="https://advance.lexis.com/api/document?collection=cases-ca&amp;id=urn:contentItem:5F82-1SH1-JWBS-606C-00000-00&amp;context=" TargetMode="External" /><Relationship Id="rId726" Type="http://schemas.openxmlformats.org/officeDocument/2006/relationships/hyperlink" Target="https://advance.lexis.com/api/document?collection=cases-ca&amp;id=urn:contentItem:5F16-9351-FFFC-B2W8-00000-00&amp;context=" TargetMode="External" /><Relationship Id="rId727" Type="http://schemas.openxmlformats.org/officeDocument/2006/relationships/hyperlink" Target="https://advance.lexis.com/api/document?collection=cases-ca&amp;id=urn:contentItem:5F7T-S7C1-JCJ5-20RT-00000-00&amp;context=" TargetMode="External" /><Relationship Id="rId728" Type="http://schemas.openxmlformats.org/officeDocument/2006/relationships/header" Target="header109.xml" /><Relationship Id="rId729" Type="http://schemas.openxmlformats.org/officeDocument/2006/relationships/header" Target="header110.xml" /><Relationship Id="rId73" Type="http://schemas.openxmlformats.org/officeDocument/2006/relationships/hyperlink" Target="https://advance.lexis.com/api/document?collection=cases-ca&amp;id=urn:contentItem:5F7T-S7F1-F7VM-S4FW-00000-00&amp;context=" TargetMode="External" /><Relationship Id="rId730" Type="http://schemas.openxmlformats.org/officeDocument/2006/relationships/footer" Target="footer109.xml" /><Relationship Id="rId731" Type="http://schemas.openxmlformats.org/officeDocument/2006/relationships/footer" Target="footer110.xml" /><Relationship Id="rId732" Type="http://schemas.openxmlformats.org/officeDocument/2006/relationships/header" Target="header111.xml" /><Relationship Id="rId733" Type="http://schemas.openxmlformats.org/officeDocument/2006/relationships/footer" Target="footer111.xml" /><Relationship Id="rId734" Type="http://schemas.openxmlformats.org/officeDocument/2006/relationships/hyperlink" Target="https://advance.lexis.com/api/document?collection=cases-ca&amp;id=urn:contentItem:5F7T-S7H1-JG02-S3DJ-00000-00&amp;context=" TargetMode="External" /><Relationship Id="rId735" Type="http://schemas.openxmlformats.org/officeDocument/2006/relationships/hyperlink" Target="https://advance.lexis.com/api/document?collection=legislation-ca&amp;id=urn:contentItem:5TBM-3RN1-FBV7-B0M1-00000-00&amp;context=" TargetMode="External" /><Relationship Id="rId736" Type="http://schemas.openxmlformats.org/officeDocument/2006/relationships/hyperlink" Target="https://advance.lexis.com/api/document?collection=legislation-ca&amp;id=urn:contentItem:5VYK-WB61-JXG3-X3FD-00000-00&amp;context=" TargetMode="External" /><Relationship Id="rId737" Type="http://schemas.openxmlformats.org/officeDocument/2006/relationships/image" Target="media/image11.png" /><Relationship Id="rId738" Type="http://schemas.openxmlformats.org/officeDocument/2006/relationships/hyperlink" Target="https://advance.lexis.com/api/document?collection=cases-ca&amp;id=urn:contentItem:5F8T-N3V1-FC1F-M497-00000-00&amp;context=" TargetMode="External" /><Relationship Id="rId739" Type="http://schemas.openxmlformats.org/officeDocument/2006/relationships/hyperlink" Target="https://advance.lexis.com/api/document?collection=cases-ca&amp;id=urn:contentItem:5F8P-SDM1-F5T5-M2K8-00000-00&amp;context=" TargetMode="External" /><Relationship Id="rId74" Type="http://schemas.openxmlformats.org/officeDocument/2006/relationships/hyperlink" Target="https://advance.lexis.com/api/document?collection=cases-ca&amp;id=urn:contentItem:5F7T-S7N1-JC5P-G1Y4-00000-00&amp;context=" TargetMode="External" /><Relationship Id="rId740" Type="http://schemas.openxmlformats.org/officeDocument/2006/relationships/hyperlink" Target="https://advance.lexis.com/api/document?collection=cases-ca&amp;id=urn:contentItem:5F7T-S7D1-JS5Y-B2D4-00000-00&amp;context=" TargetMode="External" /><Relationship Id="rId741" Type="http://schemas.openxmlformats.org/officeDocument/2006/relationships/hyperlink" Target="https://advance.lexis.com/api/document?collection=cases-ca&amp;id=urn:contentItem:5F82-1SF1-F361-M41C-00000-00&amp;context=" TargetMode="External" /><Relationship Id="rId742" Type="http://schemas.openxmlformats.org/officeDocument/2006/relationships/hyperlink" Target="https://advance.lexis.com/api/document?collection=cases-ca&amp;id=urn:contentItem:5F81-VJX1-JKPJ-G1J0-00000-00&amp;context=" TargetMode="External" /><Relationship Id="rId743" Type="http://schemas.openxmlformats.org/officeDocument/2006/relationships/hyperlink" Target="https://advance.lexis.com/api/document?collection=cases-ca&amp;id=urn:contentItem:5F81-VJX1-FGY5-M3C6-00000-00&amp;context=" TargetMode="External" /><Relationship Id="rId744" Type="http://schemas.openxmlformats.org/officeDocument/2006/relationships/hyperlink" Target="https://advance.lexis.com/api/document?collection=cases-ca&amp;id=urn:contentItem:5F8P-SDG1-F4GK-M1Y1-00000-00&amp;context=" TargetMode="External" /><Relationship Id="rId745" Type="http://schemas.openxmlformats.org/officeDocument/2006/relationships/hyperlink" Target="https://advance.lexis.com/api/document?collection=cases-ca&amp;id=urn:contentItem:5F8P-JHM1-JJYN-B515-00000-00&amp;context=" TargetMode="External" /><Relationship Id="rId746" Type="http://schemas.openxmlformats.org/officeDocument/2006/relationships/hyperlink" Target="https://advance.lexis.com/api/document?collection=cases-ca&amp;id=urn:contentItem:5F8P-JJ21-JX8W-M1P1-00000-00&amp;context=" TargetMode="External" /><Relationship Id="rId747" Type="http://schemas.openxmlformats.org/officeDocument/2006/relationships/hyperlink" Target="https://advance.lexis.com/api/document?collection=cases-ca&amp;id=urn:contentItem:5F7T-S741-DY89-M3MH-00000-00&amp;context=" TargetMode="External" /><Relationship Id="rId748" Type="http://schemas.openxmlformats.org/officeDocument/2006/relationships/hyperlink" Target="https://advance.lexis.com/api/document?collection=cases-ca&amp;id=urn:contentItem:5F7T-S751-F361-M0R6-00000-00&amp;context=" TargetMode="External" /><Relationship Id="rId749" Type="http://schemas.openxmlformats.org/officeDocument/2006/relationships/hyperlink" Target="https://advance.lexis.com/api/document?collection=cases-ca&amp;id=urn:contentItem:5F81-VJX1-FCK4-G1XM-00000-00&amp;context=" TargetMode="External" /><Relationship Id="rId75" Type="http://schemas.openxmlformats.org/officeDocument/2006/relationships/hyperlink" Target="https://advance.lexis.com/api/document?collection=cases-ca&amp;id=urn:contentItem:5F7T-S7P1-JSJC-X1DV-00000-00&amp;context=" TargetMode="External" /><Relationship Id="rId750" Type="http://schemas.openxmlformats.org/officeDocument/2006/relationships/hyperlink" Target="https://advance.lexis.com/api/document?collection=cases-ca&amp;id=urn:contentItem:5F81-VJX1-FD4T-B2T0-00000-00&amp;context=" TargetMode="External" /><Relationship Id="rId751" Type="http://schemas.openxmlformats.org/officeDocument/2006/relationships/hyperlink" Target="https://advance.lexis.com/api/document?collection=cases-ca&amp;id=urn:contentItem:5F8P-SF01-JS0R-20H2-00000-00&amp;context=" TargetMode="External" /><Relationship Id="rId752" Type="http://schemas.openxmlformats.org/officeDocument/2006/relationships/hyperlink" Target="https://advance.lexis.com/api/document?collection=cases-ca&amp;id=urn:contentItem:5F8P-SDT1-F7ND-G4MG-00000-00&amp;context=" TargetMode="External" /><Relationship Id="rId753" Type="http://schemas.openxmlformats.org/officeDocument/2006/relationships/hyperlink" Target="https://advance.lexis.com/api/document?collection=cases-ca&amp;id=urn:contentItem:5F8P-SDK1-JGHR-M001-00000-00&amp;context=" TargetMode="External" /><Relationship Id="rId754" Type="http://schemas.openxmlformats.org/officeDocument/2006/relationships/hyperlink" Target="https://advance.lexis.com/api/document?collection=cases-ca&amp;id=urn:contentItem:5F8T-N3V1-JFKM-6096-00000-00&amp;context=" TargetMode="External" /><Relationship Id="rId755" Type="http://schemas.openxmlformats.org/officeDocument/2006/relationships/hyperlink" Target="https://advance.lexis.com/api/document?collection=cases-ca&amp;id=urn:contentItem:5F8P-SD81-F1H1-24YW-00000-00&amp;context=" TargetMode="External" /><Relationship Id="rId756" Type="http://schemas.openxmlformats.org/officeDocument/2006/relationships/hyperlink" Target="https://advance.lexis.com/api/document?collection=cases-ca&amp;id=urn:contentItem:5F8T-N3V1-FC1F-M46D-00000-00&amp;context=" TargetMode="External" /><Relationship Id="rId757" Type="http://schemas.openxmlformats.org/officeDocument/2006/relationships/hyperlink" Target="https://advance.lexis.com/api/document?collection=cases-ca&amp;id=urn:contentItem:5F8P-SF11-JF1Y-B380-00000-00&amp;context=" TargetMode="External" /><Relationship Id="rId758" Type="http://schemas.openxmlformats.org/officeDocument/2006/relationships/hyperlink" Target="https://advance.lexis.com/api/document?collection=cases-ca&amp;id=urn:contentItem:5F7T-S7D1-FC6N-X0KD-00000-00&amp;context=" TargetMode="External" /><Relationship Id="rId759" Type="http://schemas.openxmlformats.org/officeDocument/2006/relationships/hyperlink" Target="https://advance.lexis.com/api/document?collection=cases-ca&amp;id=urn:contentItem:5F81-VJX1-FD4T-B30N-00000-00&amp;context=" TargetMode="External" /><Relationship Id="rId76" Type="http://schemas.openxmlformats.org/officeDocument/2006/relationships/hyperlink" Target="https://advance.lexis.com/api/document?collection=cases-ca&amp;id=urn:contentItem:5F7T-S771-JTGH-B19P-00000-00&amp;context=" TargetMode="External" /><Relationship Id="rId760" Type="http://schemas.openxmlformats.org/officeDocument/2006/relationships/hyperlink" Target="https://advance.lexis.com/api/document?collection=cases-ca&amp;id=urn:contentItem:5F7T-S7B1-FH4C-X38F-00000-00&amp;context=" TargetMode="External" /><Relationship Id="rId761" Type="http://schemas.openxmlformats.org/officeDocument/2006/relationships/hyperlink" Target="https://advance.lexis.com/api/document?collection=cases-ca&amp;id=urn:contentItem:5F7T-S7F1-FFFC-B25N-00000-00&amp;context=" TargetMode="External" /><Relationship Id="rId762" Type="http://schemas.openxmlformats.org/officeDocument/2006/relationships/hyperlink" Target="https://advance.lexis.com/api/document?collection=cases-ca&amp;id=urn:contentItem:5F7T-S7D1-JN6B-S159-00000-00&amp;context=" TargetMode="External" /><Relationship Id="rId763" Type="http://schemas.openxmlformats.org/officeDocument/2006/relationships/hyperlink" Target="https://advance.lexis.com/api/document?collection=cases-ca&amp;id=urn:contentItem:5F8P-SDY1-F30T-B05P-00000-00&amp;context=" TargetMode="External" /><Relationship Id="rId764" Type="http://schemas.openxmlformats.org/officeDocument/2006/relationships/hyperlink" Target="https://advance.lexis.com/api/document?collection=cases-ca&amp;id=urn:contentItem:5F81-VJX1-FCK4-G1WJ-00000-00&amp;context=" TargetMode="External" /><Relationship Id="rId765" Type="http://schemas.openxmlformats.org/officeDocument/2006/relationships/hyperlink" Target="https://advance.lexis.com/api/document?collection=cases-ca&amp;id=urn:contentItem:5F82-1SH1-F57G-S301-00000-00&amp;context=" TargetMode="External" /><Relationship Id="rId766" Type="http://schemas.openxmlformats.org/officeDocument/2006/relationships/hyperlink" Target="https://advance.lexis.com/api/document?collection=cases-ca&amp;id=urn:contentItem:5F8P-SF11-F8SS-6366-00000-00&amp;context=" TargetMode="External" /><Relationship Id="rId767" Type="http://schemas.openxmlformats.org/officeDocument/2006/relationships/hyperlink" Target="https://advance.lexis.com/api/document?collection=cases-ca&amp;id=urn:contentItem:5F81-VJY1-JWBS-64DJ-00000-00&amp;context=" TargetMode="External" /><Relationship Id="rId768" Type="http://schemas.openxmlformats.org/officeDocument/2006/relationships/hyperlink" Target="https://advance.lexis.com/api/document?collection=cases-ca&amp;id=urn:contentItem:5F82-1SH1-JYYX-60Y5-00000-00&amp;context=" TargetMode="External" /><Relationship Id="rId769" Type="http://schemas.openxmlformats.org/officeDocument/2006/relationships/hyperlink" Target="https://advance.lexis.com/api/document?collection=cases-ca&amp;id=urn:contentItem:5F81-VJX1-FCK4-G1DH-00000-00&amp;context=" TargetMode="External" /><Relationship Id="rId77" Type="http://schemas.openxmlformats.org/officeDocument/2006/relationships/hyperlink" Target="https://advance.lexis.com/api/document?collection=cases-ca&amp;id=urn:contentItem:5HX7-VJ11-FCSB-S401-00000-00&amp;context=" TargetMode="External" /><Relationship Id="rId770" Type="http://schemas.openxmlformats.org/officeDocument/2006/relationships/hyperlink" Target="https://advance.lexis.com/api/document?collection=cases-ca&amp;id=urn:contentItem:5F82-1SF1-F361-M420-00000-00&amp;context=" TargetMode="External" /><Relationship Id="rId771" Type="http://schemas.openxmlformats.org/officeDocument/2006/relationships/hyperlink" Target="https://advance.lexis.com/api/document?collection=cases-ca&amp;id=urn:contentItem:5F81-VJX1-FGY5-M3BF-00000-00&amp;context=" TargetMode="External" /><Relationship Id="rId772" Type="http://schemas.openxmlformats.org/officeDocument/2006/relationships/hyperlink" Target="https://advance.lexis.com/api/document?collection=cases-ca&amp;id=urn:contentItem:5F81-VJX1-FD4T-B2KY-00000-00&amp;context=" TargetMode="External" /><Relationship Id="rId773" Type="http://schemas.openxmlformats.org/officeDocument/2006/relationships/hyperlink" Target="https://advance.lexis.com/api/document?collection=cases-ca&amp;id=urn:contentItem:5F82-1SF1-JKPJ-G2G7-00000-00&amp;context=" TargetMode="External" /><Relationship Id="rId774" Type="http://schemas.openxmlformats.org/officeDocument/2006/relationships/hyperlink" Target="https://advance.lexis.com/api/document?collection=cases-ca&amp;id=urn:contentItem:5F8P-SDN1-FC6N-X50D-00000-00&amp;context=" TargetMode="External" /><Relationship Id="rId775" Type="http://schemas.openxmlformats.org/officeDocument/2006/relationships/hyperlink" Target="https://advance.lexis.com/api/document?collection=cases-ca&amp;id=urn:contentItem:5F7T-S7D1-JXG3-X0X4-00000-00&amp;context=" TargetMode="External" /><Relationship Id="rId776" Type="http://schemas.openxmlformats.org/officeDocument/2006/relationships/hyperlink" Target="https://advance.lexis.com/api/document?collection=cases-ca&amp;id=urn:contentItem:5F7T-S7F1-DXWW-23P0-00000-00&amp;context=" TargetMode="External" /><Relationship Id="rId777" Type="http://schemas.openxmlformats.org/officeDocument/2006/relationships/hyperlink" Target="https://advance.lexis.com/api/document?collection=cases-ca&amp;id=urn:contentItem:5F7T-S7C1-F7ND-G044-00000-00&amp;context=" TargetMode="External" /><Relationship Id="rId778" Type="http://schemas.openxmlformats.org/officeDocument/2006/relationships/image" Target="media/image12.png" /><Relationship Id="rId779" Type="http://schemas.openxmlformats.org/officeDocument/2006/relationships/image" Target="media/image13.png" /><Relationship Id="rId78" Type="http://schemas.openxmlformats.org/officeDocument/2006/relationships/hyperlink" Target="https://advance.lexis.com/api/document?collection=cases-ca&amp;id=urn:contentItem:5F7T-S7H1-F4GK-M33F-00000-00&amp;context=" TargetMode="External" /><Relationship Id="rId780" Type="http://schemas.openxmlformats.org/officeDocument/2006/relationships/image" Target="media/image14.png" /><Relationship Id="rId781" Type="http://schemas.openxmlformats.org/officeDocument/2006/relationships/image" Target="media/image15.png" /><Relationship Id="rId782" Type="http://schemas.openxmlformats.org/officeDocument/2006/relationships/image" Target="media/image16.png" /><Relationship Id="rId783" Type="http://schemas.openxmlformats.org/officeDocument/2006/relationships/header" Target="header112.xml" /><Relationship Id="rId784" Type="http://schemas.openxmlformats.org/officeDocument/2006/relationships/header" Target="header113.xml" /><Relationship Id="rId785" Type="http://schemas.openxmlformats.org/officeDocument/2006/relationships/footer" Target="footer112.xml" /><Relationship Id="rId786" Type="http://schemas.openxmlformats.org/officeDocument/2006/relationships/footer" Target="footer113.xml" /><Relationship Id="rId787" Type="http://schemas.openxmlformats.org/officeDocument/2006/relationships/header" Target="header114.xml" /><Relationship Id="rId788" Type="http://schemas.openxmlformats.org/officeDocument/2006/relationships/footer" Target="footer114.xml" /><Relationship Id="rId789" Type="http://schemas.openxmlformats.org/officeDocument/2006/relationships/hyperlink" Target="https://advance.lexis.com/api/document?collection=cases-ca&amp;id=urn:contentItem:5F7T-S7D1-JXG3-X179-00000-00&amp;context=" TargetMode="External" /><Relationship Id="rId79" Type="http://schemas.openxmlformats.org/officeDocument/2006/relationships/hyperlink" Target="https://advance.lexis.com/api/document?collection=cases-ca&amp;id=urn:contentItem:5F7T-S7D1-DY89-M4DP-00000-00&amp;context=" TargetMode="External" /><Relationship Id="rId790" Type="http://schemas.openxmlformats.org/officeDocument/2006/relationships/hyperlink" Target="https://advance.lexis.com/api/document?collection=cases-ca&amp;id=urn:contentItem:5F7T-S7H1-JG02-S3RM-00000-00&amp;context=" TargetMode="External" /><Relationship Id="rId791" Type="http://schemas.openxmlformats.org/officeDocument/2006/relationships/hyperlink" Target="https://advance.lexis.com/api/document?collection=cases-ca&amp;id=urn:contentItem:5F7T-S711-JNY7-X39Y-00000-00&amp;context=" TargetMode="External" /><Relationship Id="rId792" Type="http://schemas.openxmlformats.org/officeDocument/2006/relationships/hyperlink" Target="https://advance.lexis.com/api/document?collection=cases-ca&amp;id=urn:contentItem:5F81-YGV1-DYFH-X4W2-00000-00&amp;context=" TargetMode="External" /><Relationship Id="rId793" Type="http://schemas.openxmlformats.org/officeDocument/2006/relationships/hyperlink" Target="https://advance.lexis.com/api/document?collection=cases-ca&amp;id=urn:contentItem:5F16-9341-JK4W-M3JX-00000-00&amp;context=" TargetMode="External" /><Relationship Id="rId794" Type="http://schemas.openxmlformats.org/officeDocument/2006/relationships/hyperlink" Target="https://advance.lexis.com/api/document?collection=cases-ca&amp;id=urn:contentItem:5F16-9351-FFFC-B32M-00000-00&amp;context=" TargetMode="External" /><Relationship Id="rId795" Type="http://schemas.openxmlformats.org/officeDocument/2006/relationships/hyperlink" Target="https://advance.lexis.com/api/document?collection=cases-ca&amp;id=urn:contentItem:5F7T-S6X1-FCCX-60FB-00000-00&amp;context=" TargetMode="External" /><Relationship Id="rId796" Type="http://schemas.openxmlformats.org/officeDocument/2006/relationships/hyperlink" Target="https://advance.lexis.com/api/document?collection=cases-ca&amp;id=urn:contentItem:5F7T-S711-JNS1-M19X-00000-00&amp;context=" TargetMode="External" /><Relationship Id="rId797" Type="http://schemas.openxmlformats.org/officeDocument/2006/relationships/image" Target="media/image17.png" /><Relationship Id="rId798" Type="http://schemas.openxmlformats.org/officeDocument/2006/relationships/image" Target="media/image18.png" /><Relationship Id="rId799" Type="http://schemas.openxmlformats.org/officeDocument/2006/relationships/hyperlink" Target="https://advance.lexis.com/api/document?collection=cases-ca&amp;id=urn:contentItem:5F7T-S7H1-JFKM-6252-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K1-F528-G2R4-00000-00&amp;context=" TargetMode="External" /><Relationship Id="rId800" Type="http://schemas.openxmlformats.org/officeDocument/2006/relationships/hyperlink" Target="https://advance.lexis.com/api/document?collection=cases-ca&amp;id=urn:contentItem:5F7T-S741-F57G-S1TM-00000-00&amp;context=" TargetMode="External" /><Relationship Id="rId801" Type="http://schemas.openxmlformats.org/officeDocument/2006/relationships/hyperlink" Target="https://advance.lexis.com/api/document?collection=cases-ca&amp;id=urn:contentItem:5F8T-N3T1-JJSF-23NF-00000-00&amp;context=" TargetMode="External" /><Relationship Id="rId802" Type="http://schemas.openxmlformats.org/officeDocument/2006/relationships/hyperlink" Target="https://advance.lexis.com/api/document?collection=cases-ca&amp;id=urn:contentItem:5F7T-S7D1-FC6N-X116-00000-00&amp;context=" TargetMode="External" /><Relationship Id="rId803" Type="http://schemas.openxmlformats.org/officeDocument/2006/relationships/hyperlink" Target="https://advance.lexis.com/api/document?collection=cases-ca&amp;id=urn:contentItem:5F8T-N3V1-FC1F-M4C7-00000-00&amp;context=" TargetMode="External" /><Relationship Id="rId804" Type="http://schemas.openxmlformats.org/officeDocument/2006/relationships/hyperlink" Target="https://advance.lexis.com/api/document?collection=cases-ca&amp;id=urn:contentItem:5F7T-S7H1-K054-G26D-00000-00&amp;context=" TargetMode="External" /><Relationship Id="rId805" Type="http://schemas.openxmlformats.org/officeDocument/2006/relationships/hyperlink" Target="https://advance.lexis.com/api/document?collection=cases-ca&amp;id=urn:contentItem:5F7T-S6T1-JJSF-21HV-00000-00&amp;context=" TargetMode="External" /><Relationship Id="rId806" Type="http://schemas.openxmlformats.org/officeDocument/2006/relationships/hyperlink" Target="https://advance.lexis.com/api/document?collection=cases-ca&amp;id=urn:contentItem:5F8T-N3V1-JFKM-609F-00000-00&amp;context=" TargetMode="External" /><Relationship Id="rId807" Type="http://schemas.openxmlformats.org/officeDocument/2006/relationships/hyperlink" Target="https://advance.lexis.com/api/document?collection=cases-ca&amp;id=urn:contentItem:5F7T-S771-F361-M1X5-00000-00&amp;context=" TargetMode="External" /><Relationship Id="rId808" Type="http://schemas.openxmlformats.org/officeDocument/2006/relationships/hyperlink" Target="https://advance.lexis.com/api/document?collection=cases-ca&amp;id=urn:contentItem:5F7T-S761-JX8W-M35D-00000-00&amp;context=" TargetMode="External" /><Relationship Id="rId809" Type="http://schemas.openxmlformats.org/officeDocument/2006/relationships/hyperlink" Target="https://advance.lexis.com/api/document?collection=cases-ca&amp;id=urn:contentItem:5F7T-S711-F5KY-B0T4-00000-00&amp;context=" TargetMode="External" /><Relationship Id="rId81" Type="http://schemas.openxmlformats.org/officeDocument/2006/relationships/hyperlink" Target="https://advance.lexis.com/api/document?collection=cases-ca&amp;id=urn:contentItem:5F7T-S771-JWBS-61CW-00000-00&amp;context=" TargetMode="External" /><Relationship Id="rId810" Type="http://schemas.openxmlformats.org/officeDocument/2006/relationships/hyperlink" Target="https://advance.lexis.com/api/document?collection=cases-ca&amp;id=urn:contentItem:5F7T-S6X1-F06F-22SH-00000-00&amp;context=" TargetMode="External" /><Relationship Id="rId811" Type="http://schemas.openxmlformats.org/officeDocument/2006/relationships/hyperlink" Target="https://advance.lexis.com/api/document?collection=cases-ca&amp;id=urn:contentItem:5F7T-S761-F81W-21Y2-00000-00&amp;context=" TargetMode="External" /><Relationship Id="rId812" Type="http://schemas.openxmlformats.org/officeDocument/2006/relationships/hyperlink" Target="https://advance.lexis.com/api/document?collection=cases-ca&amp;id=urn:contentItem:5F7T-S711-JB2B-S11F-00000-00&amp;context=" TargetMode="External" /><Relationship Id="rId813" Type="http://schemas.openxmlformats.org/officeDocument/2006/relationships/header" Target="header115.xml" /><Relationship Id="rId814" Type="http://schemas.openxmlformats.org/officeDocument/2006/relationships/header" Target="header116.xml" /><Relationship Id="rId815" Type="http://schemas.openxmlformats.org/officeDocument/2006/relationships/footer" Target="footer115.xml" /><Relationship Id="rId816" Type="http://schemas.openxmlformats.org/officeDocument/2006/relationships/footer" Target="footer116.xml" /><Relationship Id="rId817" Type="http://schemas.openxmlformats.org/officeDocument/2006/relationships/header" Target="header117.xml" /><Relationship Id="rId818" Type="http://schemas.openxmlformats.org/officeDocument/2006/relationships/footer" Target="footer117.xml" /><Relationship Id="rId819" Type="http://schemas.openxmlformats.org/officeDocument/2006/relationships/hyperlink" Target="https://advance.lexis.com/api/document?collection=cases-ca&amp;id=urn:contentItem:5F7T-S7H1-JFSV-G36P-00000-00&amp;context=" TargetMode="External" /><Relationship Id="rId82" Type="http://schemas.openxmlformats.org/officeDocument/2006/relationships/hyperlink" Target="https://advance.lexis.com/api/document?collection=cases-ca&amp;id=urn:contentItem:5F7T-S781-F06F-240G-00000-00&amp;context=" TargetMode="External" /><Relationship Id="rId820" Type="http://schemas.openxmlformats.org/officeDocument/2006/relationships/hyperlink" Target="https://advance.lexis.com/api/document?collection=cases-ca&amp;id=urn:contentItem:5K6Y-81M1-DXHD-G2DP-00000-00&amp;context=" TargetMode="External" /><Relationship Id="rId821" Type="http://schemas.openxmlformats.org/officeDocument/2006/relationships/header" Target="header118.xml" /><Relationship Id="rId822" Type="http://schemas.openxmlformats.org/officeDocument/2006/relationships/header" Target="header119.xml" /><Relationship Id="rId823" Type="http://schemas.openxmlformats.org/officeDocument/2006/relationships/footer" Target="footer118.xml" /><Relationship Id="rId824" Type="http://schemas.openxmlformats.org/officeDocument/2006/relationships/footer" Target="footer119.xml" /><Relationship Id="rId825" Type="http://schemas.openxmlformats.org/officeDocument/2006/relationships/header" Target="header120.xml" /><Relationship Id="rId826" Type="http://schemas.openxmlformats.org/officeDocument/2006/relationships/footer" Target="footer120.xml" /><Relationship Id="rId827" Type="http://schemas.openxmlformats.org/officeDocument/2006/relationships/hyperlink" Target="https://advance.lexis.com/api/document?collection=cases-ca&amp;id=urn:contentItem:5F7T-S7N1-JJ1H-X35F-00000-00&amp;context=" TargetMode="External" /><Relationship Id="rId828" Type="http://schemas.openxmlformats.org/officeDocument/2006/relationships/hyperlink" Target="https://advance.lexis.com/api/document?collection=cases-ca&amp;id=urn:contentItem:5F7T-S7M1-JPP5-22BP-00000-00&amp;context=" TargetMode="External" /><Relationship Id="rId829" Type="http://schemas.openxmlformats.org/officeDocument/2006/relationships/hyperlink" Target="https://advance.lexis.com/api/document?collection=cases-ca&amp;id=urn:contentItem:5F8T-N3V1-JTGH-B1BB-00000-00&amp;context=" TargetMode="External" /><Relationship Id="rId83" Type="http://schemas.openxmlformats.org/officeDocument/2006/relationships/hyperlink" Target="https://advance.lexis.com/api/document?collection=cases-ca&amp;id=urn:contentItem:5F8P-SCT1-JTNR-M30K-00000-00&amp;context=" TargetMode="External" /><Relationship Id="rId830" Type="http://schemas.openxmlformats.org/officeDocument/2006/relationships/hyperlink" Target="https://advance.lexis.com/api/document?collection=cases-ca&amp;id=urn:contentItem:5F8T-N3V1-FH4C-X20D-00000-00&amp;context=" TargetMode="External" /><Relationship Id="rId831" Type="http://schemas.openxmlformats.org/officeDocument/2006/relationships/hyperlink" Target="https://advance.lexis.com/api/document?collection=cases-ca&amp;id=urn:contentItem:5F7T-S7K1-JX3N-B2ST-00000-00&amp;context=" TargetMode="External" /><Relationship Id="rId832" Type="http://schemas.openxmlformats.org/officeDocument/2006/relationships/hyperlink" Target="https://advance.lexis.com/api/document?collection=cases-ca&amp;id=urn:contentItem:5F8N-K751-F22N-X2B5-00000-00&amp;context=" TargetMode="External" /><Relationship Id="rId833" Type="http://schemas.openxmlformats.org/officeDocument/2006/relationships/hyperlink" Target="https://advance.lexis.com/api/document?collection=cases-ca&amp;id=urn:contentItem:5F7H-SCP1-JFDC-X1XF-00000-00&amp;context=" TargetMode="External" /><Relationship Id="rId834" Type="http://schemas.openxmlformats.org/officeDocument/2006/relationships/hyperlink" Target="https://advance.lexis.com/api/document?collection=cases-ca&amp;id=urn:contentItem:5F8P-SDT1-JCJ5-24JD-00000-00&amp;context=" TargetMode="External" /><Relationship Id="rId835" Type="http://schemas.openxmlformats.org/officeDocument/2006/relationships/header" Target="header121.xml" /><Relationship Id="rId836" Type="http://schemas.openxmlformats.org/officeDocument/2006/relationships/header" Target="header122.xml" /><Relationship Id="rId837" Type="http://schemas.openxmlformats.org/officeDocument/2006/relationships/footer" Target="footer121.xml" /><Relationship Id="rId838" Type="http://schemas.openxmlformats.org/officeDocument/2006/relationships/footer" Target="footer122.xml" /><Relationship Id="rId839" Type="http://schemas.openxmlformats.org/officeDocument/2006/relationships/header" Target="header123.xml" /><Relationship Id="rId84" Type="http://schemas.openxmlformats.org/officeDocument/2006/relationships/hyperlink" Target="https://advance.lexis.com/api/document?collection=cases-ca&amp;id=urn:contentItem:5VKJ-FFG1-JSXV-G501-00000-00&amp;context=" TargetMode="External" /><Relationship Id="rId840" Type="http://schemas.openxmlformats.org/officeDocument/2006/relationships/footer" Target="footer123.xml" /><Relationship Id="rId841" Type="http://schemas.openxmlformats.org/officeDocument/2006/relationships/hyperlink" Target="https://advance.lexis.com/api/document?collection=cases-ca&amp;id=urn:contentItem:5F7T-S7G1-FCYK-2077-00000-00&amp;context=" TargetMode="External" /><Relationship Id="rId842" Type="http://schemas.openxmlformats.org/officeDocument/2006/relationships/header" Target="header124.xml" /><Relationship Id="rId843" Type="http://schemas.openxmlformats.org/officeDocument/2006/relationships/header" Target="header125.xml" /><Relationship Id="rId844" Type="http://schemas.openxmlformats.org/officeDocument/2006/relationships/footer" Target="footer124.xml" /><Relationship Id="rId845" Type="http://schemas.openxmlformats.org/officeDocument/2006/relationships/footer" Target="footer125.xml" /><Relationship Id="rId846" Type="http://schemas.openxmlformats.org/officeDocument/2006/relationships/header" Target="header126.xml" /><Relationship Id="rId847" Type="http://schemas.openxmlformats.org/officeDocument/2006/relationships/footer" Target="footer126.xml" /><Relationship Id="rId848" Type="http://schemas.openxmlformats.org/officeDocument/2006/relationships/hyperlink" Target="https://advance.lexis.com/api/document?collection=cases-ca&amp;id=urn:contentItem:5F7T-S7B1-JSRM-60CW-00000-00&amp;context=" TargetMode="External" /><Relationship Id="rId849" Type="http://schemas.openxmlformats.org/officeDocument/2006/relationships/hyperlink" Target="https://advance.lexis.com/api/document?collection=legislation-ca&amp;id=urn:contentItem:5JKN-R7N1-FBN1-20DP-00000-00&amp;context=" TargetMode="External" /><Relationship Id="rId85" Type="http://schemas.openxmlformats.org/officeDocument/2006/relationships/hyperlink" Target="https://advance.lexis.com/api/document?collection=cases-ca&amp;id=urn:contentItem:5F7T-S6V1-JFKM-6133-00000-00&amp;context=" TargetMode="External" /><Relationship Id="rId850" Type="http://schemas.openxmlformats.org/officeDocument/2006/relationships/hyperlink" Target="https://advance.lexis.com/api/document?collection=cases-ca&amp;id=urn:contentItem:5F7T-S731-F1WF-M22Y-00000-00&amp;context=" TargetMode="External" /><Relationship Id="rId851" Type="http://schemas.openxmlformats.org/officeDocument/2006/relationships/header" Target="header127.xml" /><Relationship Id="rId852" Type="http://schemas.openxmlformats.org/officeDocument/2006/relationships/header" Target="header128.xml" /><Relationship Id="rId853" Type="http://schemas.openxmlformats.org/officeDocument/2006/relationships/footer" Target="footer127.xml" /><Relationship Id="rId854" Type="http://schemas.openxmlformats.org/officeDocument/2006/relationships/footer" Target="footer128.xml" /><Relationship Id="rId855" Type="http://schemas.openxmlformats.org/officeDocument/2006/relationships/header" Target="header129.xml" /><Relationship Id="rId856" Type="http://schemas.openxmlformats.org/officeDocument/2006/relationships/footer" Target="footer129.xml" /><Relationship Id="rId857" Type="http://schemas.openxmlformats.org/officeDocument/2006/relationships/hyperlink" Target="https://advance.lexis.com/api/document?collection=cases-ca&amp;id=urn:contentItem:5F7T-S7H1-JCRC-B0S6-00000-00&amp;context=" TargetMode="External" /><Relationship Id="rId858" Type="http://schemas.openxmlformats.org/officeDocument/2006/relationships/hyperlink" Target="https://advance.lexis.com/api/document?collection=cases-ca&amp;id=urn:contentItem:5K6Y-81M1-DXHD-G2CN-00000-00&amp;context=" TargetMode="External" /><Relationship Id="rId859" Type="http://schemas.openxmlformats.org/officeDocument/2006/relationships/hyperlink" Target="https://advance.lexis.com/api/document?collection=cases-ca&amp;id=urn:contentItem:5F7T-S7F1-FBN1-21H5-00000-00&amp;context=" TargetMode="External" /><Relationship Id="rId86" Type="http://schemas.openxmlformats.org/officeDocument/2006/relationships/hyperlink" Target="https://advance.lexis.com/api/document?collection=cases-ca&amp;id=urn:contentItem:5F8P-SFX1-JJK6-S26Y-00000-00&amp;context=" TargetMode="External" /><Relationship Id="rId860" Type="http://schemas.openxmlformats.org/officeDocument/2006/relationships/header" Target="header130.xml" /><Relationship Id="rId861" Type="http://schemas.openxmlformats.org/officeDocument/2006/relationships/header" Target="header131.xml" /><Relationship Id="rId862" Type="http://schemas.openxmlformats.org/officeDocument/2006/relationships/footer" Target="footer130.xml" /><Relationship Id="rId863" Type="http://schemas.openxmlformats.org/officeDocument/2006/relationships/footer" Target="footer131.xml" /><Relationship Id="rId864" Type="http://schemas.openxmlformats.org/officeDocument/2006/relationships/header" Target="header132.xml" /><Relationship Id="rId865" Type="http://schemas.openxmlformats.org/officeDocument/2006/relationships/footer" Target="footer132.xml" /><Relationship Id="rId866" Type="http://schemas.openxmlformats.org/officeDocument/2006/relationships/hyperlink" Target="https://advance.lexis.com/api/document?collection=cases-ca&amp;id=urn:contentItem:5F7T-S7F1-DXWW-23CN-00000-00&amp;context=" TargetMode="External" /><Relationship Id="rId867" Type="http://schemas.openxmlformats.org/officeDocument/2006/relationships/hyperlink" Target="https://advance.lexis.com/api/document?collection=cases-ca&amp;id=urn:contentItem:5F7T-S7C1-JSRM-611X-00000-00&amp;context=" TargetMode="External" /><Relationship Id="rId868" Type="http://schemas.openxmlformats.org/officeDocument/2006/relationships/hyperlink" Target="https://advance.lexis.com/api/document?collection=cases-ca&amp;id=urn:contentItem:5F7T-S721-F4NT-X2GV-00000-00&amp;context=" TargetMode="External" /><Relationship Id="rId869" Type="http://schemas.openxmlformats.org/officeDocument/2006/relationships/hyperlink" Target="https://advance.lexis.com/api/document?collection=cases-ca&amp;id=urn:contentItem:5F7T-S7C1-F4NT-X3H9-00000-00&amp;context=" TargetMode="External" /><Relationship Id="rId87" Type="http://schemas.openxmlformats.org/officeDocument/2006/relationships/hyperlink" Target="https://advance.lexis.com/api/document?collection=cases-ca&amp;id=urn:contentItem:5SB1-1471-FBV7-B2X8-00000-00&amp;context=" TargetMode="External" /><Relationship Id="rId870" Type="http://schemas.openxmlformats.org/officeDocument/2006/relationships/header" Target="header133.xml" /><Relationship Id="rId871" Type="http://schemas.openxmlformats.org/officeDocument/2006/relationships/header" Target="header134.xml" /><Relationship Id="rId872" Type="http://schemas.openxmlformats.org/officeDocument/2006/relationships/footer" Target="footer133.xml" /><Relationship Id="rId873" Type="http://schemas.openxmlformats.org/officeDocument/2006/relationships/footer" Target="footer134.xml" /><Relationship Id="rId874" Type="http://schemas.openxmlformats.org/officeDocument/2006/relationships/header" Target="header135.xml" /><Relationship Id="rId875" Type="http://schemas.openxmlformats.org/officeDocument/2006/relationships/footer" Target="footer135.xml" /><Relationship Id="rId876" Type="http://schemas.openxmlformats.org/officeDocument/2006/relationships/hyperlink" Target="https://advance.lexis.com/api/document?collection=cases-ca&amp;id=urn:contentItem:5F7T-S7B1-FH4C-X3SK-00000-00&amp;context=" TargetMode="External" /><Relationship Id="rId877" Type="http://schemas.openxmlformats.org/officeDocument/2006/relationships/header" Target="header136.xml" /><Relationship Id="rId878" Type="http://schemas.openxmlformats.org/officeDocument/2006/relationships/header" Target="header137.xml" /><Relationship Id="rId879" Type="http://schemas.openxmlformats.org/officeDocument/2006/relationships/footer" Target="footer136.xml" /><Relationship Id="rId88" Type="http://schemas.openxmlformats.org/officeDocument/2006/relationships/hyperlink" Target="https://advance.lexis.com/api/document?collection=cases-ca&amp;id=urn:contentItem:5F7T-S7D1-JN6B-S131-00000-00&amp;context=" TargetMode="External" /><Relationship Id="rId880" Type="http://schemas.openxmlformats.org/officeDocument/2006/relationships/footer" Target="footer137.xml" /><Relationship Id="rId881" Type="http://schemas.openxmlformats.org/officeDocument/2006/relationships/header" Target="header138.xml" /><Relationship Id="rId882" Type="http://schemas.openxmlformats.org/officeDocument/2006/relationships/footer" Target="footer138.xml" /><Relationship Id="rId883" Type="http://schemas.openxmlformats.org/officeDocument/2006/relationships/hyperlink" Target="https://advance.lexis.com/api/document?collection=cases-ca&amp;id=urn:contentItem:5K6Y-81T1-JYYX-61TX-00000-00&amp;context=" TargetMode="External" /><Relationship Id="rId884" Type="http://schemas.openxmlformats.org/officeDocument/2006/relationships/hyperlink" Target="https://advance.lexis.com/api/document?collection=cases-ca&amp;id=urn:contentItem:5F7T-S7N1-JC5P-G29R-00000-00&amp;context=" TargetMode="External" /><Relationship Id="rId885" Type="http://schemas.openxmlformats.org/officeDocument/2006/relationships/hyperlink" Target="https://advance.lexis.com/api/document?collection=cases-ca&amp;id=urn:contentItem:5F7T-S7K1-DY33-B1PS-00000-00&amp;context=" TargetMode="External" /><Relationship Id="rId886" Type="http://schemas.openxmlformats.org/officeDocument/2006/relationships/hyperlink" Target="https://advance.lexis.com/api/document?collection=cases-ca&amp;id=urn:contentItem:5F7T-S7H1-F4GK-M39T-00000-00&amp;context=" TargetMode="External" /><Relationship Id="rId887" Type="http://schemas.openxmlformats.org/officeDocument/2006/relationships/hyperlink" Target="https://advance.lexis.com/api/document?collection=cases-ca&amp;id=urn:contentItem:5F7T-S6Y1-FJDY-X23K-00000-00&amp;context=" TargetMode="External" /><Relationship Id="rId888" Type="http://schemas.openxmlformats.org/officeDocument/2006/relationships/hyperlink" Target="https://advance.lexis.com/api/document?collection=cases-ca&amp;id=urn:contentItem:5F7T-S7N1-JGHR-M38N-00000-00&amp;context=" TargetMode="External" /><Relationship Id="rId889" Type="http://schemas.openxmlformats.org/officeDocument/2006/relationships/hyperlink" Target="https://advance.lexis.com/api/document?collection=cases-ca&amp;id=urn:contentItem:5F7T-S781-F06F-23XV-00000-00&amp;context=" TargetMode="External" /><Relationship Id="rId89" Type="http://schemas.openxmlformats.org/officeDocument/2006/relationships/hyperlink" Target="https://advance.lexis.com/api/document?collection=cases-ca&amp;id=urn:contentItem:5MCR-RDN1-JBDT-B2K7-00000-00&amp;context=" TargetMode="External" /><Relationship Id="rId890" Type="http://schemas.openxmlformats.org/officeDocument/2006/relationships/hyperlink" Target="https://advance.lexis.com/api/document?collection=cases-ca&amp;id=urn:contentItem:5F7T-S7B1-JCJ5-2073-00000-00&amp;context=" TargetMode="External" /><Relationship Id="rId891" Type="http://schemas.openxmlformats.org/officeDocument/2006/relationships/hyperlink" Target="https://advance.lexis.com/api/document?collection=cases-ca&amp;id=urn:contentItem:5F7T-S771-JSJC-X060-00000-00&amp;context=" TargetMode="External" /><Relationship Id="rId892" Type="http://schemas.openxmlformats.org/officeDocument/2006/relationships/hyperlink" Target="https://advance.lexis.com/api/document?collection=cases-ca&amp;id=urn:contentItem:5F7T-S7D1-FC6N-X0VK-00000-00&amp;context=" TargetMode="External" /><Relationship Id="rId893" Type="http://schemas.openxmlformats.org/officeDocument/2006/relationships/hyperlink" Target="https://advance.lexis.com/api/document?collection=cases-ca&amp;id=urn:contentItem:5F7T-S6W1-JF75-M2VM-00000-00&amp;context=" TargetMode="External" /><Relationship Id="rId894" Type="http://schemas.openxmlformats.org/officeDocument/2006/relationships/hyperlink" Target="https://advance.lexis.com/api/document?collection=cases-ca&amp;id=urn:contentItem:5F7T-S6Y1-JP9P-G1KG-00000-00&amp;context=" TargetMode="External" /><Relationship Id="rId895" Type="http://schemas.openxmlformats.org/officeDocument/2006/relationships/hyperlink" Target="https://advance.lexis.com/api/document?collection=cases-ca&amp;id=urn:contentItem:5F7T-S7G1-FCYK-20FM-00000-00&amp;context=" TargetMode="External" /><Relationship Id="rId896" Type="http://schemas.openxmlformats.org/officeDocument/2006/relationships/hyperlink" Target="https://advance.lexis.com/api/document?collection=cases-ca&amp;id=urn:contentItem:5GCC-XVB1-JSXV-G03N-00000-00&amp;context=" TargetMode="External" /><Relationship Id="rId897" Type="http://schemas.openxmlformats.org/officeDocument/2006/relationships/hyperlink" Target="https://advance.lexis.com/api/document?collection=cases-ca&amp;id=urn:contentItem:5F7T-S7C1-JS0R-22FS-00000-00&amp;context=" TargetMode="External" /><Relationship Id="rId898" Type="http://schemas.openxmlformats.org/officeDocument/2006/relationships/hyperlink" Target="https://advance.lexis.com/api/document?collection=cases-ca&amp;id=urn:contentItem:5F7T-S7F1-DXWW-2491-00000-00&amp;context=" TargetMode="External" /><Relationship Id="rId899" Type="http://schemas.openxmlformats.org/officeDocument/2006/relationships/hyperlink" Target="https://advance.lexis.com/api/document?collection=cases-ca&amp;id=urn:contentItem:5F7T-S761-JX8W-M2W3-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K1-JSJC-X0W0-00000-00&amp;context=" TargetMode="External" /><Relationship Id="rId900" Type="http://schemas.openxmlformats.org/officeDocument/2006/relationships/hyperlink" Target="https://advance.lexis.com/api/document?collection=cases-ca&amp;id=urn:contentItem:5F7T-S761-JCBX-S0XB-00000-00&amp;context=" TargetMode="External" /><Relationship Id="rId901" Type="http://schemas.openxmlformats.org/officeDocument/2006/relationships/header" Target="header139.xml" /><Relationship Id="rId902" Type="http://schemas.openxmlformats.org/officeDocument/2006/relationships/header" Target="header140.xml" /><Relationship Id="rId903" Type="http://schemas.openxmlformats.org/officeDocument/2006/relationships/footer" Target="footer139.xml" /><Relationship Id="rId904" Type="http://schemas.openxmlformats.org/officeDocument/2006/relationships/footer" Target="footer140.xml" /><Relationship Id="rId905" Type="http://schemas.openxmlformats.org/officeDocument/2006/relationships/header" Target="header141.xml" /><Relationship Id="rId906" Type="http://schemas.openxmlformats.org/officeDocument/2006/relationships/footer" Target="footer141.xml" /><Relationship Id="rId907" Type="http://schemas.openxmlformats.org/officeDocument/2006/relationships/hyperlink" Target="https://advance.lexis.com/api/document?collection=cases-ca&amp;id=urn:contentItem:5F7T-S7D1-DY89-M430-00000-00&amp;context=" TargetMode="External" /><Relationship Id="rId908" Type="http://schemas.openxmlformats.org/officeDocument/2006/relationships/hyperlink" Target="https://advance.lexis.com/api/document?collection=cases-ca&amp;id=urn:contentItem:5F7T-S781-JC5P-G1SK-00000-00&amp;context=" TargetMode="External" /><Relationship Id="rId909" Type="http://schemas.openxmlformats.org/officeDocument/2006/relationships/header" Target="header142.xml" /><Relationship Id="rId91" Type="http://schemas.openxmlformats.org/officeDocument/2006/relationships/hyperlink" Target="https://advance.lexis.com/api/document?collection=cases-ca&amp;id=urn:contentItem:5KNG-YT61-JG02-S34T-00000-00&amp;context=" TargetMode="External" /><Relationship Id="rId910" Type="http://schemas.openxmlformats.org/officeDocument/2006/relationships/header" Target="header143.xml" /><Relationship Id="rId911" Type="http://schemas.openxmlformats.org/officeDocument/2006/relationships/footer" Target="footer142.xml" /><Relationship Id="rId912" Type="http://schemas.openxmlformats.org/officeDocument/2006/relationships/footer" Target="footer143.xml" /><Relationship Id="rId913" Type="http://schemas.openxmlformats.org/officeDocument/2006/relationships/header" Target="header144.xml" /><Relationship Id="rId914" Type="http://schemas.openxmlformats.org/officeDocument/2006/relationships/footer" Target="footer144.xml" /><Relationship Id="rId915" Type="http://schemas.openxmlformats.org/officeDocument/2006/relationships/hyperlink" Target="https://advance.lexis.com/api/document?collection=cases-ca&amp;id=urn:contentItem:5F7T-S7M1-JNCK-22MP-00000-00&amp;context=" TargetMode="External" /><Relationship Id="rId916" Type="http://schemas.openxmlformats.org/officeDocument/2006/relationships/hyperlink" Target="https://advance.lexis.com/api/document?collection=cases-ca&amp;id=urn:contentItem:5F7T-S7K1-F528-G2SD-00000-00&amp;context=" TargetMode="External" /><Relationship Id="rId917" Type="http://schemas.openxmlformats.org/officeDocument/2006/relationships/hyperlink" Target="https://advance.lexis.com/api/document?collection=cases-ca&amp;id=urn:contentItem:5F7T-S7M1-JJK6-S1VM-00000-00&amp;context=" TargetMode="External" /><Relationship Id="rId918" Type="http://schemas.openxmlformats.org/officeDocument/2006/relationships/hyperlink" Target="https://advance.lexis.com/api/document?collection=cases-ca&amp;id=urn:contentItem:5F7T-S6X1-K0BB-S0MB-00000-00&amp;context=" TargetMode="External" /><Relationship Id="rId919" Type="http://schemas.openxmlformats.org/officeDocument/2006/relationships/hyperlink" Target="https://advance.lexis.com/api/document?collection=cases-ca&amp;id=urn:contentItem:5F8P-SCV1-JBM1-M1TC-00000-00&amp;context=" TargetMode="External" /><Relationship Id="rId92" Type="http://schemas.openxmlformats.org/officeDocument/2006/relationships/hyperlink" Target="https://advance.lexis.com/api/document?collection=cases-ca&amp;id=urn:contentItem:5F7T-S7M1-JCRC-B1TM-00000-00&amp;context=" TargetMode="External" /><Relationship Id="rId920" Type="http://schemas.openxmlformats.org/officeDocument/2006/relationships/hyperlink" Target="https://advance.lexis.com/api/document?collection=cases-ca&amp;id=urn:contentItem:5F8P-SCX1-JB7K-22WJ-00000-00&amp;context=" TargetMode="External" /><Relationship Id="rId921" Type="http://schemas.openxmlformats.org/officeDocument/2006/relationships/hyperlink" Target="https://advance.lexis.com/api/document?collection=cases-ca&amp;id=urn:contentItem:5F7T-S7H1-JFSV-G38X-00000-00&amp;context=" TargetMode="External" /><Relationship Id="rId922" Type="http://schemas.openxmlformats.org/officeDocument/2006/relationships/hyperlink" Target="https://advance.lexis.com/api/document?collection=cases-ca&amp;id=urn:contentItem:5F7T-S6W1-JF75-M33H-00000-00&amp;context=" TargetMode="External" /><Relationship Id="rId923" Type="http://schemas.openxmlformats.org/officeDocument/2006/relationships/header" Target="header145.xml" /><Relationship Id="rId924" Type="http://schemas.openxmlformats.org/officeDocument/2006/relationships/header" Target="header146.xml" /><Relationship Id="rId925" Type="http://schemas.openxmlformats.org/officeDocument/2006/relationships/footer" Target="footer145.xml" /><Relationship Id="rId926" Type="http://schemas.openxmlformats.org/officeDocument/2006/relationships/footer" Target="footer146.xml" /><Relationship Id="rId927" Type="http://schemas.openxmlformats.org/officeDocument/2006/relationships/header" Target="header147.xml" /><Relationship Id="rId928" Type="http://schemas.openxmlformats.org/officeDocument/2006/relationships/footer" Target="footer147.xml" /><Relationship Id="rId929" Type="http://schemas.openxmlformats.org/officeDocument/2006/relationships/hyperlink" Target="https://advance.lexis.com/api/document?collection=cases-ca&amp;id=urn:contentItem:5F7T-S7M1-JFSV-G3FS-00000-00&amp;context=" TargetMode="External" /><Relationship Id="rId93" Type="http://schemas.openxmlformats.org/officeDocument/2006/relationships/hyperlink" Target="https://advance.lexis.com/api/document?collection=cases-ca&amp;id=urn:contentItem:5J6J-RHK1-FGCG-S0R3-00000-00&amp;context=" TargetMode="External" /><Relationship Id="rId930" Type="http://schemas.openxmlformats.org/officeDocument/2006/relationships/hyperlink" Target="https://advance.lexis.com/api/document?collection=legislation-ca&amp;id=urn:contentItem:5F3B-B9F1-FGY5-M2C5-00000-00&amp;context=" TargetMode="External" /><Relationship Id="rId931" Type="http://schemas.openxmlformats.org/officeDocument/2006/relationships/hyperlink" Target="https://advance.lexis.com/api/document?collection=cases-ca&amp;id=urn:contentItem:5F7T-S7M1-DYMS-62DD-00000-00&amp;context=" TargetMode="External" /><Relationship Id="rId932" Type="http://schemas.openxmlformats.org/officeDocument/2006/relationships/hyperlink" Target="https://advance.lexis.com/api/document?collection=cases-ca&amp;id=urn:contentItem:5F7T-S7M1-JCRC-B1MS-00000-00&amp;context=" TargetMode="External" /><Relationship Id="rId933" Type="http://schemas.openxmlformats.org/officeDocument/2006/relationships/hyperlink" Target="https://advance.lexis.com/api/document?collection=legislation-ca&amp;id=urn:contentItem:5VYK-WB51-K054-G4Y8-00000-00&amp;context=" TargetMode="External" /><Relationship Id="rId934" Type="http://schemas.openxmlformats.org/officeDocument/2006/relationships/hyperlink" Target="https://advance.lexis.com/api/document?collection=cases-ca&amp;id=urn:contentItem:5F7T-S701-JF75-M4J3-00000-00&amp;context=" TargetMode="External" /><Relationship Id="rId935" Type="http://schemas.openxmlformats.org/officeDocument/2006/relationships/hyperlink" Target="https://advance.lexis.com/api/document?collection=cases-ca&amp;id=urn:contentItem:5F7T-S711-JB2B-S117-00000-00&amp;context=" TargetMode="External" /><Relationship Id="rId936" Type="http://schemas.openxmlformats.org/officeDocument/2006/relationships/hyperlink" Target="https://advance.lexis.com/api/document?collection=cases-ca&amp;id=urn:contentItem:5F7F-5RH1-FD4T-B016-00000-00&amp;context=" TargetMode="External" /><Relationship Id="rId937" Type="http://schemas.openxmlformats.org/officeDocument/2006/relationships/hyperlink" Target="https://advance.lexis.com/api/document?collection=cases-ca&amp;id=urn:contentItem:5F8T-N3V1-JF75-M3TD-00000-00&amp;context=" TargetMode="External" /><Relationship Id="rId938" Type="http://schemas.openxmlformats.org/officeDocument/2006/relationships/hyperlink" Target="https://advance.lexis.com/api/document?collection=cases-ca&amp;id=urn:contentItem:5F8T-N3V1-JF75-M3GS-00000-00&amp;context=" TargetMode="External" /><Relationship Id="rId939" Type="http://schemas.openxmlformats.org/officeDocument/2006/relationships/hyperlink" Target="https://advance.lexis.com/api/document?collection=cases-ca&amp;id=urn:contentItem:5F8T-N3V1-JF75-M3DG-00000-00&amp;context=" TargetMode="External" /><Relationship Id="rId94" Type="http://schemas.openxmlformats.org/officeDocument/2006/relationships/hyperlink" Target="https://advance.lexis.com/api/document?collection=cases-ca&amp;id=urn:contentItem:5F7T-S7D1-JG02-S2SW-00000-00&amp;context=" TargetMode="External" /><Relationship Id="rId940" Type="http://schemas.openxmlformats.org/officeDocument/2006/relationships/hyperlink" Target="https://advance.lexis.com/api/document?collection=cases-ca&amp;id=urn:contentItem:5F7T-S741-F528-G21K-00000-00&amp;context=" TargetMode="External" /><Relationship Id="rId941" Type="http://schemas.openxmlformats.org/officeDocument/2006/relationships/hyperlink" Target="https://advance.lexis.com/api/document?collection=cases-ca&amp;id=urn:contentItem:5F7T-S6X1-FBN1-20T9-00000-00&amp;context=" TargetMode="External" /><Relationship Id="rId942" Type="http://schemas.openxmlformats.org/officeDocument/2006/relationships/hyperlink" Target="https://advance.lexis.com/api/document?collection=cases-ca&amp;id=urn:contentItem:5F7T-S7K1-JX3N-B2MR-00000-00&amp;context=" TargetMode="External" /><Relationship Id="rId943" Type="http://schemas.openxmlformats.org/officeDocument/2006/relationships/hyperlink" Target="https://advance.lexis.com/api/document?collection=cases-ca&amp;id=urn:contentItem:5F7T-S6V1-JFKM-6132-00000-00&amp;context=" TargetMode="External" /><Relationship Id="rId944" Type="http://schemas.openxmlformats.org/officeDocument/2006/relationships/hyperlink" Target="https://advance.lexis.com/api/document?collection=cases-ca&amp;id=urn:contentItem:5F7T-S7C1-JS0R-22G1-00000-00&amp;context=" TargetMode="External" /><Relationship Id="rId945" Type="http://schemas.openxmlformats.org/officeDocument/2006/relationships/hyperlink" Target="https://advance.lexis.com/api/document?collection=cases-ca&amp;id=urn:contentItem:5F7T-S6V1-F2TK-228J-00000-00&amp;context=" TargetMode="External" /><Relationship Id="rId946" Type="http://schemas.openxmlformats.org/officeDocument/2006/relationships/hyperlink" Target="https://advance.lexis.com/api/document?collection=cases-ca&amp;id=urn:contentItem:5F7T-S7G1-JX3N-B20Y-00000-00&amp;context=" TargetMode="External" /><Relationship Id="rId947" Type="http://schemas.openxmlformats.org/officeDocument/2006/relationships/hyperlink" Target="https://advance.lexis.com/api/document?collection=cases-ca&amp;id=urn:contentItem:5F8T-N3V1-FH4C-X1XK-00000-00&amp;context=" TargetMode="External" /><Relationship Id="rId948" Type="http://schemas.openxmlformats.org/officeDocument/2006/relationships/hyperlink" Target="https://advance.lexis.com/api/document?collection=cases-ca&amp;id=urn:contentItem:5F7T-S7F1-JBT7-X2JR-00000-00&amp;context=" TargetMode="External" /><Relationship Id="rId949" Type="http://schemas.openxmlformats.org/officeDocument/2006/relationships/hyperlink" Target="https://advance.lexis.com/api/document?collection=cases-ca&amp;id=urn:contentItem:5F81-VJX1-FD4T-B2WK-00000-00&amp;context=" TargetMode="External" /><Relationship Id="rId95" Type="http://schemas.openxmlformats.org/officeDocument/2006/relationships/hyperlink" Target="https://advance.lexis.com/api/document?collection=cases-ca&amp;id=urn:contentItem:5F7T-S7F1-FBN1-21V5-00000-00&amp;context=" TargetMode="External" /><Relationship Id="rId950" Type="http://schemas.openxmlformats.org/officeDocument/2006/relationships/hyperlink" Target="https://advance.lexis.com/api/document?collection=cases-ca&amp;id=urn:contentItem:5F81-VJX1-JJYN-B4KT-00000-00&amp;context=" TargetMode="External" /><Relationship Id="rId951" Type="http://schemas.openxmlformats.org/officeDocument/2006/relationships/hyperlink" Target="https://advance.lexis.com/api/document?collection=cases-ca&amp;id=urn:contentItem:5F8P-SDC1-K0BB-S4YY-00000-00&amp;context=" TargetMode="External" /><Relationship Id="rId952" Type="http://schemas.openxmlformats.org/officeDocument/2006/relationships/hyperlink" Target="https://advance.lexis.com/api/document?collection=cases-ca&amp;id=urn:contentItem:5F7T-S7M1-JCRC-B19V-00000-00&amp;context=" TargetMode="External" /><Relationship Id="rId953" Type="http://schemas.openxmlformats.org/officeDocument/2006/relationships/hyperlink" Target="https://advance.lexis.com/api/document?collection=cases-ca&amp;id=urn:contentItem:5F81-VJY1-JWBS-64NS-00000-00&amp;context=" TargetMode="External" /><Relationship Id="rId954" Type="http://schemas.openxmlformats.org/officeDocument/2006/relationships/hyperlink" Target="https://advance.lexis.com/api/document?collection=cases-ca&amp;id=urn:contentItem:5F82-1SH1-JF1Y-B2VG-00000-00&amp;context=" TargetMode="External" /><Relationship Id="rId955" Type="http://schemas.openxmlformats.org/officeDocument/2006/relationships/hyperlink" Target="https://advance.lexis.com/api/document?collection=cases-ca&amp;id=urn:contentItem:5F7T-S7D1-DY89-M480-00000-00&amp;context=" TargetMode="External" /><Relationship Id="rId956" Type="http://schemas.openxmlformats.org/officeDocument/2006/relationships/hyperlink" Target="https://advance.lexis.com/api/document?collection=cases-ca&amp;id=urn:contentItem:5F81-VJX1-FFTT-X1JF-00000-00&amp;context=" TargetMode="External" /><Relationship Id="rId957" Type="http://schemas.openxmlformats.org/officeDocument/2006/relationships/hyperlink" Target="https://advance.lexis.com/api/document?collection=cases-ca&amp;id=urn:contentItem:5F81-VJX1-JJYN-B4P1-00000-00&amp;context=" TargetMode="External" /><Relationship Id="rId958" Type="http://schemas.openxmlformats.org/officeDocument/2006/relationships/hyperlink" Target="https://advance.lexis.com/api/document?collection=cases-ca&amp;id=urn:contentItem:5F8T-N3V1-FC1F-M491-00000-00&amp;context=" TargetMode="External" /><Relationship Id="rId959" Type="http://schemas.openxmlformats.org/officeDocument/2006/relationships/hyperlink" Target="https://advance.lexis.com/api/document?collection=cases-ca&amp;id=urn:contentItem:5F81-VJY1-JWBS-64JB-00000-00&amp;context=" TargetMode="External" /><Relationship Id="rId96" Type="http://schemas.openxmlformats.org/officeDocument/2006/relationships/hyperlink" Target="https://advance.lexis.com/api/document?collection=cases-ca&amp;id=urn:contentItem:5HXW-S171-JX8W-M07X-00000-00&amp;context=" TargetMode="External" /><Relationship Id="rId960" Type="http://schemas.openxmlformats.org/officeDocument/2006/relationships/hyperlink" Target="https://advance.lexis.com/api/document?collection=cases-ca&amp;id=urn:contentItem:5F81-VJX1-FGY5-M3HY-00000-00&amp;context=" TargetMode="External" /><Relationship Id="rId961" Type="http://schemas.openxmlformats.org/officeDocument/2006/relationships/hyperlink" Target="https://advance.lexis.com/api/document?collection=cases-ca&amp;id=urn:contentItem:5F8P-SDY1-F30T-B055-00000-00&amp;context=" TargetMode="External" /><Relationship Id="rId962" Type="http://schemas.openxmlformats.org/officeDocument/2006/relationships/hyperlink" Target="https://advance.lexis.com/api/document?collection=cases-ca&amp;id=urn:contentItem:5F8P-SFC1-JX8W-M0SK-00000-00&amp;context=" TargetMode="External" /><Relationship Id="rId963" Type="http://schemas.openxmlformats.org/officeDocument/2006/relationships/hyperlink" Target="https://advance.lexis.com/api/document?collection=cases-ca&amp;id=urn:contentItem:5F82-1SJ1-DYMS-63JN-00000-00&amp;context=" TargetMode="External" /><Relationship Id="rId964" Type="http://schemas.openxmlformats.org/officeDocument/2006/relationships/hyperlink" Target="https://advance.lexis.com/api/document?collection=cases-ca&amp;id=urn:contentItem:5F8P-SF21-FBV7-B31K-00000-00&amp;context=" TargetMode="External" /><Relationship Id="rId965" Type="http://schemas.openxmlformats.org/officeDocument/2006/relationships/hyperlink" Target="https://advance.lexis.com/api/document?collection=cases-ca&amp;id=urn:contentItem:5F7T-S7D1-FC6N-X0FW-00000-00&amp;context=" TargetMode="External" /><Relationship Id="rId966" Type="http://schemas.openxmlformats.org/officeDocument/2006/relationships/hyperlink" Target="https://advance.lexis.com/api/document?collection=cases-ca&amp;id=urn:contentItem:5F7T-S7K1-DY33-B1VX-00000-00&amp;context=" TargetMode="External" /><Relationship Id="rId967" Type="http://schemas.openxmlformats.org/officeDocument/2006/relationships/hyperlink" Target="https://advance.lexis.com/api/document?collection=cases-ca&amp;id=urn:contentItem:5F82-1SJ1-JBDT-B4HX-00000-00&amp;context=" TargetMode="External" /><Relationship Id="rId968" Type="http://schemas.openxmlformats.org/officeDocument/2006/relationships/hyperlink" Target="https://advance.lexis.com/api/document?collection=cases-ca&amp;id=urn:contentItem:5F8T-N3V1-JTGH-B187-00000-00&amp;context=" TargetMode="External" /><Relationship Id="rId969" Type="http://schemas.openxmlformats.org/officeDocument/2006/relationships/hyperlink" Target="https://advance.lexis.com/api/document?collection=cases-ca&amp;id=urn:contentItem:5F7T-S7F1-JFKM-620H-00000-00&amp;context=" TargetMode="External" /><Relationship Id="rId97" Type="http://schemas.openxmlformats.org/officeDocument/2006/relationships/hyperlink" Target="https://advance.lexis.com/api/document?collection=cases-ca&amp;id=urn:contentItem:5F7T-S7P1-JSJC-X1VJ-00000-00&amp;context=" TargetMode="External" /><Relationship Id="rId970" Type="http://schemas.openxmlformats.org/officeDocument/2006/relationships/hyperlink" Target="https://advance.lexis.com/api/document?collection=cases-ca&amp;id=urn:contentItem:5F7T-S7H1-JCRC-B119-00000-00&amp;context=" TargetMode="External" /><Relationship Id="rId971" Type="http://schemas.openxmlformats.org/officeDocument/2006/relationships/header" Target="header148.xml" /><Relationship Id="rId972" Type="http://schemas.openxmlformats.org/officeDocument/2006/relationships/header" Target="header149.xml" /><Relationship Id="rId973" Type="http://schemas.openxmlformats.org/officeDocument/2006/relationships/footer" Target="footer148.xml" /><Relationship Id="rId974" Type="http://schemas.openxmlformats.org/officeDocument/2006/relationships/footer" Target="footer149.xml" /><Relationship Id="rId975" Type="http://schemas.openxmlformats.org/officeDocument/2006/relationships/header" Target="header150.xml" /><Relationship Id="rId976" Type="http://schemas.openxmlformats.org/officeDocument/2006/relationships/footer" Target="footer150.xml" /><Relationship Id="rId977" Type="http://schemas.openxmlformats.org/officeDocument/2006/relationships/hyperlink" Target="https://advance.lexis.com/api/document?collection=cases-ca&amp;id=urn:contentItem:5G5M-B9W1-FGCG-S011-00000-00&amp;context=" TargetMode="External" /><Relationship Id="rId978" Type="http://schemas.openxmlformats.org/officeDocument/2006/relationships/hyperlink" Target="https://advance.lexis.com/api/document?collection=cases-ca&amp;id=urn:contentItem:5F7T-S7D1-JN6B-S0NW-00000-00&amp;context=" TargetMode="External" /><Relationship Id="rId979" Type="http://schemas.openxmlformats.org/officeDocument/2006/relationships/hyperlink" Target="https://advance.lexis.com/api/document?collection=cases-ca&amp;id=urn:contentItem:5F7T-S761-F81W-21VM-00000-00&amp;context=" TargetMode="External" /><Relationship Id="rId98" Type="http://schemas.openxmlformats.org/officeDocument/2006/relationships/hyperlink" Target="https://advance.lexis.com/api/document?collection=cases-ca&amp;id=urn:contentItem:5KDN-X121-F2F4-G08B-00000-00&amp;context=" TargetMode="External" /><Relationship Id="rId980" Type="http://schemas.openxmlformats.org/officeDocument/2006/relationships/numbering" Target="numbering.xml" /><Relationship Id="rId981" Type="http://schemas.openxmlformats.org/officeDocument/2006/relationships/styles" Target="styles.xml" /><Relationship Id="rId99" Type="http://schemas.openxmlformats.org/officeDocument/2006/relationships/hyperlink" Target="https://advance.lexis.com/api/document?collection=cases-ca&amp;id=urn:contentItem:5F7T-S7P1-JBDT-B16R-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Anderson v. Boulton, [2015] B.C.J. No. 819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115050787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